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bookmarkStart w:id="0" w:name="_GoBack"/>
            <w:bookmarkEnd w:id="0"/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223592">
            <w:pPr>
              <w:pStyle w:val="Introtabletext"/>
            </w:pPr>
            <w:r w:rsidRPr="00223592">
              <w:t xml:space="preserve">MDD Circular </w:t>
            </w:r>
            <w:r w:rsidR="006402D8">
              <w:t>00527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431962" w:rsidP="00431962">
            <w:pPr>
              <w:pStyle w:val="Date"/>
            </w:pPr>
            <w:r>
              <w:t>14</w:t>
            </w:r>
            <w:r w:rsidR="00223592">
              <w:t xml:space="preserve"> </w:t>
            </w:r>
            <w:r>
              <w:t>May</w:t>
            </w:r>
            <w:r w:rsidR="00223592">
              <w:t xml:space="preserve">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532209" w:rsidP="004E3A21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00527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5416F4">
                <w:rPr>
                  <w:noProof/>
                </w:rPr>
                <w:t>3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DC354E" w:rsidP="00DC354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14</w:t>
            </w:r>
            <w:r w:rsidR="00532209">
              <w:t xml:space="preserve"> May</w:t>
            </w:r>
            <w:r w:rsidR="00223592">
              <w:t xml:space="preserve"> 2014</w:t>
            </w:r>
            <w:r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002D2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532209">
        <w:rPr>
          <w:color w:val="auto"/>
        </w:rPr>
        <w:t>14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431962" w:rsidP="00C07404">
            <w:pPr>
              <w:pStyle w:val="Tabletext"/>
            </w:pPr>
            <w:r>
              <w:t>M2149</w:t>
            </w:r>
          </w:p>
        </w:tc>
        <w:tc>
          <w:tcPr>
            <w:tcW w:w="1211" w:type="dxa"/>
            <w:vAlign w:val="center"/>
          </w:tcPr>
          <w:p w:rsidR="00223592" w:rsidRPr="00C07404" w:rsidRDefault="00431962" w:rsidP="00C07404">
            <w:pPr>
              <w:pStyle w:val="Tabletext"/>
            </w:pPr>
            <w:r>
              <w:t>ETCL</w:t>
            </w:r>
          </w:p>
        </w:tc>
        <w:tc>
          <w:tcPr>
            <w:tcW w:w="7974" w:type="dxa"/>
            <w:vAlign w:val="center"/>
          </w:tcPr>
          <w:p w:rsidR="00C6596A" w:rsidRDefault="00C6596A" w:rsidP="00F9052B">
            <w:pPr>
              <w:pStyle w:val="Tabletext"/>
            </w:pPr>
            <w:r>
              <w:t>Creation of new Valid MTC SSC</w:t>
            </w:r>
            <w:r w:rsidR="00823B4C">
              <w:t>, new MTC</w:t>
            </w:r>
            <w:r>
              <w:t xml:space="preserve"> LLFC</w:t>
            </w:r>
            <w:r w:rsidR="00823B4C">
              <w:t xml:space="preserve"> SSC, new MTC LLFC SSC</w:t>
            </w:r>
            <w:r>
              <w:t xml:space="preserve"> PC  Combinations</w:t>
            </w:r>
          </w:p>
          <w:p w:rsidR="00223592" w:rsidRPr="00C07404" w:rsidRDefault="002B7FD7" w:rsidP="00F9052B">
            <w:pPr>
              <w:pStyle w:val="Tabletext"/>
            </w:pPr>
            <w:r w:rsidRPr="00C07404">
              <w:t xml:space="preserve">Effective from Date: </w:t>
            </w:r>
            <w:r w:rsidR="00C6596A">
              <w:t>18/06/</w:t>
            </w:r>
            <w:r w:rsidRPr="00C07404">
              <w:t>2014</w:t>
            </w:r>
          </w:p>
        </w:tc>
      </w:tr>
      <w:tr w:rsidR="00223592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431962" w:rsidP="00C07404">
            <w:pPr>
              <w:pStyle w:val="Tabletext"/>
            </w:pPr>
            <w:r>
              <w:t>M2150</w:t>
            </w:r>
          </w:p>
        </w:tc>
        <w:tc>
          <w:tcPr>
            <w:tcW w:w="1211" w:type="dxa"/>
            <w:vAlign w:val="center"/>
          </w:tcPr>
          <w:p w:rsidR="00223592" w:rsidRPr="00C07404" w:rsidRDefault="00431962" w:rsidP="00C07404">
            <w:pPr>
              <w:pStyle w:val="Tabletext"/>
            </w:pPr>
            <w:r>
              <w:t>ETCL</w:t>
            </w:r>
          </w:p>
        </w:tc>
        <w:tc>
          <w:tcPr>
            <w:tcW w:w="7974" w:type="dxa"/>
            <w:vAlign w:val="center"/>
          </w:tcPr>
          <w:p w:rsidR="002B7FD7" w:rsidRPr="00C07404" w:rsidRDefault="00F9052B" w:rsidP="00F9052B">
            <w:pPr>
              <w:pStyle w:val="Tabletext"/>
            </w:pPr>
            <w:r>
              <w:t>End dating of UMS combinations</w:t>
            </w:r>
          </w:p>
          <w:p w:rsidR="00223592" w:rsidRPr="00C07404" w:rsidRDefault="002B7FD7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223592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223592" w:rsidRPr="00C07404" w:rsidRDefault="00431962" w:rsidP="00C07404">
            <w:pPr>
              <w:pStyle w:val="Tabletext"/>
            </w:pPr>
            <w:r>
              <w:t>M2151</w:t>
            </w:r>
          </w:p>
        </w:tc>
        <w:tc>
          <w:tcPr>
            <w:tcW w:w="1211" w:type="dxa"/>
            <w:vAlign w:val="center"/>
          </w:tcPr>
          <w:p w:rsidR="00223592" w:rsidRPr="00C07404" w:rsidRDefault="00431962" w:rsidP="00C07404">
            <w:pPr>
              <w:pStyle w:val="Tabletext"/>
            </w:pPr>
            <w:r>
              <w:t>IPNL</w:t>
            </w:r>
          </w:p>
        </w:tc>
        <w:tc>
          <w:tcPr>
            <w:tcW w:w="7974" w:type="dxa"/>
            <w:vAlign w:val="center"/>
          </w:tcPr>
          <w:p w:rsidR="00F9052B" w:rsidRDefault="00F9052B" w:rsidP="00F9052B">
            <w:pPr>
              <w:pStyle w:val="Tabletext"/>
            </w:pPr>
            <w:r>
              <w:t>Creation of new Valid MTC LLFC</w:t>
            </w:r>
            <w:r w:rsidR="001E2D33">
              <w:t xml:space="preserve"> SSC, new Valid MTC LLFC SSC</w:t>
            </w:r>
            <w:r>
              <w:t xml:space="preserve"> PC  Combinations</w:t>
            </w:r>
          </w:p>
          <w:p w:rsidR="00223592" w:rsidRPr="00C07404" w:rsidRDefault="002B7FD7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M2152</w:t>
            </w:r>
          </w:p>
        </w:tc>
        <w:tc>
          <w:tcPr>
            <w:tcW w:w="1211" w:type="dxa"/>
            <w:vAlign w:val="center"/>
          </w:tcPr>
          <w:p w:rsidR="00C66641" w:rsidRPr="00C07404" w:rsidRDefault="00431962" w:rsidP="00431962">
            <w:pPr>
              <w:pStyle w:val="Tabletext"/>
            </w:pPr>
            <w:r>
              <w:t>IPNL</w:t>
            </w:r>
          </w:p>
        </w:tc>
        <w:tc>
          <w:tcPr>
            <w:tcW w:w="7974" w:type="dxa"/>
            <w:vAlign w:val="center"/>
          </w:tcPr>
          <w:p w:rsidR="00C66641" w:rsidRPr="00C07404" w:rsidRDefault="00C66641" w:rsidP="00F9052B">
            <w:pPr>
              <w:pStyle w:val="Tabletext"/>
            </w:pPr>
            <w:r w:rsidRPr="00C07404">
              <w:t xml:space="preserve">Creation of new </w:t>
            </w:r>
            <w:r w:rsidR="005F5739">
              <w:t>HH UMS combinations</w:t>
            </w:r>
          </w:p>
          <w:p w:rsidR="00C66641" w:rsidRPr="00C07404" w:rsidRDefault="00C66641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M2153</w:t>
            </w:r>
          </w:p>
        </w:tc>
        <w:tc>
          <w:tcPr>
            <w:tcW w:w="1211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IPNL</w:t>
            </w:r>
          </w:p>
        </w:tc>
        <w:tc>
          <w:tcPr>
            <w:tcW w:w="7974" w:type="dxa"/>
            <w:vAlign w:val="center"/>
          </w:tcPr>
          <w:p w:rsidR="005F5739" w:rsidRPr="00C07404" w:rsidRDefault="005F5739" w:rsidP="005F5739">
            <w:pPr>
              <w:pStyle w:val="Tabletext"/>
            </w:pPr>
            <w:r w:rsidRPr="00C07404">
              <w:t xml:space="preserve">Creation of new </w:t>
            </w:r>
            <w:r>
              <w:t>HH combinations</w:t>
            </w:r>
          </w:p>
          <w:p w:rsidR="00C66641" w:rsidRPr="00C07404" w:rsidRDefault="00C66641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M2154</w:t>
            </w:r>
          </w:p>
        </w:tc>
        <w:tc>
          <w:tcPr>
            <w:tcW w:w="1211" w:type="dxa"/>
            <w:vAlign w:val="center"/>
          </w:tcPr>
          <w:p w:rsidR="00C66641" w:rsidRPr="00C07404" w:rsidRDefault="00431962" w:rsidP="00431962">
            <w:pPr>
              <w:pStyle w:val="Tabletext"/>
            </w:pPr>
            <w:r>
              <w:t>IPNL</w:t>
            </w:r>
          </w:p>
        </w:tc>
        <w:tc>
          <w:tcPr>
            <w:tcW w:w="7974" w:type="dxa"/>
            <w:vAlign w:val="center"/>
          </w:tcPr>
          <w:p w:rsidR="008143D3" w:rsidRDefault="008143D3" w:rsidP="008143D3">
            <w:pPr>
              <w:pStyle w:val="Tabletext"/>
            </w:pPr>
            <w:r>
              <w:t>Creation of new Valid MTC SSC LLFC and PC  Combinations</w:t>
            </w:r>
          </w:p>
          <w:p w:rsidR="00C66641" w:rsidRPr="00C07404" w:rsidRDefault="00C66641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M2155</w:t>
            </w:r>
          </w:p>
        </w:tc>
        <w:tc>
          <w:tcPr>
            <w:tcW w:w="1211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IPNL</w:t>
            </w:r>
          </w:p>
        </w:tc>
        <w:tc>
          <w:tcPr>
            <w:tcW w:w="7974" w:type="dxa"/>
            <w:vAlign w:val="center"/>
          </w:tcPr>
          <w:p w:rsidR="008143D3" w:rsidRPr="00C07404" w:rsidRDefault="008143D3" w:rsidP="008143D3">
            <w:pPr>
              <w:pStyle w:val="Tabletext"/>
            </w:pPr>
            <w:r w:rsidRPr="00C07404">
              <w:t xml:space="preserve">Creation of new </w:t>
            </w:r>
            <w:r>
              <w:t>HH UMS combinations</w:t>
            </w:r>
          </w:p>
          <w:p w:rsidR="00C66641" w:rsidRPr="00C07404" w:rsidRDefault="00C66641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M2156</w:t>
            </w:r>
          </w:p>
        </w:tc>
        <w:tc>
          <w:tcPr>
            <w:tcW w:w="1211" w:type="dxa"/>
            <w:vAlign w:val="center"/>
          </w:tcPr>
          <w:p w:rsidR="00C66641" w:rsidRPr="00C07404" w:rsidRDefault="00431962" w:rsidP="00431962">
            <w:pPr>
              <w:pStyle w:val="Tabletext"/>
            </w:pPr>
            <w:r>
              <w:t>IPNL</w:t>
            </w:r>
          </w:p>
        </w:tc>
        <w:tc>
          <w:tcPr>
            <w:tcW w:w="7974" w:type="dxa"/>
            <w:vAlign w:val="center"/>
          </w:tcPr>
          <w:p w:rsidR="005416F4" w:rsidRPr="00C07404" w:rsidRDefault="005416F4" w:rsidP="00F9052B">
            <w:pPr>
              <w:pStyle w:val="Tabletext"/>
            </w:pPr>
            <w:r w:rsidRPr="00C07404">
              <w:t>Creation of new</w:t>
            </w:r>
            <w:r w:rsidR="008143D3">
              <w:t xml:space="preserve"> </w:t>
            </w:r>
            <w:r w:rsidRPr="00C07404">
              <w:t xml:space="preserve"> Valid MTC LLFC </w:t>
            </w:r>
            <w:r w:rsidR="008143D3">
              <w:t xml:space="preserve">SSC </w:t>
            </w:r>
            <w:r w:rsidRPr="00C07404">
              <w:t>Combinations, new Valid MTC LLFC SSC PC Combinations</w:t>
            </w:r>
          </w:p>
          <w:p w:rsidR="00C66641" w:rsidRPr="00C07404" w:rsidRDefault="005416F4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M2157</w:t>
            </w:r>
          </w:p>
        </w:tc>
        <w:tc>
          <w:tcPr>
            <w:tcW w:w="1211" w:type="dxa"/>
            <w:vAlign w:val="center"/>
          </w:tcPr>
          <w:p w:rsidR="00C66641" w:rsidRPr="00C07404" w:rsidRDefault="00431962" w:rsidP="00431962">
            <w:pPr>
              <w:pStyle w:val="Tabletext"/>
            </w:pPr>
            <w:r>
              <w:t>SWAE</w:t>
            </w:r>
          </w:p>
        </w:tc>
        <w:tc>
          <w:tcPr>
            <w:tcW w:w="7974" w:type="dxa"/>
            <w:vAlign w:val="center"/>
          </w:tcPr>
          <w:p w:rsidR="008143D3" w:rsidRPr="00C07404" w:rsidRDefault="008143D3" w:rsidP="008143D3">
            <w:pPr>
              <w:pStyle w:val="Tabletext"/>
            </w:pPr>
            <w:r w:rsidRPr="00C07404">
              <w:t>Changes to Site Specific Line Loss Factor Class Descriptions</w:t>
            </w:r>
          </w:p>
          <w:p w:rsidR="00C66641" w:rsidRPr="00C07404" w:rsidRDefault="005416F4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M2158</w:t>
            </w:r>
          </w:p>
        </w:tc>
        <w:tc>
          <w:tcPr>
            <w:tcW w:w="1211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GDCC</w:t>
            </w:r>
          </w:p>
        </w:tc>
        <w:tc>
          <w:tcPr>
            <w:tcW w:w="7974" w:type="dxa"/>
            <w:vAlign w:val="center"/>
          </w:tcPr>
          <w:p w:rsidR="00B12757" w:rsidRPr="00C07404" w:rsidRDefault="00B12757" w:rsidP="00B12757">
            <w:pPr>
              <w:pStyle w:val="Tabletext"/>
            </w:pPr>
            <w:r w:rsidRPr="00C07404">
              <w:t>Change of Market Participant Address</w:t>
            </w:r>
          </w:p>
          <w:p w:rsidR="00C66641" w:rsidRPr="00C07404" w:rsidRDefault="005416F4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M2159</w:t>
            </w:r>
          </w:p>
        </w:tc>
        <w:tc>
          <w:tcPr>
            <w:tcW w:w="1211" w:type="dxa"/>
            <w:vAlign w:val="center"/>
          </w:tcPr>
          <w:p w:rsidR="00C66641" w:rsidRPr="00C07404" w:rsidRDefault="00431962" w:rsidP="00C07404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9963D8" w:rsidRPr="00C07404" w:rsidRDefault="009963D8" w:rsidP="009963D8">
            <w:pPr>
              <w:pStyle w:val="Tabletext"/>
            </w:pPr>
            <w:r w:rsidRPr="00C07404">
              <w:t>Change of Market Participant Address</w:t>
            </w:r>
            <w:r>
              <w:t xml:space="preserve"> (Green Deal)</w:t>
            </w:r>
          </w:p>
          <w:p w:rsidR="00C66641" w:rsidRPr="00C07404" w:rsidRDefault="005416F4" w:rsidP="00F9052B">
            <w:pPr>
              <w:pStyle w:val="Tabletext"/>
            </w:pPr>
            <w:r w:rsidRPr="00C07404"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431962" w:rsidRDefault="00431962" w:rsidP="00431962">
            <w:pPr>
              <w:pStyle w:val="Tabletext"/>
            </w:pPr>
            <w:r>
              <w:t>M2160</w:t>
            </w:r>
          </w:p>
        </w:tc>
        <w:tc>
          <w:tcPr>
            <w:tcW w:w="1211" w:type="dxa"/>
            <w:vAlign w:val="center"/>
          </w:tcPr>
          <w:p w:rsidR="00C66641" w:rsidRPr="00C66641" w:rsidRDefault="00431962" w:rsidP="00C66641">
            <w:pPr>
              <w:pStyle w:val="Tabletext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9963D8" w:rsidRPr="009963D8" w:rsidRDefault="009963D8" w:rsidP="005416F4">
            <w:pPr>
              <w:pStyle w:val="Tabletext"/>
            </w:pPr>
            <w:r>
              <w:t>Re-opening and renaming of existing Line Loss Factor Class</w:t>
            </w:r>
          </w:p>
          <w:p w:rsidR="00C66641" w:rsidRPr="001D4317" w:rsidRDefault="005416F4" w:rsidP="005416F4">
            <w:pPr>
              <w:pStyle w:val="Tabletext"/>
              <w:rPr>
                <w:b/>
              </w:rPr>
            </w:pPr>
            <w:r w:rsidRPr="00446337">
              <w:rPr>
                <w:i/>
              </w:rPr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Default="00431962" w:rsidP="00C66641">
            <w:pPr>
              <w:pStyle w:val="Tabletext"/>
            </w:pPr>
            <w:r>
              <w:lastRenderedPageBreak/>
              <w:t>M2161</w:t>
            </w:r>
          </w:p>
        </w:tc>
        <w:tc>
          <w:tcPr>
            <w:tcW w:w="1211" w:type="dxa"/>
            <w:vAlign w:val="center"/>
          </w:tcPr>
          <w:p w:rsidR="00C66641" w:rsidRPr="00C66641" w:rsidRDefault="00431962" w:rsidP="00C66641">
            <w:pPr>
              <w:pStyle w:val="Tabletext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9963D8" w:rsidRDefault="009963D8" w:rsidP="009963D8">
            <w:pPr>
              <w:pStyle w:val="Tabletext"/>
            </w:pPr>
            <w:r>
              <w:t>End dating existing Line Loss Factor Class, re-opening and change to Metering Class Line Loss Factor Class.</w:t>
            </w:r>
          </w:p>
          <w:p w:rsidR="00C66641" w:rsidRPr="001D4317" w:rsidRDefault="005416F4" w:rsidP="005416F4">
            <w:pPr>
              <w:pStyle w:val="Tabletext"/>
              <w:rPr>
                <w:b/>
              </w:rPr>
            </w:pPr>
            <w:r w:rsidRPr="00446337">
              <w:rPr>
                <w:i/>
              </w:rPr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A6150F" w:rsidRDefault="00A87F66" w:rsidP="00C66641">
            <w:pPr>
              <w:pStyle w:val="Tabletext"/>
            </w:pPr>
            <w:r>
              <w:t>M2162</w:t>
            </w:r>
          </w:p>
        </w:tc>
        <w:tc>
          <w:tcPr>
            <w:tcW w:w="1211" w:type="dxa"/>
            <w:vAlign w:val="center"/>
          </w:tcPr>
          <w:p w:rsidR="00C66641" w:rsidRPr="00A6150F" w:rsidRDefault="00C66641" w:rsidP="00C66641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66641" w:rsidRDefault="00C66641" w:rsidP="00EA2D22">
            <w:pPr>
              <w:pStyle w:val="Tabletext"/>
            </w:pPr>
            <w:r>
              <w:t>Inclusion of Charge Codes and Switch Regimes for use in the UMS Market</w:t>
            </w:r>
          </w:p>
          <w:p w:rsidR="00C66641" w:rsidRPr="004E05C5" w:rsidRDefault="00C66641" w:rsidP="00CF6F1A">
            <w:pPr>
              <w:pStyle w:val="Tabletext"/>
            </w:pPr>
            <w:r>
              <w:rPr>
                <w:i/>
              </w:rPr>
              <w:t xml:space="preserve">Effective from Date: </w:t>
            </w:r>
            <w:r w:rsidR="00F9052B">
              <w:t>18/06/</w:t>
            </w:r>
            <w:r w:rsidR="00F9052B" w:rsidRPr="00C07404">
              <w:t>2014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 Supplier Volume Al</w:t>
      </w:r>
      <w:r w:rsidR="002477AF">
        <w:t>location Group (SVG) meeting 160</w:t>
      </w:r>
      <w:r>
        <w:t xml:space="preserve"> on </w:t>
      </w:r>
      <w:r w:rsidR="002477AF">
        <w:t xml:space="preserve">3 June </w:t>
      </w:r>
      <w:r>
        <w:t>2014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2477AF">
        <w:rPr>
          <w:b/>
        </w:rPr>
        <w:t xml:space="preserve"> on Wednesday 21 May</w:t>
      </w:r>
      <w:r>
        <w:rPr>
          <w:b/>
        </w:rPr>
        <w:t xml:space="preserve">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>
        <w:t>ersion 21</w:t>
      </w:r>
      <w:r w:rsidR="00912542">
        <w:t>7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223592" w:rsidRDefault="00532209" w:rsidP="00C07404">
      <w:pPr>
        <w:pStyle w:val="BodyText"/>
      </w:pPr>
      <w:r>
        <w:t>James Townsend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23592" w:rsidRDefault="00223592" w:rsidP="00C07404">
      <w:pPr>
        <w:pStyle w:val="BodyText"/>
      </w:pPr>
      <w:r>
        <w:t>Attachment A – Change Requests</w:t>
      </w:r>
    </w:p>
    <w:p w:rsidR="00223592" w:rsidRDefault="00223592" w:rsidP="00C07404">
      <w:pPr>
        <w:pStyle w:val="BodyText"/>
      </w:pPr>
      <w:r>
        <w:t>Attachment B – UMS Charge Code Documentation</w:t>
      </w:r>
    </w:p>
    <w:p w:rsidR="004E3A21" w:rsidRDefault="004E3A21" w:rsidP="00C07404">
      <w:pPr>
        <w:pStyle w:val="BodyText"/>
      </w:pP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Wednesday </w:t>
      </w:r>
      <w:r w:rsidR="002477AF">
        <w:rPr>
          <w:b/>
        </w:rPr>
        <w:t>21 May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2477AF">
        <w:t>James Townsend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lastRenderedPageBreak/>
        <w:t>I agree/disagree* with the changes proposed in M21</w:t>
      </w:r>
      <w:r w:rsidR="002477AF">
        <w:t>49</w:t>
      </w:r>
    </w:p>
    <w:p w:rsidR="00223592" w:rsidRPr="009B4C84" w:rsidRDefault="00223592" w:rsidP="00C07404">
      <w:pPr>
        <w:pStyle w:val="ListBullet"/>
      </w:pPr>
      <w:r w:rsidRPr="009B4C84">
        <w:t>I agree/disagree* with the changes proposed in M21</w:t>
      </w:r>
      <w:r w:rsidR="002477AF">
        <w:t>50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2477AF">
        <w:t>th the changes proposed in M2151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ith the changes proposed in M2152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ith the changes proposed in M2153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ith the changes proposed in M2154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ith the changes proposed in M2155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ith the changes proposed in M2156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ith the changes proposed in M2157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 w:rsidR="002477AF">
        <w:t>58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 w:rsidR="002477AF">
        <w:t>59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 w:rsidR="002477AF">
        <w:t>60</w:t>
      </w:r>
    </w:p>
    <w:p w:rsidR="005416F4" w:rsidRDefault="005416F4" w:rsidP="00C07404">
      <w:pPr>
        <w:pStyle w:val="ListBullet"/>
      </w:pPr>
      <w:r w:rsidRPr="009B4C84">
        <w:t>I agree/disagree* with the changes proposed in M21</w:t>
      </w:r>
      <w:r w:rsidR="002477AF">
        <w:t>61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 w:rsidR="002477AF">
        <w:t>62</w:t>
      </w:r>
    </w:p>
    <w:p w:rsidR="00223592" w:rsidRPr="00223592" w:rsidRDefault="00223592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endnote>
  <w:end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DC354E" w:rsidP="00223592">
          <w:pPr>
            <w:pStyle w:val="Footer"/>
          </w:pPr>
          <w:fldSimple w:instr=" STYLEREF  &quot;Footer Ref 1&quot;  \* MERGEFORMAT ">
            <w:r w:rsidR="001002D2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CF6F1A" w:rsidRDefault="002477AF" w:rsidP="00223592">
          <w:pPr>
            <w:pStyle w:val="Footer"/>
          </w:pPr>
          <w:r>
            <w:t>00527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FC8ED23" wp14:editId="7A3E1FA5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02D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1002D2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C354E" w:rsidP="002477AF">
          <w:pPr>
            <w:pStyle w:val="Footer"/>
          </w:pPr>
          <w:fldSimple w:instr=" STYLEREF  &quot;Footer Date&quot;  \* MERGEFORMAT ">
            <w:r w:rsidR="001002D2">
              <w:rPr>
                <w:noProof/>
              </w:rPr>
              <w:t>14 May 2014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002D2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footnote>
  <w:foot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DC354E" w:rsidP="009D47D6">
          <w:pPr>
            <w:pStyle w:val="Title"/>
          </w:pPr>
          <w:fldSimple w:instr=" STYLEREF  Title  \* MERGEFORMAT ">
            <w:r w:rsidR="001002D2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843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73F4"/>
    <w:rsid w:val="0006412A"/>
    <w:rsid w:val="0006470B"/>
    <w:rsid w:val="00083A4B"/>
    <w:rsid w:val="0009083C"/>
    <w:rsid w:val="000935AD"/>
    <w:rsid w:val="000A32E3"/>
    <w:rsid w:val="000B0BF6"/>
    <w:rsid w:val="000B64DB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F670D"/>
    <w:rsid w:val="001002D2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C03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E2D33"/>
    <w:rsid w:val="001F5FF8"/>
    <w:rsid w:val="00200719"/>
    <w:rsid w:val="002050E1"/>
    <w:rsid w:val="00223592"/>
    <w:rsid w:val="00224CBF"/>
    <w:rsid w:val="00227464"/>
    <w:rsid w:val="00241ED6"/>
    <w:rsid w:val="00243F75"/>
    <w:rsid w:val="002477AF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2435"/>
    <w:rsid w:val="003D20BC"/>
    <w:rsid w:val="003D2F63"/>
    <w:rsid w:val="003E3D26"/>
    <w:rsid w:val="003F0ED5"/>
    <w:rsid w:val="0040030D"/>
    <w:rsid w:val="00401A30"/>
    <w:rsid w:val="004022EE"/>
    <w:rsid w:val="00412CE1"/>
    <w:rsid w:val="004204F4"/>
    <w:rsid w:val="00431962"/>
    <w:rsid w:val="0043259F"/>
    <w:rsid w:val="0043358D"/>
    <w:rsid w:val="004523D9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2C04"/>
    <w:rsid w:val="004E3651"/>
    <w:rsid w:val="004E3A21"/>
    <w:rsid w:val="005013E0"/>
    <w:rsid w:val="00510487"/>
    <w:rsid w:val="00511557"/>
    <w:rsid w:val="00526528"/>
    <w:rsid w:val="00526D98"/>
    <w:rsid w:val="00532209"/>
    <w:rsid w:val="005416F4"/>
    <w:rsid w:val="00541E77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60CB1"/>
    <w:rsid w:val="006713C4"/>
    <w:rsid w:val="00671888"/>
    <w:rsid w:val="006807CF"/>
    <w:rsid w:val="00691A37"/>
    <w:rsid w:val="00693B09"/>
    <w:rsid w:val="006954B6"/>
    <w:rsid w:val="0069564B"/>
    <w:rsid w:val="00696C07"/>
    <w:rsid w:val="006A3242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650A"/>
    <w:rsid w:val="0076388D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143D3"/>
    <w:rsid w:val="00822B99"/>
    <w:rsid w:val="00823B4C"/>
    <w:rsid w:val="0082633E"/>
    <w:rsid w:val="0084235C"/>
    <w:rsid w:val="0087420B"/>
    <w:rsid w:val="00874A5B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12542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760C"/>
    <w:rsid w:val="00A426A7"/>
    <w:rsid w:val="00A437F9"/>
    <w:rsid w:val="00A44D3F"/>
    <w:rsid w:val="00A60255"/>
    <w:rsid w:val="00A611C5"/>
    <w:rsid w:val="00A611F4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C4182"/>
    <w:rsid w:val="00AE0441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273C7"/>
    <w:rsid w:val="00C37641"/>
    <w:rsid w:val="00C460D2"/>
    <w:rsid w:val="00C47F59"/>
    <w:rsid w:val="00C6596A"/>
    <w:rsid w:val="00C66641"/>
    <w:rsid w:val="00C75A66"/>
    <w:rsid w:val="00C76D37"/>
    <w:rsid w:val="00C82766"/>
    <w:rsid w:val="00C93633"/>
    <w:rsid w:val="00C940BA"/>
    <w:rsid w:val="00C95E62"/>
    <w:rsid w:val="00CB515A"/>
    <w:rsid w:val="00CB7A8B"/>
    <w:rsid w:val="00CC3E06"/>
    <w:rsid w:val="00CD3EF7"/>
    <w:rsid w:val="00CE6FD6"/>
    <w:rsid w:val="00CF1DAF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680B"/>
    <w:rsid w:val="00D43CD5"/>
    <w:rsid w:val="00D45918"/>
    <w:rsid w:val="00D55D00"/>
    <w:rsid w:val="00D5644A"/>
    <w:rsid w:val="00D565CB"/>
    <w:rsid w:val="00D65E4C"/>
    <w:rsid w:val="00D77398"/>
    <w:rsid w:val="00D85CD8"/>
    <w:rsid w:val="00DB17C4"/>
    <w:rsid w:val="00DC1F44"/>
    <w:rsid w:val="00DC2EFA"/>
    <w:rsid w:val="00DC354E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12272"/>
    <w:rsid w:val="00E24332"/>
    <w:rsid w:val="00E25D80"/>
    <w:rsid w:val="00E32335"/>
    <w:rsid w:val="00E437C6"/>
    <w:rsid w:val="00E53D37"/>
    <w:rsid w:val="00E564AD"/>
    <w:rsid w:val="00E63D63"/>
    <w:rsid w:val="00E66CE7"/>
    <w:rsid w:val="00E677BA"/>
    <w:rsid w:val="00E7331F"/>
    <w:rsid w:val="00E73AB4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2113E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F3E9-4383-4755-8750-2B48BA2E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MDD_IA_Circular_00527_v0.dotx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James Townsend</cp:lastModifiedBy>
  <cp:revision>2</cp:revision>
  <cp:lastPrinted>2014-02-10T12:24:00Z</cp:lastPrinted>
  <dcterms:created xsi:type="dcterms:W3CDTF">2014-05-14T08:57:00Z</dcterms:created>
  <dcterms:modified xsi:type="dcterms:W3CDTF">2014-05-14T08:57:00Z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