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061BF" w:rsidTr="00DF6FAC">
        <w:trPr>
          <w:cantSplit/>
        </w:trPr>
        <w:tc>
          <w:tcPr>
            <w:tcW w:w="5000" w:type="pct"/>
          </w:tcPr>
          <w:p w:rsidR="002061BF" w:rsidRDefault="002061BF" w:rsidP="00DF6FAC">
            <w:pPr>
              <w:pageBreakBefore/>
              <w:spacing w:before="120" w:after="120"/>
              <w:ind w:left="851" w:hanging="851"/>
              <w:jc w:val="both"/>
              <w:outlineLvl w:val="0"/>
              <w:rPr>
                <w:b/>
                <w:szCs w:val="24"/>
                <w:lang w:eastAsia="en-GB"/>
              </w:rPr>
            </w:pPr>
            <w:bookmarkStart w:id="0" w:name="_Toc327345136"/>
            <w:bookmarkStart w:id="1" w:name="_Toc77936325"/>
            <w:r>
              <w:rPr>
                <w:b/>
                <w:szCs w:val="24"/>
                <w:lang w:eastAsia="en-GB"/>
              </w:rPr>
              <w:t>1.</w:t>
            </w:r>
            <w:r>
              <w:rPr>
                <w:b/>
                <w:szCs w:val="24"/>
                <w:lang w:eastAsia="en-GB"/>
              </w:rPr>
              <w:tab/>
            </w:r>
            <w:r>
              <w:rPr>
                <w:rFonts w:ascii="Times New Roman Bold" w:hAnsi="Times New Roman Bold"/>
                <w:b/>
                <w:caps/>
                <w:szCs w:val="24"/>
                <w:lang w:eastAsia="en-GB"/>
              </w:rPr>
              <w:t>Introduction</w:t>
            </w:r>
            <w:bookmarkEnd w:id="0"/>
            <w:bookmarkEnd w:id="1"/>
          </w:p>
        </w:tc>
      </w:tr>
      <w:tr w:rsidR="002061BF" w:rsidTr="00DF6FAC">
        <w:trPr>
          <w:cantSplit/>
        </w:trPr>
        <w:tc>
          <w:tcPr>
            <w:tcW w:w="5000" w:type="pct"/>
          </w:tcPr>
          <w:p w:rsidR="002061BF" w:rsidRDefault="002061BF" w:rsidP="00DF6FAC">
            <w:pPr>
              <w:tabs>
                <w:tab w:val="left" w:pos="567"/>
              </w:tabs>
              <w:spacing w:after="140" w:line="280" w:lineRule="exact"/>
              <w:rPr>
                <w:rFonts w:eastAsia="Times"/>
                <w:b/>
                <w:bCs/>
                <w:szCs w:val="24"/>
              </w:rPr>
            </w:pPr>
            <w:r>
              <w:rPr>
                <w:rFonts w:eastAsia="Times"/>
                <w:b/>
                <w:bCs/>
                <w:szCs w:val="24"/>
              </w:rPr>
              <w:t>Objectives of the CSAD</w:t>
            </w:r>
          </w:p>
          <w:p w:rsidR="002061BF" w:rsidRDefault="002061BF" w:rsidP="00DF6FAC">
            <w:pPr>
              <w:tabs>
                <w:tab w:val="left" w:pos="567"/>
              </w:tabs>
              <w:spacing w:after="60" w:line="280" w:lineRule="exact"/>
              <w:rPr>
                <w:rFonts w:eastAsia="Times"/>
                <w:szCs w:val="24"/>
              </w:rPr>
            </w:pPr>
            <w:r>
              <w:rPr>
                <w:rFonts w:eastAsia="Times"/>
                <w:szCs w:val="24"/>
              </w:rPr>
              <w:t>The Audit of Line Loss Factors seeks to provide additional transparency and consistency regarding the calculation and application of Line Loss Factors (LLFs) used in Settlement by creating a set of high level principles, which all LLF methodologies (created by Licensed Distribution System Operators (LDSOs)) must adhere to. The principles are detailed in BSCP128 ‘Production, Submission, Audit and Approval of Line Loss Factors’. The LDSO must then calculate the LLFs according to their approved methodology statement. An audit of the LLF calculations is required to ensure that they are consistent with the approved methodology.</w:t>
            </w:r>
          </w:p>
          <w:p w:rsidR="002061BF" w:rsidRDefault="002061BF" w:rsidP="00DF6FAC">
            <w:pPr>
              <w:tabs>
                <w:tab w:val="left" w:pos="567"/>
              </w:tabs>
              <w:spacing w:after="120" w:line="280" w:lineRule="exact"/>
              <w:rPr>
                <w:rFonts w:eastAsia="Times"/>
                <w:szCs w:val="24"/>
              </w:rPr>
            </w:pPr>
            <w:r>
              <w:rPr>
                <w:rFonts w:eastAsia="Times"/>
                <w:szCs w:val="24"/>
              </w:rPr>
              <w:t>This Calculation Self Assessment Document (CSAD) is designed to gather factual information about the compliance of the LLF Calculations and the methodology it applies to.</w:t>
            </w:r>
          </w:p>
          <w:p w:rsidR="002061BF" w:rsidRDefault="002061BF" w:rsidP="00DF6FAC">
            <w:pPr>
              <w:tabs>
                <w:tab w:val="left" w:pos="567"/>
              </w:tabs>
              <w:spacing w:after="120" w:line="280" w:lineRule="exact"/>
              <w:rPr>
                <w:rFonts w:eastAsia="Times"/>
                <w:szCs w:val="24"/>
              </w:rPr>
            </w:pPr>
            <w:r>
              <w:rPr>
                <w:rFonts w:eastAsia="Times"/>
                <w:szCs w:val="24"/>
              </w:rPr>
              <w:t>For any defined terms see BSCP128. All defined terms are initially capitalised. Any other terms please refer to the Balancing Settlement Code.</w:t>
            </w:r>
          </w:p>
        </w:tc>
      </w:tr>
      <w:tr w:rsidR="002061BF" w:rsidTr="00DF6FAC">
        <w:tc>
          <w:tcPr>
            <w:tcW w:w="5000" w:type="pct"/>
          </w:tcPr>
          <w:p w:rsidR="002061BF" w:rsidRDefault="002061BF" w:rsidP="00DF6FAC">
            <w:pPr>
              <w:tabs>
                <w:tab w:val="left" w:pos="567"/>
              </w:tabs>
              <w:spacing w:after="140" w:line="280" w:lineRule="exact"/>
              <w:rPr>
                <w:rFonts w:eastAsia="Times"/>
                <w:b/>
                <w:bCs/>
                <w:szCs w:val="24"/>
              </w:rPr>
            </w:pPr>
            <w:r>
              <w:rPr>
                <w:rFonts w:eastAsia="Times"/>
                <w:b/>
                <w:bCs/>
                <w:szCs w:val="24"/>
              </w:rPr>
              <w:t>Guidance for completing the CSAD</w:t>
            </w:r>
          </w:p>
          <w:p w:rsidR="002061BF" w:rsidRDefault="002061BF" w:rsidP="00DF6FAC">
            <w:pPr>
              <w:tabs>
                <w:tab w:val="left" w:pos="567"/>
              </w:tabs>
              <w:spacing w:after="140" w:line="280" w:lineRule="exact"/>
              <w:rPr>
                <w:rFonts w:eastAsia="Times"/>
                <w:bCs/>
                <w:szCs w:val="24"/>
              </w:rPr>
            </w:pPr>
            <w:r>
              <w:rPr>
                <w:rFonts w:eastAsia="Times"/>
                <w:bCs/>
                <w:szCs w:val="24"/>
              </w:rPr>
              <w:t>The CSAD has been split into three sections as follows:</w:t>
            </w:r>
          </w:p>
          <w:p w:rsidR="002061BF" w:rsidRDefault="002061BF" w:rsidP="00DF6FAC">
            <w:pPr>
              <w:tabs>
                <w:tab w:val="left" w:pos="567"/>
              </w:tabs>
              <w:spacing w:after="140" w:line="280" w:lineRule="exact"/>
              <w:ind w:left="567" w:hanging="567"/>
              <w:rPr>
                <w:rFonts w:eastAsia="Times"/>
                <w:szCs w:val="24"/>
              </w:rPr>
            </w:pPr>
            <w:r>
              <w:rPr>
                <w:rFonts w:eastAsia="Times"/>
                <w:szCs w:val="24"/>
              </w:rPr>
              <w:t>1.1</w:t>
            </w:r>
            <w:r>
              <w:rPr>
                <w:rFonts w:eastAsia="Times"/>
                <w:szCs w:val="24"/>
              </w:rPr>
              <w:tab/>
              <w:t>General Information</w:t>
            </w:r>
          </w:p>
          <w:p w:rsidR="002061BF" w:rsidRDefault="002061BF" w:rsidP="00DF6FAC">
            <w:pPr>
              <w:tabs>
                <w:tab w:val="left" w:pos="720"/>
                <w:tab w:val="left" w:pos="1440"/>
                <w:tab w:val="left" w:pos="2340"/>
                <w:tab w:val="left" w:pos="3060"/>
              </w:tabs>
              <w:autoSpaceDE w:val="0"/>
              <w:autoSpaceDN w:val="0"/>
              <w:adjustRightInd w:val="0"/>
              <w:spacing w:after="120"/>
              <w:jc w:val="both"/>
              <w:rPr>
                <w:szCs w:val="24"/>
                <w:lang w:eastAsia="en-GB"/>
              </w:rPr>
            </w:pPr>
            <w:r>
              <w:rPr>
                <w:szCs w:val="24"/>
                <w:lang w:eastAsia="en-GB"/>
              </w:rPr>
              <w:t>This section should be completed in full in respect of all questions.</w:t>
            </w:r>
          </w:p>
          <w:p w:rsidR="002061BF" w:rsidRDefault="002061BF" w:rsidP="00DF6FAC">
            <w:pPr>
              <w:tabs>
                <w:tab w:val="left" w:pos="567"/>
              </w:tabs>
              <w:spacing w:after="140" w:line="280" w:lineRule="exact"/>
              <w:ind w:left="567" w:hanging="567"/>
              <w:rPr>
                <w:rFonts w:eastAsia="Times"/>
                <w:szCs w:val="24"/>
              </w:rPr>
            </w:pPr>
            <w:r>
              <w:rPr>
                <w:rFonts w:eastAsia="Times"/>
                <w:szCs w:val="24"/>
              </w:rPr>
              <w:t>1.2</w:t>
            </w:r>
            <w:r>
              <w:rPr>
                <w:rFonts w:eastAsia="Times"/>
                <w:szCs w:val="24"/>
              </w:rPr>
              <w:tab/>
              <w:t>Calculation Applicability Section.</w:t>
            </w:r>
          </w:p>
          <w:p w:rsidR="002061BF" w:rsidRDefault="002061BF" w:rsidP="00DF6FAC">
            <w:pPr>
              <w:tabs>
                <w:tab w:val="left" w:pos="567"/>
              </w:tabs>
              <w:spacing w:after="120" w:line="280" w:lineRule="exact"/>
              <w:rPr>
                <w:rFonts w:eastAsia="Times"/>
                <w:szCs w:val="24"/>
              </w:rPr>
            </w:pPr>
            <w:r>
              <w:rPr>
                <w:rFonts w:eastAsia="Times"/>
                <w:szCs w:val="24"/>
              </w:rPr>
              <w:t>LDSOs should provide information to which GSP Groups and Methodology the calculation applies to.</w:t>
            </w:r>
          </w:p>
          <w:p w:rsidR="002061BF" w:rsidRDefault="002061BF" w:rsidP="00DF6FAC">
            <w:pPr>
              <w:tabs>
                <w:tab w:val="left" w:pos="567"/>
              </w:tabs>
              <w:spacing w:after="140" w:line="280" w:lineRule="exact"/>
              <w:ind w:left="567" w:hanging="567"/>
              <w:rPr>
                <w:rFonts w:eastAsia="Times"/>
                <w:szCs w:val="24"/>
              </w:rPr>
            </w:pPr>
            <w:r>
              <w:rPr>
                <w:rFonts w:eastAsia="Times"/>
                <w:szCs w:val="24"/>
              </w:rPr>
              <w:t>1.3</w:t>
            </w:r>
            <w:r>
              <w:rPr>
                <w:rFonts w:eastAsia="Times"/>
                <w:szCs w:val="24"/>
              </w:rPr>
              <w:tab/>
              <w:t>Calculations Assessment Section.</w:t>
            </w:r>
          </w:p>
          <w:p w:rsidR="002061BF" w:rsidRDefault="002061BF" w:rsidP="00DF6FAC">
            <w:pPr>
              <w:tabs>
                <w:tab w:val="left" w:pos="720"/>
                <w:tab w:val="left" w:pos="1440"/>
                <w:tab w:val="left" w:pos="2340"/>
                <w:tab w:val="left" w:pos="3060"/>
              </w:tabs>
              <w:autoSpaceDE w:val="0"/>
              <w:autoSpaceDN w:val="0"/>
              <w:adjustRightInd w:val="0"/>
              <w:spacing w:after="120"/>
              <w:jc w:val="both"/>
              <w:rPr>
                <w:szCs w:val="24"/>
                <w:lang w:eastAsia="en-GB"/>
              </w:rPr>
            </w:pPr>
            <w:r>
              <w:rPr>
                <w:szCs w:val="24"/>
                <w:lang w:eastAsia="en-GB"/>
              </w:rPr>
              <w:t xml:space="preserve">This section contains a series of questions, for each of which guidance is provided in order to either provide clarification or to set out the areas the response should address. </w:t>
            </w:r>
          </w:p>
          <w:p w:rsidR="002061BF" w:rsidRDefault="002061BF" w:rsidP="00DF6FAC">
            <w:pPr>
              <w:tabs>
                <w:tab w:val="left" w:pos="720"/>
                <w:tab w:val="left" w:pos="1440"/>
                <w:tab w:val="left" w:pos="2340"/>
                <w:tab w:val="left" w:pos="3060"/>
              </w:tabs>
              <w:autoSpaceDE w:val="0"/>
              <w:autoSpaceDN w:val="0"/>
              <w:adjustRightInd w:val="0"/>
              <w:spacing w:after="120"/>
              <w:jc w:val="both"/>
              <w:rPr>
                <w:szCs w:val="24"/>
                <w:lang w:eastAsia="en-GB"/>
              </w:rPr>
            </w:pPr>
            <w:r>
              <w:rPr>
                <w:szCs w:val="24"/>
                <w:lang w:eastAsia="en-GB"/>
              </w:rPr>
              <w:t>The LDSO should also indicate what evidence is available to support the responses given. This evidence will need to be available to BSCCo for the audit to review take place.</w:t>
            </w:r>
          </w:p>
          <w:p w:rsidR="002061BF" w:rsidRDefault="002061BF" w:rsidP="00DF6FAC">
            <w:pPr>
              <w:tabs>
                <w:tab w:val="left" w:pos="720"/>
                <w:tab w:val="left" w:pos="1440"/>
                <w:tab w:val="left" w:pos="2340"/>
                <w:tab w:val="left" w:pos="3060"/>
              </w:tabs>
              <w:autoSpaceDE w:val="0"/>
              <w:autoSpaceDN w:val="0"/>
              <w:adjustRightInd w:val="0"/>
              <w:spacing w:after="120"/>
              <w:jc w:val="both"/>
              <w:rPr>
                <w:szCs w:val="24"/>
                <w:lang w:eastAsia="en-GB"/>
              </w:rPr>
            </w:pPr>
            <w:r>
              <w:rPr>
                <w:szCs w:val="24"/>
                <w:lang w:eastAsia="en-GB"/>
              </w:rPr>
              <w:t>References to ‘systems’ within the CSAD do not relate solely to the functionality of computer hardware and software, but extend to the supporting business and operational processes (including manual processes). The term ‘development’ in relation to a system refers to either the development of a new system or to any significant changes or upgrades in respect of an existing system.</w:t>
            </w:r>
          </w:p>
          <w:p w:rsidR="002061BF" w:rsidRDefault="002061BF" w:rsidP="00DF6FAC">
            <w:pPr>
              <w:tabs>
                <w:tab w:val="left" w:pos="567"/>
              </w:tabs>
              <w:spacing w:after="120" w:line="280" w:lineRule="exact"/>
              <w:rPr>
                <w:rFonts w:eastAsia="Times"/>
                <w:szCs w:val="24"/>
              </w:rPr>
            </w:pPr>
            <w:r>
              <w:rPr>
                <w:rFonts w:eastAsia="Times"/>
                <w:szCs w:val="24"/>
              </w:rPr>
              <w:t>The final question in this section is not mandatory and is provided so that Applicants can provide any additional information that they consider to be relevant to their application.</w:t>
            </w:r>
          </w:p>
          <w:p w:rsidR="002061BF" w:rsidRDefault="002061BF" w:rsidP="00DF6FAC">
            <w:pPr>
              <w:tabs>
                <w:tab w:val="left" w:pos="567"/>
              </w:tabs>
              <w:spacing w:after="120" w:line="280" w:lineRule="exact"/>
              <w:rPr>
                <w:rFonts w:eastAsia="Times"/>
                <w:szCs w:val="24"/>
              </w:rPr>
            </w:pPr>
            <w:r>
              <w:rPr>
                <w:rFonts w:eastAsia="Times"/>
                <w:szCs w:val="24"/>
              </w:rPr>
              <w:t>Appendix 9 should accompany this document if site specific LLFs were recalculated.</w:t>
            </w:r>
          </w:p>
        </w:tc>
      </w:tr>
    </w:tbl>
    <w:p w:rsidR="002061BF" w:rsidRDefault="002061BF" w:rsidP="002061BF">
      <w:pPr>
        <w:spacing w:after="120"/>
        <w:jc w:val="both"/>
        <w:outlineLvl w:val="1"/>
        <w:rPr>
          <w:szCs w:val="22"/>
          <w:lang w:eastAsia="en-GB"/>
        </w:rPr>
      </w:pPr>
    </w:p>
    <w:p w:rsidR="002061BF" w:rsidRDefault="002061BF" w:rsidP="002061BF">
      <w:pPr>
        <w:spacing w:after="120"/>
      </w:pPr>
    </w:p>
    <w:p w:rsidR="002061BF" w:rsidRDefault="002061BF" w:rsidP="002061BF">
      <w:pPr>
        <w:spacing w:after="120"/>
        <w:sectPr w:rsidR="002061BF">
          <w:headerReference w:type="default" r:id="rId7"/>
          <w:footerReference w:type="default" r:id="rId8"/>
          <w:endnotePr>
            <w:numFmt w:val="decimal"/>
          </w:endnotePr>
          <w:pgSz w:w="11907" w:h="16840" w:code="9"/>
          <w:pgMar w:top="1418" w:right="1418" w:bottom="1418" w:left="1418" w:header="709" w:footer="709" w:gutter="0"/>
          <w:paperSrc w:first="7" w:other="7"/>
          <w:cols w:space="720"/>
          <w:noEndnote/>
        </w:sectPr>
      </w:pPr>
    </w:p>
    <w:tbl>
      <w:tblPr>
        <w:tblStyle w:val="TableGrid"/>
        <w:tblW w:w="0" w:type="auto"/>
        <w:tblLook w:val="04A0" w:firstRow="1" w:lastRow="0" w:firstColumn="1" w:lastColumn="0" w:noHBand="0" w:noVBand="1"/>
      </w:tblPr>
      <w:tblGrid>
        <w:gridCol w:w="7016"/>
        <w:gridCol w:w="6978"/>
      </w:tblGrid>
      <w:tr w:rsidR="002061BF" w:rsidRPr="0082045E" w:rsidTr="00DF6FAC">
        <w:tc>
          <w:tcPr>
            <w:tcW w:w="14174" w:type="dxa"/>
            <w:gridSpan w:val="2"/>
            <w:tcMar>
              <w:top w:w="85" w:type="dxa"/>
              <w:left w:w="85" w:type="dxa"/>
              <w:bottom w:w="85" w:type="dxa"/>
              <w:right w:w="85" w:type="dxa"/>
            </w:tcMar>
          </w:tcPr>
          <w:p w:rsidR="002061BF" w:rsidRPr="0082045E" w:rsidRDefault="002061BF" w:rsidP="00DF6FAC">
            <w:pPr>
              <w:pageBreakBefore/>
              <w:ind w:left="851" w:hanging="851"/>
              <w:jc w:val="both"/>
              <w:outlineLvl w:val="1"/>
              <w:rPr>
                <w:b/>
              </w:rPr>
            </w:pPr>
            <w:bookmarkStart w:id="2" w:name="_Toc77936326"/>
            <w:r w:rsidRPr="0082045E">
              <w:rPr>
                <w:b/>
              </w:rPr>
              <w:t>1.1</w:t>
            </w:r>
            <w:r w:rsidRPr="0082045E">
              <w:rPr>
                <w:b/>
              </w:rPr>
              <w:tab/>
              <w:t>General Information</w:t>
            </w:r>
            <w:bookmarkEnd w:id="2"/>
          </w:p>
        </w:tc>
      </w:tr>
      <w:tr w:rsidR="002061BF" w:rsidRPr="008B1CA7" w:rsidTr="00DF6FAC">
        <w:tc>
          <w:tcPr>
            <w:tcW w:w="7088" w:type="dxa"/>
            <w:tcMar>
              <w:top w:w="85" w:type="dxa"/>
              <w:left w:w="85" w:type="dxa"/>
              <w:bottom w:w="85" w:type="dxa"/>
              <w:right w:w="85" w:type="dxa"/>
            </w:tcMar>
          </w:tcPr>
          <w:p w:rsidR="002061BF" w:rsidRPr="0082045E" w:rsidRDefault="002061BF" w:rsidP="00DF6FAC">
            <w:pPr>
              <w:rPr>
                <w:b/>
              </w:rPr>
            </w:pPr>
            <w:r w:rsidRPr="0082045E">
              <w:rPr>
                <w:b/>
              </w:rPr>
              <w:t>Distribution Company Name:</w:t>
            </w:r>
          </w:p>
        </w:tc>
        <w:tc>
          <w:tcPr>
            <w:tcW w:w="7086" w:type="dxa"/>
            <w:tcMar>
              <w:top w:w="85" w:type="dxa"/>
              <w:left w:w="85" w:type="dxa"/>
              <w:bottom w:w="85" w:type="dxa"/>
              <w:right w:w="85" w:type="dxa"/>
            </w:tcMar>
          </w:tcPr>
          <w:p w:rsidR="002061BF" w:rsidRPr="008B1CA7" w:rsidRDefault="002061BF" w:rsidP="00DF6FAC"/>
        </w:tc>
      </w:tr>
      <w:tr w:rsidR="002061BF" w:rsidRPr="0082045E" w:rsidTr="00DF6FAC">
        <w:tc>
          <w:tcPr>
            <w:tcW w:w="14174" w:type="dxa"/>
            <w:gridSpan w:val="2"/>
            <w:tcMar>
              <w:top w:w="85" w:type="dxa"/>
              <w:left w:w="85" w:type="dxa"/>
              <w:bottom w:w="85" w:type="dxa"/>
              <w:right w:w="85" w:type="dxa"/>
            </w:tcMar>
          </w:tcPr>
          <w:p w:rsidR="002061BF" w:rsidRDefault="002061BF" w:rsidP="00DF6FAC">
            <w:pPr>
              <w:spacing w:after="120"/>
            </w:pPr>
            <w:r w:rsidRPr="008B1CA7">
              <w:t>We confirm that:</w:t>
            </w:r>
          </w:p>
          <w:p w:rsidR="002061BF" w:rsidRPr="0082045E" w:rsidRDefault="002061BF" w:rsidP="00DF6FAC">
            <w:pPr>
              <w:pStyle w:val="ListParagraph"/>
              <w:numPr>
                <w:ilvl w:val="0"/>
                <w:numId w:val="2"/>
              </w:numPr>
              <w:spacing w:after="120"/>
              <w:contextualSpacing w:val="0"/>
            </w:pPr>
            <w:r w:rsidRPr="0082045E">
              <w:t>the Line Loss Factor Calculation Self-Assessment Document (CSAD) is true, complete and accurate and not misleading because of any omission or ambiguity or for any other reason; and</w:t>
            </w:r>
          </w:p>
          <w:p w:rsidR="002061BF" w:rsidRPr="0082045E" w:rsidRDefault="002061BF" w:rsidP="00DF6FAC">
            <w:pPr>
              <w:pStyle w:val="ListParagraph"/>
              <w:numPr>
                <w:ilvl w:val="0"/>
                <w:numId w:val="2"/>
              </w:numPr>
            </w:pPr>
            <w:r w:rsidRPr="0082045E">
              <w:t>in our opinion, the arrangements as documented are adequate and appropriate for the provisions under the Balancing and Settlement Code Section K and BSCP128 ‘Production, Submission, Audit and Approval of Line Loss Factors.</w:t>
            </w:r>
          </w:p>
        </w:tc>
      </w:tr>
      <w:tr w:rsidR="002061BF" w:rsidRPr="008B1CA7" w:rsidTr="00DF6FAC">
        <w:tc>
          <w:tcPr>
            <w:tcW w:w="7088" w:type="dxa"/>
            <w:tcMar>
              <w:top w:w="85" w:type="dxa"/>
              <w:left w:w="85" w:type="dxa"/>
              <w:bottom w:w="85" w:type="dxa"/>
              <w:right w:w="85" w:type="dxa"/>
            </w:tcMar>
          </w:tcPr>
          <w:p w:rsidR="002061BF" w:rsidRPr="0082045E" w:rsidRDefault="002061BF" w:rsidP="00DF6FAC">
            <w:pPr>
              <w:rPr>
                <w:b/>
              </w:rPr>
            </w:pPr>
            <w:r w:rsidRPr="0082045E">
              <w:rPr>
                <w:b/>
              </w:rPr>
              <w:t>Authorised Signature:</w:t>
            </w:r>
          </w:p>
        </w:tc>
        <w:tc>
          <w:tcPr>
            <w:tcW w:w="7086" w:type="dxa"/>
          </w:tcPr>
          <w:p w:rsidR="002061BF" w:rsidRPr="008B1CA7" w:rsidRDefault="002061BF" w:rsidP="00DF6FAC"/>
        </w:tc>
      </w:tr>
      <w:tr w:rsidR="002061BF" w:rsidRPr="008B1CA7" w:rsidTr="00DF6FAC">
        <w:tc>
          <w:tcPr>
            <w:tcW w:w="14174" w:type="dxa"/>
            <w:gridSpan w:val="2"/>
            <w:tcMar>
              <w:top w:w="85" w:type="dxa"/>
              <w:left w:w="85" w:type="dxa"/>
              <w:bottom w:w="85" w:type="dxa"/>
              <w:right w:w="85" w:type="dxa"/>
            </w:tcMar>
          </w:tcPr>
          <w:p w:rsidR="002061BF" w:rsidRPr="008B1CA7" w:rsidRDefault="002061BF" w:rsidP="00DF6FAC"/>
        </w:tc>
      </w:tr>
      <w:tr w:rsidR="002061BF" w:rsidRPr="008B1CA7" w:rsidTr="00DF6FAC">
        <w:tc>
          <w:tcPr>
            <w:tcW w:w="7088" w:type="dxa"/>
            <w:tcMar>
              <w:top w:w="85" w:type="dxa"/>
              <w:left w:w="85" w:type="dxa"/>
              <w:bottom w:w="85" w:type="dxa"/>
              <w:right w:w="85" w:type="dxa"/>
            </w:tcMar>
          </w:tcPr>
          <w:p w:rsidR="002061BF" w:rsidRDefault="002061BF" w:rsidP="00DF6FAC">
            <w:pPr>
              <w:spacing w:after="120"/>
              <w:rPr>
                <w:b/>
              </w:rPr>
            </w:pPr>
            <w:r w:rsidRPr="0082045E">
              <w:rPr>
                <w:b/>
              </w:rPr>
              <w:t>Name of Authorised Signatory:</w:t>
            </w:r>
          </w:p>
          <w:p w:rsidR="002061BF" w:rsidRPr="0082045E" w:rsidRDefault="002061BF" w:rsidP="00DF6FAC">
            <w:pPr>
              <w:rPr>
                <w:b/>
              </w:rPr>
            </w:pPr>
            <w:r w:rsidRPr="0082045E">
              <w:rPr>
                <w:b/>
              </w:rPr>
              <w:t>(Category X as per BSCP38 ‘Authorisations’)</w:t>
            </w:r>
          </w:p>
        </w:tc>
        <w:tc>
          <w:tcPr>
            <w:tcW w:w="7086" w:type="dxa"/>
          </w:tcPr>
          <w:p w:rsidR="002061BF" w:rsidRPr="008B1CA7" w:rsidRDefault="002061BF" w:rsidP="00DF6FAC"/>
        </w:tc>
      </w:tr>
      <w:tr w:rsidR="002061BF" w:rsidRPr="008B1CA7" w:rsidTr="00DF6FAC">
        <w:tc>
          <w:tcPr>
            <w:tcW w:w="7088" w:type="dxa"/>
            <w:tcMar>
              <w:top w:w="85" w:type="dxa"/>
              <w:left w:w="85" w:type="dxa"/>
              <w:bottom w:w="85" w:type="dxa"/>
              <w:right w:w="85" w:type="dxa"/>
            </w:tcMar>
          </w:tcPr>
          <w:p w:rsidR="002061BF" w:rsidRPr="0082045E" w:rsidRDefault="002061BF" w:rsidP="00DF6FAC">
            <w:pPr>
              <w:rPr>
                <w:b/>
              </w:rPr>
            </w:pPr>
            <w:r w:rsidRPr="0082045E">
              <w:rPr>
                <w:b/>
              </w:rPr>
              <w:t>Password:</w:t>
            </w:r>
          </w:p>
        </w:tc>
        <w:tc>
          <w:tcPr>
            <w:tcW w:w="7086" w:type="dxa"/>
          </w:tcPr>
          <w:p w:rsidR="002061BF" w:rsidRPr="008B1CA7" w:rsidRDefault="002061BF" w:rsidP="00DF6FAC"/>
        </w:tc>
      </w:tr>
      <w:tr w:rsidR="002061BF" w:rsidRPr="008B1CA7" w:rsidTr="00DF6FAC">
        <w:tc>
          <w:tcPr>
            <w:tcW w:w="7088" w:type="dxa"/>
            <w:tcMar>
              <w:top w:w="85" w:type="dxa"/>
              <w:left w:w="85" w:type="dxa"/>
              <w:bottom w:w="85" w:type="dxa"/>
              <w:right w:w="85" w:type="dxa"/>
            </w:tcMar>
          </w:tcPr>
          <w:p w:rsidR="002061BF" w:rsidRPr="0082045E" w:rsidRDefault="002061BF" w:rsidP="00DF6FAC">
            <w:pPr>
              <w:rPr>
                <w:b/>
              </w:rPr>
            </w:pPr>
            <w:r w:rsidRPr="0082045E">
              <w:rPr>
                <w:b/>
              </w:rPr>
              <w:t>Date:</w:t>
            </w:r>
          </w:p>
        </w:tc>
        <w:tc>
          <w:tcPr>
            <w:tcW w:w="7086" w:type="dxa"/>
          </w:tcPr>
          <w:p w:rsidR="002061BF" w:rsidRPr="008B1CA7" w:rsidRDefault="002061BF" w:rsidP="00DF6FAC"/>
        </w:tc>
      </w:tr>
      <w:tr w:rsidR="002061BF" w:rsidRPr="008B1CA7" w:rsidTr="00DF6FAC">
        <w:tc>
          <w:tcPr>
            <w:tcW w:w="14174" w:type="dxa"/>
            <w:gridSpan w:val="2"/>
            <w:tcMar>
              <w:top w:w="85" w:type="dxa"/>
              <w:left w:w="85" w:type="dxa"/>
              <w:bottom w:w="85" w:type="dxa"/>
              <w:right w:w="85" w:type="dxa"/>
            </w:tcMar>
          </w:tcPr>
          <w:p w:rsidR="002061BF" w:rsidRDefault="002061BF" w:rsidP="00DF6FAC">
            <w:pPr>
              <w:spacing w:after="120"/>
            </w:pPr>
            <w:r w:rsidRPr="00D77BDD">
              <w:rPr>
                <w:b/>
              </w:rPr>
              <w:t>VERIFICATION OF DETAILS</w:t>
            </w:r>
            <w:r w:rsidRPr="008B1CA7">
              <w:tab/>
            </w:r>
            <w:r w:rsidRPr="00D77BDD">
              <w:rPr>
                <w:b/>
                <w:i/>
              </w:rPr>
              <w:t>To be completed by BSCCo</w:t>
            </w:r>
          </w:p>
          <w:p w:rsidR="002061BF" w:rsidRDefault="002061BF" w:rsidP="00DF6FAC">
            <w:pPr>
              <w:spacing w:after="120"/>
            </w:pPr>
            <w:r w:rsidRPr="008B1CA7">
              <w:t>DATE RECEIVED:</w:t>
            </w:r>
            <w:r w:rsidRPr="008B1CA7">
              <w:tab/>
              <w:t>_________________________</w:t>
            </w:r>
          </w:p>
          <w:p w:rsidR="002061BF" w:rsidRPr="008B1CA7" w:rsidRDefault="002061BF" w:rsidP="00DF6FAC">
            <w:pPr>
              <w:spacing w:after="120"/>
            </w:pPr>
            <w:r w:rsidRPr="008B1CA7">
              <w:t>NAME AND PASSWORD/SIGNATURE VALID (Y/N):</w:t>
            </w:r>
            <w:r w:rsidRPr="008B1CA7">
              <w:tab/>
              <w:t>_________________________</w:t>
            </w:r>
          </w:p>
        </w:tc>
      </w:tr>
    </w:tbl>
    <w:p w:rsidR="002061BF" w:rsidRDefault="002061BF" w:rsidP="002061BF">
      <w:pPr>
        <w:jc w:val="both"/>
        <w:outlineLvl w:val="1"/>
        <w:rPr>
          <w:szCs w:val="22"/>
        </w:rPr>
      </w:pPr>
    </w:p>
    <w:p w:rsidR="002061BF" w:rsidRDefault="002061BF" w:rsidP="002061BF">
      <w:pPr>
        <w:spacing w:after="120"/>
      </w:pPr>
    </w:p>
    <w:p w:rsidR="002061BF" w:rsidRDefault="002061BF" w:rsidP="002061BF">
      <w:pPr>
        <w:spacing w:after="120"/>
        <w:sectPr w:rsidR="002061BF">
          <w:headerReference w:type="default" r:id="rId9"/>
          <w:footerReference w:type="default" r:id="rId10"/>
          <w:endnotePr>
            <w:numFmt w:val="decimal"/>
          </w:endnotePr>
          <w:pgSz w:w="16840" w:h="11907" w:orient="landscape" w:code="9"/>
          <w:pgMar w:top="1418" w:right="1418" w:bottom="1418" w:left="1418" w:header="709" w:footer="709" w:gutter="0"/>
          <w:paperSrc w:first="7" w:other="7"/>
          <w:cols w:space="720"/>
          <w:noEndnote/>
          <w:docGrid w:linePitch="326"/>
        </w:sectPr>
      </w:pPr>
    </w:p>
    <w:tbl>
      <w:tblPr>
        <w:tblStyle w:val="TableGrid3"/>
        <w:tblW w:w="5000" w:type="pct"/>
        <w:tblLook w:val="01E0" w:firstRow="1" w:lastRow="1" w:firstColumn="1" w:lastColumn="1" w:noHBand="0" w:noVBand="0"/>
      </w:tblPr>
      <w:tblGrid>
        <w:gridCol w:w="2626"/>
        <w:gridCol w:w="2198"/>
        <w:gridCol w:w="4417"/>
      </w:tblGrid>
      <w:tr w:rsidR="002061BF" w:rsidTr="00DF6FAC">
        <w:trPr>
          <w:cantSplit/>
          <w:tblHeader/>
        </w:trPr>
        <w:tc>
          <w:tcPr>
            <w:tcW w:w="2610" w:type="pct"/>
            <w:gridSpan w:val="2"/>
            <w:tcBorders>
              <w:bottom w:val="single" w:sz="4" w:space="0" w:color="auto"/>
            </w:tcBorders>
            <w:tcMar>
              <w:top w:w="85" w:type="dxa"/>
              <w:left w:w="85" w:type="dxa"/>
              <w:bottom w:w="85" w:type="dxa"/>
              <w:right w:w="85" w:type="dxa"/>
            </w:tcMar>
          </w:tcPr>
          <w:p w:rsidR="002061BF" w:rsidRDefault="002061BF" w:rsidP="00DF6FAC">
            <w:pPr>
              <w:pageBreakBefore/>
              <w:tabs>
                <w:tab w:val="clear" w:pos="567"/>
              </w:tabs>
              <w:ind w:left="851" w:hanging="851"/>
              <w:jc w:val="both"/>
              <w:outlineLvl w:val="1"/>
              <w:rPr>
                <w:b/>
                <w:szCs w:val="22"/>
              </w:rPr>
            </w:pPr>
            <w:bookmarkStart w:id="3" w:name="_Toc327345138"/>
            <w:bookmarkStart w:id="4" w:name="_Toc77936327"/>
            <w:r>
              <w:rPr>
                <w:b/>
                <w:szCs w:val="22"/>
              </w:rPr>
              <w:t>1.2</w:t>
            </w:r>
            <w:r>
              <w:rPr>
                <w:b/>
                <w:szCs w:val="22"/>
              </w:rPr>
              <w:tab/>
              <w:t>Calculation Applicability</w:t>
            </w:r>
            <w:bookmarkEnd w:id="3"/>
            <w:bookmarkEnd w:id="4"/>
          </w:p>
        </w:tc>
        <w:tc>
          <w:tcPr>
            <w:tcW w:w="2390" w:type="pct"/>
            <w:tcBorders>
              <w:bottom w:val="single" w:sz="4" w:space="0" w:color="auto"/>
            </w:tcBorders>
            <w:tcMar>
              <w:top w:w="85" w:type="dxa"/>
              <w:left w:w="85" w:type="dxa"/>
              <w:bottom w:w="85" w:type="dxa"/>
              <w:right w:w="85" w:type="dxa"/>
            </w:tcMar>
          </w:tcPr>
          <w:p w:rsidR="002061BF" w:rsidRDefault="002061BF" w:rsidP="00DF6FAC">
            <w:pPr>
              <w:tabs>
                <w:tab w:val="clear" w:pos="567"/>
              </w:tabs>
              <w:jc w:val="both"/>
              <w:rPr>
                <w:b/>
                <w:sz w:val="22"/>
              </w:rPr>
            </w:pPr>
            <w:r>
              <w:rPr>
                <w:b/>
                <w:sz w:val="22"/>
              </w:rPr>
              <w:t>Details:</w:t>
            </w:r>
          </w:p>
        </w:tc>
      </w:tr>
      <w:tr w:rsidR="002061BF" w:rsidTr="00DF6FAC">
        <w:trPr>
          <w:cantSplit/>
          <w:tblHeader/>
        </w:trPr>
        <w:tc>
          <w:tcPr>
            <w:tcW w:w="2610" w:type="pct"/>
            <w:gridSpan w:val="2"/>
            <w:tcBorders>
              <w:bottom w:val="single" w:sz="4" w:space="0" w:color="auto"/>
            </w:tcBorders>
            <w:tcMar>
              <w:top w:w="85" w:type="dxa"/>
              <w:left w:w="85" w:type="dxa"/>
              <w:bottom w:w="85" w:type="dxa"/>
              <w:right w:w="85" w:type="dxa"/>
            </w:tcMar>
          </w:tcPr>
          <w:p w:rsidR="002061BF" w:rsidRDefault="002061BF" w:rsidP="00DF6FAC">
            <w:pPr>
              <w:tabs>
                <w:tab w:val="clear" w:pos="567"/>
              </w:tabs>
              <w:rPr>
                <w:b/>
                <w:sz w:val="22"/>
              </w:rPr>
            </w:pPr>
            <w:r>
              <w:rPr>
                <w:b/>
                <w:sz w:val="22"/>
              </w:rPr>
              <w:t>Please provide details of the relevant methodology statement that the calculations comply to:</w:t>
            </w:r>
          </w:p>
        </w:tc>
        <w:tc>
          <w:tcPr>
            <w:tcW w:w="2390" w:type="pct"/>
            <w:tcBorders>
              <w:bottom w:val="single" w:sz="4" w:space="0" w:color="auto"/>
            </w:tcBorders>
            <w:tcMar>
              <w:top w:w="85" w:type="dxa"/>
              <w:left w:w="85" w:type="dxa"/>
              <w:bottom w:w="85" w:type="dxa"/>
              <w:right w:w="85" w:type="dxa"/>
            </w:tcMar>
          </w:tcPr>
          <w:p w:rsidR="002061BF" w:rsidRDefault="002061BF" w:rsidP="00DF6FAC">
            <w:pPr>
              <w:tabs>
                <w:tab w:val="clear" w:pos="567"/>
              </w:tabs>
              <w:jc w:val="both"/>
              <w:rPr>
                <w:sz w:val="22"/>
              </w:rPr>
            </w:pPr>
          </w:p>
        </w:tc>
      </w:tr>
      <w:tr w:rsidR="002061BF" w:rsidTr="00DF6FAC">
        <w:trPr>
          <w:cantSplit/>
        </w:trPr>
        <w:tc>
          <w:tcPr>
            <w:tcW w:w="1421" w:type="pct"/>
            <w:tcBorders>
              <w:bottom w:val="nil"/>
              <w:right w:val="nil"/>
            </w:tcBorders>
            <w:tcMar>
              <w:top w:w="85" w:type="dxa"/>
              <w:left w:w="85" w:type="dxa"/>
              <w:bottom w:w="85" w:type="dxa"/>
              <w:right w:w="85" w:type="dxa"/>
            </w:tcMar>
          </w:tcPr>
          <w:p w:rsidR="002061BF" w:rsidRDefault="002061BF" w:rsidP="00DF6FAC">
            <w:pPr>
              <w:tabs>
                <w:tab w:val="clear" w:pos="567"/>
              </w:tabs>
              <w:rPr>
                <w:sz w:val="22"/>
              </w:rPr>
            </w:pPr>
            <w:r>
              <w:rPr>
                <w:sz w:val="22"/>
              </w:rPr>
              <w:t>Methodology Statement Name:</w:t>
            </w:r>
          </w:p>
        </w:tc>
        <w:tc>
          <w:tcPr>
            <w:tcW w:w="1189" w:type="pct"/>
            <w:tcBorders>
              <w:left w:val="nil"/>
              <w:bottom w:val="nil"/>
              <w:right w:val="single" w:sz="4" w:space="0" w:color="auto"/>
            </w:tcBorders>
            <w:tcMar>
              <w:top w:w="85" w:type="dxa"/>
              <w:left w:w="85" w:type="dxa"/>
              <w:bottom w:w="85" w:type="dxa"/>
              <w:right w:w="85" w:type="dxa"/>
            </w:tcMar>
          </w:tcPr>
          <w:p w:rsidR="002061BF" w:rsidRDefault="002061BF" w:rsidP="00DF6FAC">
            <w:pPr>
              <w:tabs>
                <w:tab w:val="clear" w:pos="567"/>
              </w:tabs>
              <w:rPr>
                <w:sz w:val="22"/>
              </w:rPr>
            </w:pPr>
          </w:p>
        </w:tc>
        <w:tc>
          <w:tcPr>
            <w:tcW w:w="2390" w:type="pct"/>
            <w:tcBorders>
              <w:left w:val="single" w:sz="4" w:space="0" w:color="auto"/>
              <w:bottom w:val="nil"/>
            </w:tcBorders>
            <w:tcMar>
              <w:top w:w="85" w:type="dxa"/>
              <w:left w:w="85" w:type="dxa"/>
              <w:bottom w:w="85" w:type="dxa"/>
              <w:right w:w="85" w:type="dxa"/>
            </w:tcMar>
          </w:tcPr>
          <w:p w:rsidR="002061BF" w:rsidRDefault="002061BF" w:rsidP="00DF6FAC">
            <w:pPr>
              <w:tabs>
                <w:tab w:val="clear" w:pos="567"/>
              </w:tabs>
              <w:jc w:val="both"/>
              <w:rPr>
                <w:sz w:val="22"/>
              </w:rPr>
            </w:pPr>
          </w:p>
        </w:tc>
      </w:tr>
      <w:tr w:rsidR="002061BF" w:rsidTr="00DF6FAC">
        <w:trPr>
          <w:cantSplit/>
        </w:trPr>
        <w:tc>
          <w:tcPr>
            <w:tcW w:w="1421" w:type="pct"/>
            <w:tcBorders>
              <w:top w:val="nil"/>
              <w:bottom w:val="nil"/>
              <w:right w:val="nil"/>
            </w:tcBorders>
            <w:tcMar>
              <w:top w:w="85" w:type="dxa"/>
              <w:left w:w="85" w:type="dxa"/>
              <w:bottom w:w="85" w:type="dxa"/>
              <w:right w:w="85" w:type="dxa"/>
            </w:tcMar>
          </w:tcPr>
          <w:p w:rsidR="002061BF" w:rsidRDefault="002061BF" w:rsidP="00DF6FAC">
            <w:pPr>
              <w:tabs>
                <w:tab w:val="clear" w:pos="567"/>
              </w:tabs>
              <w:rPr>
                <w:sz w:val="22"/>
              </w:rPr>
            </w:pPr>
            <w:r>
              <w:rPr>
                <w:sz w:val="22"/>
              </w:rPr>
              <w:t>Publication Date:</w:t>
            </w:r>
          </w:p>
        </w:tc>
        <w:tc>
          <w:tcPr>
            <w:tcW w:w="1189" w:type="pct"/>
            <w:tcBorders>
              <w:top w:val="nil"/>
              <w:left w:val="nil"/>
              <w:bottom w:val="nil"/>
              <w:right w:val="single" w:sz="4" w:space="0" w:color="auto"/>
            </w:tcBorders>
            <w:tcMar>
              <w:top w:w="85" w:type="dxa"/>
              <w:left w:w="85" w:type="dxa"/>
              <w:bottom w:w="85" w:type="dxa"/>
              <w:right w:w="85" w:type="dxa"/>
            </w:tcMar>
          </w:tcPr>
          <w:p w:rsidR="002061BF" w:rsidRDefault="002061BF" w:rsidP="00DF6FAC">
            <w:pPr>
              <w:tabs>
                <w:tab w:val="clear" w:pos="567"/>
              </w:tabs>
              <w:rPr>
                <w:sz w:val="22"/>
              </w:rPr>
            </w:pPr>
          </w:p>
        </w:tc>
        <w:tc>
          <w:tcPr>
            <w:tcW w:w="2390" w:type="pct"/>
            <w:tcBorders>
              <w:top w:val="nil"/>
              <w:left w:val="single" w:sz="4" w:space="0" w:color="auto"/>
              <w:bottom w:val="nil"/>
            </w:tcBorders>
            <w:tcMar>
              <w:top w:w="85" w:type="dxa"/>
              <w:left w:w="85" w:type="dxa"/>
              <w:bottom w:w="85" w:type="dxa"/>
              <w:right w:w="85" w:type="dxa"/>
            </w:tcMar>
          </w:tcPr>
          <w:p w:rsidR="002061BF" w:rsidRDefault="002061BF" w:rsidP="00DF6FAC">
            <w:pPr>
              <w:tabs>
                <w:tab w:val="clear" w:pos="567"/>
              </w:tabs>
              <w:jc w:val="both"/>
              <w:rPr>
                <w:sz w:val="22"/>
              </w:rPr>
            </w:pPr>
          </w:p>
        </w:tc>
      </w:tr>
      <w:tr w:rsidR="002061BF" w:rsidTr="00DF6FAC">
        <w:trPr>
          <w:cantSplit/>
        </w:trPr>
        <w:tc>
          <w:tcPr>
            <w:tcW w:w="1421" w:type="pct"/>
            <w:tcBorders>
              <w:top w:val="nil"/>
              <w:right w:val="nil"/>
            </w:tcBorders>
            <w:tcMar>
              <w:top w:w="85" w:type="dxa"/>
              <w:left w:w="85" w:type="dxa"/>
              <w:bottom w:w="85" w:type="dxa"/>
              <w:right w:w="85" w:type="dxa"/>
            </w:tcMar>
          </w:tcPr>
          <w:p w:rsidR="002061BF" w:rsidRDefault="002061BF" w:rsidP="00DF6FAC">
            <w:pPr>
              <w:tabs>
                <w:tab w:val="clear" w:pos="567"/>
              </w:tabs>
              <w:rPr>
                <w:sz w:val="22"/>
              </w:rPr>
            </w:pPr>
            <w:r>
              <w:rPr>
                <w:sz w:val="22"/>
              </w:rPr>
              <w:t>Version No.:</w:t>
            </w:r>
          </w:p>
        </w:tc>
        <w:tc>
          <w:tcPr>
            <w:tcW w:w="1189" w:type="pct"/>
            <w:tcBorders>
              <w:top w:val="nil"/>
              <w:left w:val="nil"/>
              <w:right w:val="single" w:sz="4" w:space="0" w:color="auto"/>
            </w:tcBorders>
            <w:tcMar>
              <w:top w:w="85" w:type="dxa"/>
              <w:left w:w="85" w:type="dxa"/>
              <w:bottom w:w="85" w:type="dxa"/>
              <w:right w:w="85" w:type="dxa"/>
            </w:tcMar>
          </w:tcPr>
          <w:p w:rsidR="002061BF" w:rsidRDefault="002061BF" w:rsidP="00DF6FAC">
            <w:pPr>
              <w:tabs>
                <w:tab w:val="clear" w:pos="567"/>
              </w:tabs>
              <w:rPr>
                <w:sz w:val="22"/>
              </w:rPr>
            </w:pPr>
          </w:p>
        </w:tc>
        <w:tc>
          <w:tcPr>
            <w:tcW w:w="2390" w:type="pct"/>
            <w:tcBorders>
              <w:top w:val="nil"/>
              <w:left w:val="single" w:sz="4" w:space="0" w:color="auto"/>
            </w:tcBorders>
            <w:tcMar>
              <w:top w:w="85" w:type="dxa"/>
              <w:left w:w="85" w:type="dxa"/>
              <w:bottom w:w="85" w:type="dxa"/>
              <w:right w:w="85" w:type="dxa"/>
            </w:tcMar>
          </w:tcPr>
          <w:p w:rsidR="002061BF" w:rsidRDefault="002061BF" w:rsidP="00DF6FAC">
            <w:pPr>
              <w:tabs>
                <w:tab w:val="clear" w:pos="567"/>
              </w:tabs>
              <w:jc w:val="both"/>
              <w:rPr>
                <w:sz w:val="22"/>
              </w:rPr>
            </w:pPr>
          </w:p>
        </w:tc>
      </w:tr>
      <w:tr w:rsidR="002061BF" w:rsidTr="00DF6FAC">
        <w:trPr>
          <w:cantSplit/>
        </w:trPr>
        <w:tc>
          <w:tcPr>
            <w:tcW w:w="2610" w:type="pct"/>
            <w:gridSpan w:val="2"/>
            <w:tcMar>
              <w:top w:w="85" w:type="dxa"/>
              <w:left w:w="85" w:type="dxa"/>
              <w:bottom w:w="85" w:type="dxa"/>
              <w:right w:w="85" w:type="dxa"/>
            </w:tcMar>
          </w:tcPr>
          <w:p w:rsidR="002061BF" w:rsidRDefault="002061BF" w:rsidP="00DF6FAC">
            <w:pPr>
              <w:tabs>
                <w:tab w:val="clear" w:pos="567"/>
              </w:tabs>
              <w:rPr>
                <w:b/>
                <w:sz w:val="22"/>
              </w:rPr>
            </w:pPr>
            <w:r>
              <w:rPr>
                <w:b/>
                <w:sz w:val="22"/>
              </w:rPr>
              <w:t>Distribution Area(s) (GSP Group(s)) to which methodology is applicable to:</w:t>
            </w:r>
          </w:p>
        </w:tc>
        <w:tc>
          <w:tcPr>
            <w:tcW w:w="2390" w:type="pct"/>
            <w:tcMar>
              <w:top w:w="85" w:type="dxa"/>
              <w:left w:w="85" w:type="dxa"/>
              <w:bottom w:w="85" w:type="dxa"/>
              <w:right w:w="85" w:type="dxa"/>
            </w:tcMar>
          </w:tcPr>
          <w:p w:rsidR="002061BF" w:rsidRDefault="002061BF" w:rsidP="00DF6FAC">
            <w:pPr>
              <w:tabs>
                <w:tab w:val="clear" w:pos="567"/>
              </w:tabs>
              <w:jc w:val="both"/>
              <w:rPr>
                <w:sz w:val="22"/>
              </w:rPr>
            </w:pPr>
          </w:p>
        </w:tc>
      </w:tr>
      <w:tr w:rsidR="002061BF" w:rsidTr="00DF6FAC">
        <w:trPr>
          <w:cantSplit/>
        </w:trPr>
        <w:tc>
          <w:tcPr>
            <w:tcW w:w="2610" w:type="pct"/>
            <w:gridSpan w:val="2"/>
            <w:tcMar>
              <w:top w:w="85" w:type="dxa"/>
              <w:left w:w="85" w:type="dxa"/>
              <w:bottom w:w="85" w:type="dxa"/>
              <w:right w:w="85" w:type="dxa"/>
            </w:tcMar>
          </w:tcPr>
          <w:p w:rsidR="002061BF" w:rsidRDefault="002061BF" w:rsidP="00DF6FAC">
            <w:pPr>
              <w:tabs>
                <w:tab w:val="clear" w:pos="567"/>
              </w:tabs>
              <w:rPr>
                <w:b/>
                <w:sz w:val="22"/>
              </w:rPr>
            </w:pPr>
            <w:r>
              <w:rPr>
                <w:b/>
                <w:sz w:val="22"/>
              </w:rPr>
              <w:t>Are the LLFs calculated in accordance with the methodology statement detailed above?</w:t>
            </w:r>
          </w:p>
          <w:p w:rsidR="002061BF" w:rsidRDefault="002061BF" w:rsidP="00DF6FAC">
            <w:pPr>
              <w:tabs>
                <w:tab w:val="clear" w:pos="567"/>
              </w:tabs>
              <w:rPr>
                <w:b/>
                <w:sz w:val="22"/>
              </w:rPr>
            </w:pPr>
          </w:p>
          <w:p w:rsidR="002061BF" w:rsidRDefault="002061BF" w:rsidP="00DF6FAC">
            <w:pPr>
              <w:tabs>
                <w:tab w:val="clear" w:pos="567"/>
              </w:tabs>
              <w:rPr>
                <w:b/>
                <w:sz w:val="22"/>
              </w:rPr>
            </w:pPr>
            <w:r>
              <w:rPr>
                <w:b/>
                <w:sz w:val="22"/>
              </w:rPr>
              <w:t>Yes/No (delete as appropriate)</w:t>
            </w:r>
          </w:p>
        </w:tc>
        <w:tc>
          <w:tcPr>
            <w:tcW w:w="2390" w:type="pct"/>
            <w:tcMar>
              <w:top w:w="85" w:type="dxa"/>
              <w:left w:w="85" w:type="dxa"/>
              <w:bottom w:w="85" w:type="dxa"/>
              <w:right w:w="85" w:type="dxa"/>
            </w:tcMar>
          </w:tcPr>
          <w:p w:rsidR="002061BF" w:rsidRDefault="002061BF" w:rsidP="00DF6FAC">
            <w:pPr>
              <w:tabs>
                <w:tab w:val="clear" w:pos="567"/>
              </w:tabs>
              <w:jc w:val="both"/>
              <w:rPr>
                <w:sz w:val="22"/>
              </w:rPr>
            </w:pPr>
          </w:p>
        </w:tc>
      </w:tr>
      <w:tr w:rsidR="002061BF" w:rsidTr="00DF6FAC">
        <w:trPr>
          <w:cantSplit/>
        </w:trPr>
        <w:tc>
          <w:tcPr>
            <w:tcW w:w="2610" w:type="pct"/>
            <w:gridSpan w:val="2"/>
            <w:tcMar>
              <w:top w:w="85" w:type="dxa"/>
              <w:left w:w="85" w:type="dxa"/>
              <w:bottom w:w="85" w:type="dxa"/>
              <w:right w:w="85" w:type="dxa"/>
            </w:tcMar>
          </w:tcPr>
          <w:p w:rsidR="002061BF" w:rsidRDefault="002061BF" w:rsidP="00DF6FAC">
            <w:pPr>
              <w:tabs>
                <w:tab w:val="clear" w:pos="567"/>
              </w:tabs>
              <w:rPr>
                <w:b/>
                <w:sz w:val="22"/>
              </w:rPr>
            </w:pPr>
            <w:r>
              <w:rPr>
                <w:b/>
                <w:sz w:val="22"/>
              </w:rPr>
              <w:t>Please provide reasons for the mid-year LLF submission.</w:t>
            </w:r>
          </w:p>
        </w:tc>
        <w:tc>
          <w:tcPr>
            <w:tcW w:w="2390" w:type="pct"/>
            <w:tcMar>
              <w:top w:w="85" w:type="dxa"/>
              <w:left w:w="85" w:type="dxa"/>
              <w:bottom w:w="85" w:type="dxa"/>
              <w:right w:w="85" w:type="dxa"/>
            </w:tcMar>
          </w:tcPr>
          <w:p w:rsidR="002061BF" w:rsidRDefault="002061BF" w:rsidP="00DF6FAC">
            <w:pPr>
              <w:tabs>
                <w:tab w:val="clear" w:pos="567"/>
              </w:tabs>
              <w:jc w:val="both"/>
              <w:rPr>
                <w:sz w:val="22"/>
              </w:rPr>
            </w:pPr>
          </w:p>
        </w:tc>
      </w:tr>
      <w:tr w:rsidR="002061BF" w:rsidTr="00DF6FAC">
        <w:trPr>
          <w:cantSplit/>
        </w:trPr>
        <w:tc>
          <w:tcPr>
            <w:tcW w:w="2610" w:type="pct"/>
            <w:gridSpan w:val="2"/>
            <w:tcMar>
              <w:top w:w="85" w:type="dxa"/>
              <w:left w:w="85" w:type="dxa"/>
              <w:bottom w:w="85" w:type="dxa"/>
              <w:right w:w="85" w:type="dxa"/>
            </w:tcMar>
          </w:tcPr>
          <w:p w:rsidR="002061BF" w:rsidRDefault="002061BF" w:rsidP="00DF6FAC">
            <w:pPr>
              <w:tabs>
                <w:tab w:val="clear" w:pos="567"/>
              </w:tabs>
              <w:rPr>
                <w:b/>
                <w:sz w:val="22"/>
              </w:rPr>
            </w:pPr>
            <w:r>
              <w:rPr>
                <w:b/>
                <w:sz w:val="22"/>
              </w:rPr>
              <w:t>Have you re-calculated site specific LLFs for this mid-year submission?</w:t>
            </w:r>
          </w:p>
          <w:p w:rsidR="002061BF" w:rsidRDefault="002061BF" w:rsidP="00DF6FAC">
            <w:pPr>
              <w:tabs>
                <w:tab w:val="clear" w:pos="567"/>
              </w:tabs>
              <w:rPr>
                <w:b/>
                <w:sz w:val="22"/>
              </w:rPr>
            </w:pPr>
          </w:p>
          <w:p w:rsidR="002061BF" w:rsidRDefault="002061BF" w:rsidP="00DF6FAC">
            <w:pPr>
              <w:tabs>
                <w:tab w:val="clear" w:pos="567"/>
              </w:tabs>
              <w:rPr>
                <w:b/>
                <w:sz w:val="22"/>
              </w:rPr>
            </w:pPr>
            <w:r>
              <w:rPr>
                <w:b/>
                <w:sz w:val="22"/>
              </w:rPr>
              <w:t>If so please provide details.</w:t>
            </w:r>
          </w:p>
        </w:tc>
        <w:tc>
          <w:tcPr>
            <w:tcW w:w="2390" w:type="pct"/>
            <w:tcMar>
              <w:top w:w="85" w:type="dxa"/>
              <w:left w:w="85" w:type="dxa"/>
              <w:bottom w:w="85" w:type="dxa"/>
              <w:right w:w="85" w:type="dxa"/>
            </w:tcMar>
          </w:tcPr>
          <w:p w:rsidR="002061BF" w:rsidRDefault="002061BF" w:rsidP="00DF6FAC">
            <w:pPr>
              <w:tabs>
                <w:tab w:val="clear" w:pos="567"/>
              </w:tabs>
              <w:jc w:val="both"/>
              <w:rPr>
                <w:sz w:val="22"/>
              </w:rPr>
            </w:pPr>
          </w:p>
        </w:tc>
      </w:tr>
      <w:tr w:rsidR="002061BF" w:rsidTr="00DF6FAC">
        <w:trPr>
          <w:cantSplit/>
        </w:trPr>
        <w:tc>
          <w:tcPr>
            <w:tcW w:w="2610" w:type="pct"/>
            <w:gridSpan w:val="2"/>
            <w:tcMar>
              <w:top w:w="85" w:type="dxa"/>
              <w:left w:w="85" w:type="dxa"/>
              <w:bottom w:w="85" w:type="dxa"/>
              <w:right w:w="85" w:type="dxa"/>
            </w:tcMar>
          </w:tcPr>
          <w:p w:rsidR="002061BF" w:rsidRDefault="002061BF" w:rsidP="00DF6FAC">
            <w:pPr>
              <w:tabs>
                <w:tab w:val="clear" w:pos="567"/>
              </w:tabs>
              <w:rPr>
                <w:b/>
                <w:sz w:val="22"/>
              </w:rPr>
            </w:pPr>
            <w:r>
              <w:rPr>
                <w:b/>
                <w:sz w:val="22"/>
              </w:rPr>
              <w:t>Have you re-calculated generic LLFs for this mid-year submission?</w:t>
            </w:r>
          </w:p>
          <w:p w:rsidR="002061BF" w:rsidRDefault="002061BF" w:rsidP="00DF6FAC">
            <w:pPr>
              <w:tabs>
                <w:tab w:val="clear" w:pos="567"/>
              </w:tabs>
              <w:rPr>
                <w:b/>
                <w:sz w:val="22"/>
              </w:rPr>
            </w:pPr>
          </w:p>
          <w:p w:rsidR="002061BF" w:rsidRDefault="002061BF" w:rsidP="00DF6FAC">
            <w:pPr>
              <w:tabs>
                <w:tab w:val="clear" w:pos="567"/>
              </w:tabs>
              <w:rPr>
                <w:b/>
                <w:sz w:val="22"/>
              </w:rPr>
            </w:pPr>
            <w:r>
              <w:rPr>
                <w:b/>
                <w:sz w:val="22"/>
              </w:rPr>
              <w:t>If so please provide details.</w:t>
            </w:r>
          </w:p>
        </w:tc>
        <w:tc>
          <w:tcPr>
            <w:tcW w:w="2390" w:type="pct"/>
            <w:tcMar>
              <w:top w:w="85" w:type="dxa"/>
              <w:left w:w="85" w:type="dxa"/>
              <w:bottom w:w="85" w:type="dxa"/>
              <w:right w:w="85" w:type="dxa"/>
            </w:tcMar>
          </w:tcPr>
          <w:p w:rsidR="002061BF" w:rsidRDefault="002061BF" w:rsidP="00DF6FAC">
            <w:pPr>
              <w:tabs>
                <w:tab w:val="clear" w:pos="567"/>
              </w:tabs>
              <w:jc w:val="both"/>
              <w:rPr>
                <w:sz w:val="22"/>
              </w:rPr>
            </w:pPr>
          </w:p>
        </w:tc>
      </w:tr>
    </w:tbl>
    <w:p w:rsidR="002061BF" w:rsidRDefault="002061BF" w:rsidP="002061BF">
      <w:pPr>
        <w:spacing w:after="240"/>
        <w:jc w:val="both"/>
        <w:outlineLvl w:val="1"/>
        <w:rPr>
          <w:szCs w:val="22"/>
          <w:lang w:eastAsia="en-GB"/>
        </w:rPr>
      </w:pPr>
    </w:p>
    <w:p w:rsidR="002061BF" w:rsidRDefault="002061BF" w:rsidP="002061BF"/>
    <w:p w:rsidR="002061BF" w:rsidRDefault="002061BF" w:rsidP="002061BF">
      <w:pPr>
        <w:sectPr w:rsidR="002061BF">
          <w:headerReference w:type="default" r:id="rId11"/>
          <w:footerReference w:type="default" r:id="rId12"/>
          <w:endnotePr>
            <w:numFmt w:val="decimal"/>
          </w:endnotePr>
          <w:pgSz w:w="11907" w:h="16840" w:code="9"/>
          <w:pgMar w:top="1418" w:right="1418" w:bottom="1418" w:left="1418" w:header="709" w:footer="709" w:gutter="0"/>
          <w:paperSrc w:first="7" w:other="7"/>
          <w:cols w:space="720"/>
          <w:noEndnote/>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228"/>
        <w:gridCol w:w="3702"/>
        <w:gridCol w:w="3611"/>
        <w:gridCol w:w="2849"/>
      </w:tblGrid>
      <w:tr w:rsidR="002061BF" w:rsidTr="00DF6FAC">
        <w:trPr>
          <w:cantSplit/>
          <w:tblHeader/>
        </w:trPr>
        <w:tc>
          <w:tcPr>
            <w:tcW w:w="5000" w:type="pct"/>
            <w:gridSpan w:val="5"/>
            <w:tcMar>
              <w:top w:w="85" w:type="dxa"/>
              <w:left w:w="85" w:type="dxa"/>
              <w:bottom w:w="85" w:type="dxa"/>
              <w:right w:w="85" w:type="dxa"/>
            </w:tcMar>
          </w:tcPr>
          <w:p w:rsidR="002061BF" w:rsidRDefault="002061BF" w:rsidP="00DF6FAC">
            <w:pPr>
              <w:pageBreakBefore/>
              <w:ind w:left="851" w:hanging="851"/>
              <w:jc w:val="both"/>
              <w:outlineLvl w:val="1"/>
              <w:rPr>
                <w:b/>
                <w:sz w:val="22"/>
                <w:szCs w:val="22"/>
                <w:lang w:eastAsia="en-GB"/>
              </w:rPr>
            </w:pPr>
            <w:bookmarkStart w:id="5" w:name="_Toc327345139"/>
            <w:bookmarkStart w:id="6" w:name="_Toc77936328"/>
            <w:r>
              <w:rPr>
                <w:b/>
                <w:sz w:val="22"/>
                <w:szCs w:val="22"/>
                <w:lang w:eastAsia="en-GB"/>
              </w:rPr>
              <w:t>1.3</w:t>
            </w:r>
            <w:r>
              <w:rPr>
                <w:b/>
                <w:sz w:val="22"/>
                <w:szCs w:val="22"/>
                <w:lang w:eastAsia="en-GB"/>
              </w:rPr>
              <w:tab/>
              <w:t>Calculations Assessment</w:t>
            </w:r>
            <w:bookmarkEnd w:id="5"/>
            <w:bookmarkEnd w:id="6"/>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rPr>
                <w:sz w:val="22"/>
                <w:szCs w:val="22"/>
                <w:lang w:eastAsia="en-GB"/>
              </w:rPr>
            </w:pPr>
          </w:p>
          <w:p w:rsidR="002061BF" w:rsidRPr="002061BF" w:rsidRDefault="002061BF" w:rsidP="002061BF">
            <w:pPr>
              <w:tabs>
                <w:tab w:val="left" w:pos="6228"/>
              </w:tabs>
              <w:rPr>
                <w:sz w:val="22"/>
                <w:szCs w:val="22"/>
                <w:lang w:eastAsia="en-GB"/>
              </w:rPr>
            </w:pPr>
            <w:r>
              <w:rPr>
                <w:sz w:val="22"/>
                <w:szCs w:val="22"/>
                <w:lang w:eastAsia="en-GB"/>
              </w:rPr>
              <w:tab/>
            </w:r>
          </w:p>
        </w:tc>
        <w:bookmarkStart w:id="7" w:name="_GoBack"/>
        <w:bookmarkEnd w:id="7"/>
      </w:tr>
      <w:tr w:rsidR="002061BF" w:rsidTr="00DF6FAC">
        <w:trPr>
          <w:cantSplit/>
          <w:tblHeader/>
        </w:trPr>
        <w:tc>
          <w:tcPr>
            <w:tcW w:w="276" w:type="pct"/>
            <w:tcMar>
              <w:top w:w="85" w:type="dxa"/>
              <w:left w:w="85" w:type="dxa"/>
              <w:bottom w:w="85" w:type="dxa"/>
              <w:right w:w="85" w:type="dxa"/>
            </w:tcMar>
          </w:tcPr>
          <w:p w:rsidR="002061BF" w:rsidRDefault="002061BF" w:rsidP="00DF6FAC">
            <w:pPr>
              <w:rPr>
                <w:rFonts w:eastAsia="Times"/>
                <w:b/>
                <w:bCs/>
                <w:sz w:val="22"/>
                <w:szCs w:val="22"/>
              </w:rPr>
            </w:pPr>
            <w:r>
              <w:rPr>
                <w:rFonts w:eastAsia="Times"/>
                <w:b/>
                <w:bCs/>
                <w:sz w:val="22"/>
                <w:szCs w:val="22"/>
              </w:rPr>
              <w:t>No.</w:t>
            </w:r>
          </w:p>
        </w:tc>
        <w:tc>
          <w:tcPr>
            <w:tcW w:w="1139" w:type="pct"/>
            <w:tcMar>
              <w:top w:w="85" w:type="dxa"/>
              <w:left w:w="85" w:type="dxa"/>
              <w:bottom w:w="85" w:type="dxa"/>
              <w:right w:w="85" w:type="dxa"/>
            </w:tcMar>
          </w:tcPr>
          <w:p w:rsidR="002061BF" w:rsidRDefault="002061BF" w:rsidP="00DF6FAC">
            <w:pPr>
              <w:rPr>
                <w:rFonts w:eastAsia="Times"/>
                <w:b/>
                <w:bCs/>
                <w:sz w:val="22"/>
                <w:szCs w:val="22"/>
              </w:rPr>
            </w:pPr>
            <w:r>
              <w:rPr>
                <w:rFonts w:eastAsia="Times"/>
                <w:b/>
                <w:bCs/>
                <w:sz w:val="22"/>
                <w:szCs w:val="22"/>
              </w:rPr>
              <w:t>Question</w:t>
            </w:r>
          </w:p>
        </w:tc>
        <w:tc>
          <w:tcPr>
            <w:tcW w:w="1306" w:type="pct"/>
            <w:tcMar>
              <w:top w:w="85" w:type="dxa"/>
              <w:left w:w="85" w:type="dxa"/>
              <w:bottom w:w="85" w:type="dxa"/>
              <w:right w:w="85" w:type="dxa"/>
            </w:tcMar>
          </w:tcPr>
          <w:p w:rsidR="002061BF" w:rsidRDefault="002061BF" w:rsidP="00DF6FAC">
            <w:pPr>
              <w:rPr>
                <w:rFonts w:eastAsia="Times"/>
                <w:b/>
                <w:bCs/>
                <w:sz w:val="22"/>
                <w:szCs w:val="22"/>
              </w:rPr>
            </w:pPr>
            <w:r>
              <w:rPr>
                <w:rFonts w:eastAsia="Times"/>
                <w:b/>
                <w:bCs/>
                <w:sz w:val="22"/>
                <w:szCs w:val="22"/>
              </w:rPr>
              <w:t>Guidance</w:t>
            </w: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tc>
        <w:tc>
          <w:tcPr>
            <w:tcW w:w="1274" w:type="pct"/>
            <w:tcMar>
              <w:top w:w="85" w:type="dxa"/>
              <w:left w:w="85" w:type="dxa"/>
              <w:bottom w:w="85" w:type="dxa"/>
              <w:right w:w="85" w:type="dxa"/>
            </w:tcMar>
          </w:tcPr>
          <w:p w:rsidR="002061BF" w:rsidRDefault="002061BF" w:rsidP="00DF6FAC">
            <w:pPr>
              <w:rPr>
                <w:rFonts w:eastAsia="Times"/>
                <w:b/>
                <w:bCs/>
                <w:sz w:val="22"/>
                <w:szCs w:val="22"/>
              </w:rPr>
            </w:pPr>
            <w:r>
              <w:rPr>
                <w:rFonts w:eastAsia="Times"/>
                <w:b/>
                <w:bCs/>
                <w:sz w:val="22"/>
                <w:szCs w:val="22"/>
              </w:rPr>
              <w:t>Response</w:t>
            </w:r>
          </w:p>
        </w:tc>
        <w:tc>
          <w:tcPr>
            <w:tcW w:w="1005" w:type="pct"/>
            <w:tcMar>
              <w:top w:w="85" w:type="dxa"/>
              <w:left w:w="85" w:type="dxa"/>
              <w:bottom w:w="85" w:type="dxa"/>
              <w:right w:w="85" w:type="dxa"/>
            </w:tcMar>
          </w:tcPr>
          <w:p w:rsidR="002061BF" w:rsidRDefault="002061BF" w:rsidP="00DF6FAC">
            <w:pPr>
              <w:rPr>
                <w:rFonts w:eastAsia="Times"/>
                <w:b/>
                <w:bCs/>
                <w:sz w:val="22"/>
                <w:szCs w:val="22"/>
              </w:rPr>
            </w:pPr>
            <w:r>
              <w:rPr>
                <w:rFonts w:eastAsia="Times"/>
                <w:b/>
                <w:bCs/>
                <w:sz w:val="22"/>
                <w:szCs w:val="22"/>
              </w:rPr>
              <w:t>Evidence</w:t>
            </w: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1</w:t>
            </w:r>
          </w:p>
        </w:tc>
        <w:tc>
          <w:tcPr>
            <w:tcW w:w="1139"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Data Request for Site Specific LLF re-calculations</w:t>
            </w:r>
          </w:p>
        </w:tc>
        <w:tc>
          <w:tcPr>
            <w:tcW w:w="1306" w:type="pct"/>
            <w:tcMar>
              <w:top w:w="85" w:type="dxa"/>
              <w:left w:w="85" w:type="dxa"/>
              <w:bottom w:w="85" w:type="dxa"/>
              <w:right w:w="85" w:type="dxa"/>
            </w:tcMar>
          </w:tcPr>
          <w:p w:rsidR="002061BF" w:rsidRDefault="002061BF" w:rsidP="00DF6FAC">
            <w:pPr>
              <w:rPr>
                <w:rFonts w:eastAsia="Times"/>
                <w:bCs/>
                <w:sz w:val="22"/>
                <w:szCs w:val="22"/>
              </w:rPr>
            </w:pPr>
            <w:r>
              <w:rPr>
                <w:rFonts w:eastAsia="Times"/>
                <w:bCs/>
                <w:sz w:val="22"/>
                <w:szCs w:val="22"/>
              </w:rPr>
              <w:t>If site specific LLFs were re-calculated, please provide the calculation details in Appendix 9.</w:t>
            </w: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2</w:t>
            </w:r>
          </w:p>
        </w:tc>
        <w:tc>
          <w:tcPr>
            <w:tcW w:w="1139"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Data Request for Generic LLF re-calculations</w:t>
            </w:r>
          </w:p>
        </w:tc>
        <w:tc>
          <w:tcPr>
            <w:tcW w:w="1306" w:type="pct"/>
            <w:tcMar>
              <w:top w:w="85" w:type="dxa"/>
              <w:left w:w="85" w:type="dxa"/>
              <w:bottom w:w="85" w:type="dxa"/>
              <w:right w:w="85" w:type="dxa"/>
            </w:tcMar>
          </w:tcPr>
          <w:p w:rsidR="002061BF" w:rsidRDefault="002061BF" w:rsidP="00DF6FAC">
            <w:pPr>
              <w:spacing w:after="120"/>
              <w:rPr>
                <w:rFonts w:eastAsia="Times"/>
                <w:bCs/>
                <w:sz w:val="22"/>
                <w:szCs w:val="22"/>
              </w:rPr>
            </w:pPr>
            <w:r>
              <w:rPr>
                <w:rFonts w:eastAsia="Times"/>
                <w:bCs/>
                <w:sz w:val="22"/>
                <w:szCs w:val="22"/>
              </w:rPr>
              <w:t>If generic LLFs were recalculated, Please provide a copy of the live model used to calculate your generic LLFs and the input data that supports Principle 9 of BSCP128.</w:t>
            </w:r>
          </w:p>
          <w:p w:rsidR="002061BF" w:rsidRDefault="002061BF" w:rsidP="00DF6FAC">
            <w:pPr>
              <w:spacing w:after="120"/>
              <w:rPr>
                <w:rFonts w:eastAsia="Times"/>
                <w:bCs/>
                <w:sz w:val="22"/>
                <w:szCs w:val="22"/>
              </w:rPr>
            </w:pPr>
            <w:r>
              <w:rPr>
                <w:rFonts w:eastAsia="Times"/>
                <w:bCs/>
                <w:sz w:val="22"/>
                <w:szCs w:val="22"/>
              </w:rPr>
              <w:t>Where the data set is very large a subset of the data can be provided to demonstrate the year period used.</w:t>
            </w:r>
          </w:p>
          <w:p w:rsidR="002061BF" w:rsidRPr="00A51A48" w:rsidRDefault="002061BF" w:rsidP="00DF6FAC">
            <w:pPr>
              <w:spacing w:after="120"/>
              <w:rPr>
                <w:rFonts w:eastAsia="Times"/>
                <w:bCs/>
                <w:sz w:val="22"/>
                <w:szCs w:val="22"/>
              </w:rPr>
            </w:pPr>
            <w:r>
              <w:rPr>
                <w:rFonts w:eastAsia="Times"/>
                <w:bCs/>
                <w:sz w:val="22"/>
                <w:szCs w:val="22"/>
              </w:rPr>
              <w:t>A brief commentary should be included to explain why you believe the LLFs are an accurate reflection of the losses for the network at each voltage level.</w:t>
            </w:r>
          </w:p>
          <w:p w:rsidR="002061BF" w:rsidRDefault="002061BF" w:rsidP="00DF6FAC">
            <w:pPr>
              <w:rPr>
                <w:rFonts w:eastAsia="Times"/>
                <w:bCs/>
                <w:sz w:val="22"/>
                <w:szCs w:val="22"/>
              </w:rPr>
            </w:pPr>
            <w:r w:rsidRPr="00A51A48">
              <w:rPr>
                <w:rFonts w:eastAsia="Times"/>
                <w:bCs/>
                <w:sz w:val="22"/>
                <w:szCs w:val="22"/>
              </w:rPr>
              <w:t>Where applicable, explain why use of Generic LLFs remains applicable instead of Site Specific LLFs if Principle 17 of BSCP128 applies</w:t>
            </w: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3</w:t>
            </w:r>
          </w:p>
        </w:tc>
        <w:tc>
          <w:tcPr>
            <w:tcW w:w="1139"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Please complete Appendix 5 for all Site Specific and Generic LLFs as detailed in question 1 and 2.</w:t>
            </w:r>
          </w:p>
        </w:tc>
        <w:tc>
          <w:tcPr>
            <w:tcW w:w="1306" w:type="pct"/>
            <w:tcMar>
              <w:top w:w="85" w:type="dxa"/>
              <w:left w:w="85" w:type="dxa"/>
              <w:bottom w:w="85" w:type="dxa"/>
              <w:right w:w="85" w:type="dxa"/>
            </w:tcMar>
          </w:tcPr>
          <w:p w:rsidR="002061BF" w:rsidRDefault="002061BF" w:rsidP="00DF6FAC">
            <w:pPr>
              <w:rPr>
                <w:rFonts w:eastAsia="Times"/>
                <w:bCs/>
                <w:sz w:val="22"/>
                <w:szCs w:val="22"/>
              </w:rPr>
            </w:pPr>
            <w:r>
              <w:rPr>
                <w:rFonts w:eastAsia="Times"/>
                <w:bCs/>
                <w:sz w:val="22"/>
                <w:szCs w:val="22"/>
              </w:rPr>
              <w:t>Appendix 5 contains two sub-documents CSAD 2.1 and CSAD 2.2. If site specific LLFs were re-calculated, please provide these details in CSAD2.1. If generic LLFs were re-calculated, please provide these details in CSAD2.2.</w:t>
            </w: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p w:rsidR="002061BF" w:rsidRPr="002061BF" w:rsidRDefault="002061BF" w:rsidP="002061BF">
            <w:pPr>
              <w:rPr>
                <w:rFonts w:eastAsia="Times"/>
                <w:sz w:val="22"/>
                <w:szCs w:val="22"/>
              </w:rPr>
            </w:pP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4</w:t>
            </w:r>
          </w:p>
        </w:tc>
        <w:tc>
          <w:tcPr>
            <w:tcW w:w="1139"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Have all changes or new SVA LLFC IDs been submitted into the Market Domain Data (MDD) change process (as per BSCP509)?</w:t>
            </w:r>
          </w:p>
          <w:p w:rsidR="002061BF" w:rsidRDefault="002061BF" w:rsidP="00DF6FAC">
            <w:pPr>
              <w:spacing w:after="120"/>
              <w:rPr>
                <w:rFonts w:eastAsia="Times"/>
                <w:b/>
                <w:bCs/>
                <w:sz w:val="22"/>
                <w:szCs w:val="22"/>
              </w:rPr>
            </w:pPr>
            <w:r>
              <w:rPr>
                <w:rFonts w:eastAsia="Times"/>
                <w:b/>
                <w:bCs/>
                <w:sz w:val="22"/>
                <w:szCs w:val="22"/>
              </w:rPr>
              <w:t>If so please give details.</w:t>
            </w:r>
          </w:p>
        </w:tc>
        <w:tc>
          <w:tcPr>
            <w:tcW w:w="1306" w:type="pct"/>
            <w:tcMar>
              <w:top w:w="85" w:type="dxa"/>
              <w:left w:w="85" w:type="dxa"/>
              <w:bottom w:w="85" w:type="dxa"/>
              <w:right w:w="85" w:type="dxa"/>
            </w:tcMar>
          </w:tcPr>
          <w:p w:rsidR="002061BF" w:rsidRDefault="002061BF" w:rsidP="00DF6FAC">
            <w:pPr>
              <w:rPr>
                <w:rFonts w:eastAsia="Times"/>
                <w:bCs/>
                <w:sz w:val="22"/>
                <w:szCs w:val="22"/>
              </w:rPr>
            </w:pPr>
            <w:r>
              <w:rPr>
                <w:rFonts w:eastAsia="Times"/>
                <w:bCs/>
                <w:sz w:val="22"/>
                <w:szCs w:val="22"/>
              </w:rPr>
              <w:t>Any changes or new LLFC IDs must be submitted through the MDD change process. The correct LLFC Ids (and supporting information) are required to be approved in MDD prior to submission of the SVA LLFs. LDSOs should confirm that the MDD Change Request Form(s) (with CR References) have been submitted (see BSCP509 for further details).</w:t>
            </w: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5</w:t>
            </w:r>
          </w:p>
        </w:tc>
        <w:tc>
          <w:tcPr>
            <w:tcW w:w="1139"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Have all SVA LLFs been submitted in the D0265 file format?</w:t>
            </w:r>
          </w:p>
        </w:tc>
        <w:tc>
          <w:tcPr>
            <w:tcW w:w="1306" w:type="pct"/>
            <w:tcMar>
              <w:top w:w="85" w:type="dxa"/>
              <w:left w:w="85" w:type="dxa"/>
              <w:bottom w:w="85" w:type="dxa"/>
              <w:right w:w="85" w:type="dxa"/>
            </w:tcMar>
          </w:tcPr>
          <w:p w:rsidR="002061BF" w:rsidRDefault="002061BF" w:rsidP="00DF6FAC">
            <w:pPr>
              <w:rPr>
                <w:rFonts w:eastAsia="Times"/>
                <w:bCs/>
                <w:sz w:val="22"/>
                <w:szCs w:val="22"/>
              </w:rPr>
            </w:pPr>
            <w:r>
              <w:rPr>
                <w:rFonts w:eastAsia="Times"/>
                <w:bCs/>
                <w:sz w:val="22"/>
                <w:szCs w:val="22"/>
              </w:rPr>
              <w:t>The file format for SVA LLF submission is detailed in Appendix 7 of BSCP128.</w:t>
            </w: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6</w:t>
            </w:r>
          </w:p>
        </w:tc>
        <w:tc>
          <w:tcPr>
            <w:tcW w:w="1139"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Have CVA LLFs been submitted in the specified long or short file format?</w:t>
            </w:r>
          </w:p>
        </w:tc>
        <w:tc>
          <w:tcPr>
            <w:tcW w:w="1306" w:type="pct"/>
            <w:tcMar>
              <w:top w:w="85" w:type="dxa"/>
              <w:left w:w="85" w:type="dxa"/>
              <w:bottom w:w="85" w:type="dxa"/>
              <w:right w:w="85" w:type="dxa"/>
            </w:tcMar>
          </w:tcPr>
          <w:p w:rsidR="002061BF" w:rsidRDefault="002061BF" w:rsidP="00DF6FAC">
            <w:pPr>
              <w:spacing w:after="120"/>
              <w:rPr>
                <w:rFonts w:eastAsia="Times"/>
                <w:bCs/>
                <w:sz w:val="22"/>
                <w:szCs w:val="22"/>
              </w:rPr>
            </w:pPr>
            <w:r>
              <w:rPr>
                <w:rFonts w:eastAsia="Times"/>
                <w:bCs/>
                <w:sz w:val="22"/>
                <w:szCs w:val="22"/>
              </w:rPr>
              <w:t>The file format for CVA LLF submission is detailed in Appendix 6 of BSCP128.</w:t>
            </w:r>
          </w:p>
          <w:p w:rsidR="002061BF" w:rsidRDefault="002061BF" w:rsidP="00DF6FAC">
            <w:pPr>
              <w:spacing w:after="120"/>
              <w:rPr>
                <w:rFonts w:eastAsia="Times"/>
                <w:bCs/>
                <w:sz w:val="22"/>
                <w:szCs w:val="22"/>
              </w:rPr>
            </w:pPr>
            <w:r>
              <w:rPr>
                <w:rFonts w:eastAsia="Times"/>
                <w:bCs/>
                <w:sz w:val="22"/>
                <w:szCs w:val="22"/>
              </w:rPr>
              <w:t>There are two formats that can be used, a long format detailing every Settlement Day and Settlement Period LLF and a short format detailing the LLF to be used for specified date ranges.</w:t>
            </w:r>
          </w:p>
          <w:p w:rsidR="002061BF" w:rsidRDefault="002061BF" w:rsidP="00DF6FAC">
            <w:pPr>
              <w:rPr>
                <w:rFonts w:eastAsia="Times"/>
                <w:bCs/>
                <w:sz w:val="22"/>
                <w:szCs w:val="22"/>
              </w:rPr>
            </w:pPr>
            <w:r>
              <w:rPr>
                <w:rFonts w:eastAsia="Times"/>
                <w:bCs/>
                <w:sz w:val="22"/>
                <w:szCs w:val="22"/>
              </w:rPr>
              <w:t>The file requires a checksum, further information on calculating the checksum is detailed in section Appendix 6 of BSCP128.</w:t>
            </w: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7</w:t>
            </w:r>
          </w:p>
        </w:tc>
        <w:tc>
          <w:tcPr>
            <w:tcW w:w="1139"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 xml:space="preserve">Are the start dates for all re-calculated LLFs in line with the site go-live dates? </w:t>
            </w:r>
          </w:p>
        </w:tc>
        <w:tc>
          <w:tcPr>
            <w:tcW w:w="1306" w:type="pct"/>
            <w:tcMar>
              <w:top w:w="85" w:type="dxa"/>
              <w:left w:w="85" w:type="dxa"/>
              <w:bottom w:w="85" w:type="dxa"/>
              <w:right w:w="85" w:type="dxa"/>
            </w:tcMar>
          </w:tcPr>
          <w:p w:rsidR="002061BF" w:rsidRDefault="002061BF" w:rsidP="00DF6FAC">
            <w:pPr>
              <w:rPr>
                <w:rFonts w:eastAsia="Times"/>
                <w:bCs/>
                <w:sz w:val="22"/>
                <w:szCs w:val="22"/>
              </w:rPr>
            </w:pPr>
            <w:r>
              <w:rPr>
                <w:rFonts w:eastAsia="Times"/>
                <w:bCs/>
                <w:sz w:val="22"/>
                <w:szCs w:val="22"/>
              </w:rPr>
              <w:t>Please provide details on the LLF and site go-live dates.</w:t>
            </w: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8</w:t>
            </w:r>
          </w:p>
        </w:tc>
        <w:tc>
          <w:tcPr>
            <w:tcW w:w="1139"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Are all LLFs calculated to at least 3 decimal places (d.p.) and submitted to 3 decimal places?</w:t>
            </w:r>
          </w:p>
        </w:tc>
        <w:tc>
          <w:tcPr>
            <w:tcW w:w="1306" w:type="pct"/>
            <w:tcMar>
              <w:top w:w="85" w:type="dxa"/>
              <w:left w:w="85" w:type="dxa"/>
              <w:bottom w:w="85" w:type="dxa"/>
              <w:right w:w="85" w:type="dxa"/>
            </w:tcMar>
          </w:tcPr>
          <w:p w:rsidR="002061BF" w:rsidRDefault="002061BF" w:rsidP="00DF6FAC">
            <w:pPr>
              <w:rPr>
                <w:rFonts w:eastAsia="Times"/>
                <w:bCs/>
                <w:sz w:val="22"/>
                <w:szCs w:val="22"/>
              </w:rPr>
            </w:pPr>
            <w:r>
              <w:rPr>
                <w:rFonts w:eastAsia="Times"/>
                <w:bCs/>
                <w:sz w:val="22"/>
                <w:szCs w:val="22"/>
              </w:rPr>
              <w:t>LLFs are required to be calculated to three decimal places in accordance with BSCP128. Please confirm that all LLFs are calculated to at least 3 d.p. in all files submitted.</w:t>
            </w: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9a</w:t>
            </w:r>
          </w:p>
        </w:tc>
        <w:tc>
          <w:tcPr>
            <w:tcW w:w="1139"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Are all SVA LLFs ≥ 0.750 and ≤1.250?</w:t>
            </w:r>
          </w:p>
        </w:tc>
        <w:tc>
          <w:tcPr>
            <w:tcW w:w="1306" w:type="pct"/>
            <w:tcMar>
              <w:top w:w="85" w:type="dxa"/>
              <w:left w:w="85" w:type="dxa"/>
              <w:bottom w:w="85" w:type="dxa"/>
              <w:right w:w="85" w:type="dxa"/>
            </w:tcMar>
          </w:tcPr>
          <w:p w:rsidR="002061BF" w:rsidRDefault="002061BF" w:rsidP="00DF6FAC">
            <w:pPr>
              <w:spacing w:after="120"/>
              <w:rPr>
                <w:rFonts w:eastAsia="Times"/>
                <w:bCs/>
                <w:sz w:val="22"/>
                <w:szCs w:val="22"/>
              </w:rPr>
            </w:pPr>
            <w:r>
              <w:rPr>
                <w:rFonts w:eastAsia="Times"/>
                <w:bCs/>
                <w:sz w:val="22"/>
                <w:szCs w:val="22"/>
              </w:rPr>
              <w:t>Please confirm that all SVA LLFs are calculated within the range specified.</w:t>
            </w:r>
          </w:p>
          <w:p w:rsidR="002061BF" w:rsidRDefault="002061BF" w:rsidP="00DF6FAC">
            <w:pPr>
              <w:rPr>
                <w:rFonts w:eastAsia="Times"/>
                <w:bCs/>
                <w:sz w:val="22"/>
                <w:szCs w:val="22"/>
              </w:rPr>
            </w:pPr>
            <w:r>
              <w:rPr>
                <w:rFonts w:eastAsia="Times"/>
                <w:bCs/>
                <w:sz w:val="22"/>
                <w:szCs w:val="22"/>
              </w:rPr>
              <w:t>Evidence should include details of how this validation has been carried out.</w:t>
            </w: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9b</w:t>
            </w:r>
          </w:p>
        </w:tc>
        <w:tc>
          <w:tcPr>
            <w:tcW w:w="1139"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Are all CVA LLFs ≥0.750 and ≤1.250?</w:t>
            </w:r>
          </w:p>
        </w:tc>
        <w:tc>
          <w:tcPr>
            <w:tcW w:w="1306" w:type="pct"/>
            <w:tcMar>
              <w:top w:w="85" w:type="dxa"/>
              <w:left w:w="85" w:type="dxa"/>
              <w:bottom w:w="85" w:type="dxa"/>
              <w:right w:w="85" w:type="dxa"/>
            </w:tcMar>
          </w:tcPr>
          <w:p w:rsidR="002061BF" w:rsidRDefault="002061BF" w:rsidP="00DF6FAC">
            <w:pPr>
              <w:spacing w:after="120"/>
              <w:rPr>
                <w:rFonts w:eastAsia="Times"/>
                <w:bCs/>
                <w:sz w:val="22"/>
                <w:szCs w:val="22"/>
              </w:rPr>
            </w:pPr>
            <w:r>
              <w:rPr>
                <w:rFonts w:eastAsia="Times"/>
                <w:bCs/>
                <w:sz w:val="22"/>
                <w:szCs w:val="22"/>
              </w:rPr>
              <w:t>Please confirm that all CVA LLFs are calculated within the range specified.</w:t>
            </w:r>
          </w:p>
          <w:p w:rsidR="002061BF" w:rsidRDefault="002061BF" w:rsidP="00DF6FAC">
            <w:pPr>
              <w:rPr>
                <w:rFonts w:eastAsia="Times"/>
                <w:bCs/>
                <w:sz w:val="22"/>
                <w:szCs w:val="22"/>
              </w:rPr>
            </w:pPr>
            <w:r>
              <w:rPr>
                <w:rFonts w:eastAsia="Times"/>
                <w:bCs/>
                <w:sz w:val="22"/>
                <w:szCs w:val="22"/>
              </w:rPr>
              <w:t>Evidence should include details of how this validation has been carried out.</w:t>
            </w: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9c</w:t>
            </w:r>
          </w:p>
        </w:tc>
        <w:tc>
          <w:tcPr>
            <w:tcW w:w="1139"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 xml:space="preserve">Are there any SVA LLFs that have significantly changed from the last submission of LLFs? </w:t>
            </w:r>
          </w:p>
          <w:p w:rsidR="002061BF" w:rsidRDefault="002061BF" w:rsidP="00DF6FAC">
            <w:pPr>
              <w:spacing w:after="120"/>
              <w:rPr>
                <w:rFonts w:eastAsia="Times"/>
                <w:b/>
                <w:bCs/>
                <w:sz w:val="22"/>
                <w:szCs w:val="22"/>
              </w:rPr>
            </w:pPr>
            <w:r>
              <w:rPr>
                <w:rFonts w:eastAsia="Times"/>
                <w:b/>
                <w:bCs/>
                <w:sz w:val="22"/>
                <w:szCs w:val="22"/>
              </w:rPr>
              <w:t xml:space="preserve">If so, please provide details. </w:t>
            </w:r>
          </w:p>
        </w:tc>
        <w:tc>
          <w:tcPr>
            <w:tcW w:w="1306" w:type="pct"/>
            <w:tcMar>
              <w:top w:w="85" w:type="dxa"/>
              <w:left w:w="85" w:type="dxa"/>
              <w:bottom w:w="85" w:type="dxa"/>
              <w:right w:w="85" w:type="dxa"/>
            </w:tcMar>
          </w:tcPr>
          <w:p w:rsidR="002061BF" w:rsidRDefault="002061BF" w:rsidP="00DF6FAC">
            <w:pPr>
              <w:spacing w:after="120"/>
              <w:rPr>
                <w:rFonts w:eastAsia="Times"/>
                <w:bCs/>
                <w:sz w:val="22"/>
                <w:szCs w:val="22"/>
              </w:rPr>
            </w:pPr>
            <w:r>
              <w:rPr>
                <w:rFonts w:eastAsia="Times"/>
                <w:bCs/>
                <w:sz w:val="22"/>
                <w:szCs w:val="22"/>
              </w:rPr>
              <w:t>BSCCo will be validating the SVA submission in accordance with BSCP128 Section 3.5 point 7 c), BSCCo will identify any LLF values that are</w:t>
            </w:r>
            <w:r>
              <w:rPr>
                <w:rFonts w:ascii="Tahoma" w:eastAsia="Times" w:hAnsi="Tahoma"/>
                <w:sz w:val="22"/>
                <w:szCs w:val="22"/>
              </w:rPr>
              <w:t xml:space="preserve"> </w:t>
            </w:r>
            <w:r>
              <w:rPr>
                <w:rFonts w:eastAsia="Times"/>
                <w:bCs/>
                <w:sz w:val="22"/>
                <w:szCs w:val="22"/>
              </w:rPr>
              <w:t>outside of the range specified. BSCCo will request from the LDSO evidence for any values that fall outside of this range and supporting rationale to justify this change.</w:t>
            </w:r>
          </w:p>
          <w:p w:rsidR="002061BF" w:rsidRDefault="002061BF" w:rsidP="00DF6FAC">
            <w:pPr>
              <w:rPr>
                <w:rFonts w:eastAsia="Times"/>
                <w:bCs/>
                <w:sz w:val="22"/>
                <w:szCs w:val="22"/>
              </w:rPr>
            </w:pPr>
            <w:r>
              <w:rPr>
                <w:rFonts w:eastAsia="Times"/>
                <w:bCs/>
                <w:sz w:val="22"/>
                <w:szCs w:val="22"/>
              </w:rPr>
              <w:t>Evidence should include details of how this validation has been carried out and supporting rationale for the change in LLF Values.</w:t>
            </w: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9d</w:t>
            </w:r>
          </w:p>
        </w:tc>
        <w:tc>
          <w:tcPr>
            <w:tcW w:w="1139"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 xml:space="preserve">Are there any CVA LLFs that have significantly changed from the last submission of LLFs? </w:t>
            </w:r>
          </w:p>
          <w:p w:rsidR="002061BF" w:rsidRDefault="002061BF" w:rsidP="00DF6FAC">
            <w:pPr>
              <w:spacing w:after="120"/>
              <w:rPr>
                <w:rFonts w:eastAsia="Times"/>
                <w:b/>
                <w:bCs/>
                <w:sz w:val="22"/>
                <w:szCs w:val="22"/>
              </w:rPr>
            </w:pPr>
            <w:r>
              <w:rPr>
                <w:rFonts w:eastAsia="Times"/>
                <w:b/>
                <w:bCs/>
                <w:sz w:val="22"/>
                <w:szCs w:val="22"/>
              </w:rPr>
              <w:t xml:space="preserve">If so, please provide details. </w:t>
            </w:r>
          </w:p>
        </w:tc>
        <w:tc>
          <w:tcPr>
            <w:tcW w:w="1306" w:type="pct"/>
            <w:tcMar>
              <w:top w:w="85" w:type="dxa"/>
              <w:left w:w="85" w:type="dxa"/>
              <w:bottom w:w="85" w:type="dxa"/>
              <w:right w:w="85" w:type="dxa"/>
            </w:tcMar>
          </w:tcPr>
          <w:p w:rsidR="002061BF" w:rsidRDefault="002061BF" w:rsidP="00DF6FAC">
            <w:pPr>
              <w:spacing w:after="120"/>
              <w:rPr>
                <w:rFonts w:eastAsia="Times"/>
                <w:bCs/>
                <w:sz w:val="22"/>
                <w:szCs w:val="22"/>
              </w:rPr>
            </w:pPr>
            <w:r>
              <w:rPr>
                <w:rFonts w:eastAsia="Times"/>
                <w:bCs/>
                <w:sz w:val="22"/>
                <w:szCs w:val="22"/>
              </w:rPr>
              <w:t>BSCCo will be validating the CVA submission in accordance with BSCP128 Section 3.5 point 7 d), BSCCo will identify any LLF values that are</w:t>
            </w:r>
            <w:r>
              <w:rPr>
                <w:rFonts w:ascii="Tahoma" w:eastAsia="Times" w:hAnsi="Tahoma"/>
                <w:sz w:val="22"/>
                <w:szCs w:val="22"/>
              </w:rPr>
              <w:t xml:space="preserve"> </w:t>
            </w:r>
            <w:r>
              <w:rPr>
                <w:rFonts w:eastAsia="Times"/>
                <w:bCs/>
                <w:sz w:val="22"/>
                <w:szCs w:val="22"/>
              </w:rPr>
              <w:t>outside the range specified. BSCCo will request from the LDSO evidence for any values that fall outside of this range and supporting rationale to justify this change.</w:t>
            </w:r>
          </w:p>
          <w:p w:rsidR="002061BF" w:rsidRDefault="002061BF" w:rsidP="00DF6FAC">
            <w:pPr>
              <w:rPr>
                <w:rFonts w:eastAsia="Times"/>
                <w:bCs/>
                <w:sz w:val="22"/>
                <w:szCs w:val="22"/>
              </w:rPr>
            </w:pPr>
            <w:r>
              <w:rPr>
                <w:rFonts w:eastAsia="Times"/>
                <w:bCs/>
                <w:sz w:val="22"/>
                <w:szCs w:val="22"/>
              </w:rPr>
              <w:t>Evidence should include details of how this validation has been carried out and supporting rationale for the change in LLF Values.</w:t>
            </w: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10</w:t>
            </w:r>
          </w:p>
        </w:tc>
        <w:tc>
          <w:tcPr>
            <w:tcW w:w="1139"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 xml:space="preserve">Have the sites undergone a Relevant Change? </w:t>
            </w:r>
          </w:p>
          <w:p w:rsidR="002061BF" w:rsidRDefault="002061BF" w:rsidP="00DF6FAC">
            <w:pPr>
              <w:spacing w:after="120"/>
              <w:rPr>
                <w:rFonts w:eastAsia="Times"/>
                <w:b/>
                <w:bCs/>
                <w:sz w:val="22"/>
                <w:szCs w:val="22"/>
              </w:rPr>
            </w:pPr>
            <w:r>
              <w:rPr>
                <w:rFonts w:eastAsia="Times"/>
                <w:b/>
                <w:bCs/>
                <w:sz w:val="22"/>
                <w:szCs w:val="22"/>
              </w:rPr>
              <w:t>If so please provide details.</w:t>
            </w:r>
          </w:p>
        </w:tc>
        <w:tc>
          <w:tcPr>
            <w:tcW w:w="1306" w:type="pct"/>
            <w:tcMar>
              <w:top w:w="85" w:type="dxa"/>
              <w:left w:w="85" w:type="dxa"/>
              <w:bottom w:w="85" w:type="dxa"/>
              <w:right w:w="85" w:type="dxa"/>
            </w:tcMar>
          </w:tcPr>
          <w:p w:rsidR="002061BF" w:rsidRDefault="002061BF" w:rsidP="00DF6FAC">
            <w:pPr>
              <w:spacing w:after="120"/>
              <w:rPr>
                <w:rFonts w:eastAsia="Times"/>
                <w:bCs/>
                <w:sz w:val="22"/>
                <w:szCs w:val="22"/>
              </w:rPr>
            </w:pPr>
            <w:r>
              <w:rPr>
                <w:rFonts w:eastAsia="Times"/>
                <w:bCs/>
                <w:sz w:val="22"/>
                <w:szCs w:val="22"/>
              </w:rPr>
              <w:t>Relevant Changes are defined in BSCP128 as ‘A significant change to the physical plant, apparatus, distribution network, or capacity which causes a change to the Line Loss Factors’.</w:t>
            </w:r>
          </w:p>
          <w:p w:rsidR="002061BF" w:rsidRDefault="002061BF" w:rsidP="00DF6FAC">
            <w:pPr>
              <w:rPr>
                <w:rFonts w:eastAsia="Times"/>
                <w:bCs/>
                <w:sz w:val="22"/>
                <w:szCs w:val="22"/>
              </w:rPr>
            </w:pPr>
            <w:r>
              <w:rPr>
                <w:rFonts w:eastAsia="Times"/>
                <w:bCs/>
                <w:sz w:val="22"/>
                <w:szCs w:val="22"/>
              </w:rPr>
              <w:t>Information and supporting evidence should be detailed in the response. MSIDs should be flagged with the relevant information as in 2.1.</w:t>
            </w: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11</w:t>
            </w:r>
          </w:p>
        </w:tc>
        <w:tc>
          <w:tcPr>
            <w:tcW w:w="1139"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Please provide details of the error checking processes carried out when calculating LLFs.</w:t>
            </w:r>
          </w:p>
        </w:tc>
        <w:tc>
          <w:tcPr>
            <w:tcW w:w="1306" w:type="pct"/>
            <w:tcMar>
              <w:top w:w="85" w:type="dxa"/>
              <w:left w:w="85" w:type="dxa"/>
              <w:bottom w:w="85" w:type="dxa"/>
              <w:right w:w="85" w:type="dxa"/>
            </w:tcMar>
          </w:tcPr>
          <w:p w:rsidR="002061BF" w:rsidRDefault="002061BF" w:rsidP="00DF6FAC">
            <w:pPr>
              <w:spacing w:after="120"/>
              <w:rPr>
                <w:rFonts w:eastAsia="Times"/>
                <w:bCs/>
                <w:sz w:val="22"/>
                <w:szCs w:val="22"/>
              </w:rPr>
            </w:pPr>
            <w:r>
              <w:rPr>
                <w:rFonts w:eastAsia="Times"/>
                <w:bCs/>
                <w:sz w:val="22"/>
                <w:szCs w:val="22"/>
              </w:rPr>
              <w:t>LDSOs are required to have robust error detection and correction processes in place throughout the calculation of LLFs.</w:t>
            </w:r>
          </w:p>
          <w:p w:rsidR="002061BF" w:rsidRDefault="002061BF" w:rsidP="00DF6FAC">
            <w:pPr>
              <w:rPr>
                <w:rFonts w:eastAsia="Times"/>
                <w:bCs/>
                <w:sz w:val="22"/>
                <w:szCs w:val="22"/>
              </w:rPr>
            </w:pPr>
            <w:r>
              <w:rPr>
                <w:rFonts w:eastAsia="Times"/>
                <w:bCs/>
                <w:sz w:val="22"/>
                <w:szCs w:val="22"/>
              </w:rPr>
              <w:t>LDSOs may wish to provide references in to their working instructions and/or process maps, including details on the error checking processes used in the calculation process.</w:t>
            </w: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12</w:t>
            </w:r>
          </w:p>
        </w:tc>
        <w:tc>
          <w:tcPr>
            <w:tcW w:w="1139"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Are there any SVA or CVA Site Specific sites for which a default calculation, or default replacement process was undertaken?</w:t>
            </w:r>
          </w:p>
          <w:p w:rsidR="002061BF" w:rsidRDefault="002061BF" w:rsidP="00DF6FAC">
            <w:pPr>
              <w:spacing w:after="120"/>
              <w:rPr>
                <w:rFonts w:eastAsia="Times"/>
                <w:b/>
                <w:bCs/>
                <w:sz w:val="22"/>
                <w:szCs w:val="22"/>
              </w:rPr>
            </w:pPr>
            <w:r>
              <w:rPr>
                <w:rFonts w:eastAsia="Times"/>
                <w:b/>
                <w:bCs/>
                <w:sz w:val="22"/>
                <w:szCs w:val="22"/>
              </w:rPr>
              <w:t>If so, please give details.</w:t>
            </w:r>
          </w:p>
        </w:tc>
        <w:tc>
          <w:tcPr>
            <w:tcW w:w="1306" w:type="pct"/>
            <w:tcMar>
              <w:top w:w="85" w:type="dxa"/>
              <w:left w:w="85" w:type="dxa"/>
              <w:bottom w:w="85" w:type="dxa"/>
              <w:right w:w="85" w:type="dxa"/>
            </w:tcMar>
          </w:tcPr>
          <w:p w:rsidR="002061BF" w:rsidRDefault="002061BF" w:rsidP="00DF6FAC">
            <w:pPr>
              <w:spacing w:after="120"/>
              <w:rPr>
                <w:rFonts w:eastAsia="Times"/>
                <w:bCs/>
                <w:sz w:val="22"/>
                <w:szCs w:val="22"/>
              </w:rPr>
            </w:pPr>
            <w:r>
              <w:rPr>
                <w:rFonts w:eastAsia="Times"/>
                <w:bCs/>
                <w:sz w:val="22"/>
                <w:szCs w:val="22"/>
              </w:rPr>
              <w:t>SVA or CVA Site specific LLFCs for which a default calculation or default replacement was applied have to be documented and provided to the BSCCo auditor upon request. Any failure to do so will lead to a non- compliance.</w:t>
            </w:r>
          </w:p>
          <w:p w:rsidR="002061BF" w:rsidRDefault="002061BF" w:rsidP="00DF6FAC">
            <w:pPr>
              <w:rPr>
                <w:rFonts w:eastAsia="Times"/>
                <w:bCs/>
                <w:sz w:val="22"/>
                <w:szCs w:val="22"/>
              </w:rPr>
            </w:pPr>
            <w:r>
              <w:rPr>
                <w:rFonts w:eastAsia="Times"/>
                <w:bCs/>
                <w:sz w:val="22"/>
                <w:szCs w:val="22"/>
              </w:rPr>
              <w:t>For example SVA or CVA sites where for a given SToD period instead of applying calculated LLF, a calculation was performed using a defined threshold (e.g. 200 kVA) or a generic LLF was applied.</w:t>
            </w: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13</w:t>
            </w:r>
          </w:p>
        </w:tc>
        <w:tc>
          <w:tcPr>
            <w:tcW w:w="1139" w:type="pct"/>
            <w:tcMar>
              <w:top w:w="85" w:type="dxa"/>
              <w:left w:w="85" w:type="dxa"/>
              <w:bottom w:w="85" w:type="dxa"/>
              <w:right w:w="85" w:type="dxa"/>
            </w:tcMar>
          </w:tcPr>
          <w:p w:rsidR="002061BF" w:rsidRPr="008A5C31" w:rsidRDefault="002061BF" w:rsidP="00DF6FAC">
            <w:pPr>
              <w:spacing w:after="120"/>
              <w:rPr>
                <w:rFonts w:eastAsia="Times"/>
                <w:b/>
                <w:bCs/>
                <w:sz w:val="22"/>
                <w:szCs w:val="22"/>
              </w:rPr>
            </w:pPr>
            <w:r>
              <w:rPr>
                <w:rFonts w:eastAsia="Times"/>
                <w:b/>
                <w:bCs/>
                <w:sz w:val="22"/>
                <w:szCs w:val="22"/>
              </w:rPr>
              <w:t xml:space="preserve">Are there any Sites with multiple connections to the Total System where the primary connection is at EHV but there is a subordinate connection that Principle 17 (a)-(b) would apply to and </w:t>
            </w:r>
            <w:r w:rsidRPr="008A5C31">
              <w:rPr>
                <w:rFonts w:eastAsia="Times"/>
                <w:b/>
                <w:bCs/>
                <w:sz w:val="22"/>
                <w:szCs w:val="22"/>
              </w:rPr>
              <w:t>for which a default calculation, or default replacement process was undertaken?</w:t>
            </w:r>
          </w:p>
          <w:p w:rsidR="002061BF" w:rsidRDefault="002061BF" w:rsidP="00DF6FAC">
            <w:pPr>
              <w:spacing w:after="120"/>
              <w:rPr>
                <w:rFonts w:eastAsia="Times"/>
                <w:b/>
                <w:bCs/>
                <w:sz w:val="22"/>
                <w:szCs w:val="22"/>
              </w:rPr>
            </w:pPr>
            <w:r w:rsidRPr="008A5C31">
              <w:rPr>
                <w:rFonts w:eastAsia="Times"/>
                <w:b/>
                <w:bCs/>
                <w:sz w:val="22"/>
                <w:szCs w:val="22"/>
              </w:rPr>
              <w:t>If so, please give details.</w:t>
            </w:r>
          </w:p>
        </w:tc>
        <w:tc>
          <w:tcPr>
            <w:tcW w:w="1306" w:type="pct"/>
            <w:tcMar>
              <w:top w:w="85" w:type="dxa"/>
              <w:left w:w="85" w:type="dxa"/>
              <w:bottom w:w="85" w:type="dxa"/>
              <w:right w:w="85" w:type="dxa"/>
            </w:tcMar>
          </w:tcPr>
          <w:p w:rsidR="002061BF" w:rsidRPr="008A5C31" w:rsidRDefault="002061BF" w:rsidP="00DF6FAC">
            <w:pPr>
              <w:spacing w:after="120"/>
              <w:rPr>
                <w:rFonts w:eastAsia="Times"/>
                <w:bCs/>
                <w:sz w:val="22"/>
                <w:szCs w:val="22"/>
              </w:rPr>
            </w:pPr>
            <w:r>
              <w:rPr>
                <w:rFonts w:eastAsia="Times"/>
                <w:bCs/>
                <w:sz w:val="22"/>
                <w:szCs w:val="22"/>
              </w:rPr>
              <w:t>Subordinate connections</w:t>
            </w:r>
            <w:r w:rsidRPr="008A5C31">
              <w:rPr>
                <w:rFonts w:eastAsia="Times"/>
                <w:bCs/>
                <w:sz w:val="22"/>
                <w:szCs w:val="22"/>
              </w:rPr>
              <w:t xml:space="preserve"> for which a default calculation or default replacement was applied have to be documented and provided to the BSCCo auditor upon request. Any failure to do so will lead to a non- compliance.</w:t>
            </w:r>
          </w:p>
          <w:p w:rsidR="002061BF" w:rsidRDefault="002061BF" w:rsidP="00DF6FAC">
            <w:pPr>
              <w:spacing w:after="120"/>
              <w:rPr>
                <w:rFonts w:eastAsia="Times"/>
                <w:bCs/>
                <w:sz w:val="22"/>
                <w:szCs w:val="22"/>
              </w:rPr>
            </w:pPr>
            <w:r w:rsidRPr="008A5C31">
              <w:rPr>
                <w:rFonts w:eastAsia="Times"/>
                <w:bCs/>
                <w:sz w:val="22"/>
                <w:szCs w:val="22"/>
              </w:rPr>
              <w:t xml:space="preserve">For example </w:t>
            </w:r>
            <w:r>
              <w:rPr>
                <w:rFonts w:eastAsia="Times"/>
                <w:bCs/>
                <w:sz w:val="22"/>
                <w:szCs w:val="22"/>
              </w:rPr>
              <w:t>connections</w:t>
            </w:r>
            <w:r w:rsidRPr="008A5C31">
              <w:rPr>
                <w:rFonts w:eastAsia="Times"/>
                <w:bCs/>
                <w:sz w:val="22"/>
                <w:szCs w:val="22"/>
              </w:rPr>
              <w:t xml:space="preserve"> where for a given SToD period instead of applying </w:t>
            </w:r>
            <w:r>
              <w:rPr>
                <w:rFonts w:eastAsia="Times"/>
                <w:bCs/>
                <w:sz w:val="22"/>
                <w:szCs w:val="22"/>
              </w:rPr>
              <w:t>Site Specific</w:t>
            </w:r>
            <w:r w:rsidRPr="008A5C31">
              <w:rPr>
                <w:rFonts w:eastAsia="Times"/>
                <w:bCs/>
                <w:sz w:val="22"/>
                <w:szCs w:val="22"/>
              </w:rPr>
              <w:t xml:space="preserve"> LLF, a generic LLF was applied.</w:t>
            </w: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14</w:t>
            </w:r>
          </w:p>
        </w:tc>
        <w:tc>
          <w:tcPr>
            <w:tcW w:w="1139"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Does the calculation involve third parties?</w:t>
            </w:r>
          </w:p>
          <w:p w:rsidR="002061BF" w:rsidRDefault="002061BF" w:rsidP="00DF6FAC">
            <w:pPr>
              <w:spacing w:after="120"/>
              <w:rPr>
                <w:rFonts w:eastAsia="Times"/>
                <w:b/>
                <w:bCs/>
                <w:sz w:val="22"/>
                <w:szCs w:val="22"/>
              </w:rPr>
            </w:pPr>
            <w:r>
              <w:rPr>
                <w:rFonts w:eastAsia="Times"/>
                <w:b/>
                <w:bCs/>
                <w:sz w:val="22"/>
                <w:szCs w:val="22"/>
              </w:rPr>
              <w:t>If so please provide details.</w:t>
            </w:r>
          </w:p>
        </w:tc>
        <w:tc>
          <w:tcPr>
            <w:tcW w:w="1306" w:type="pct"/>
            <w:tcMar>
              <w:top w:w="85" w:type="dxa"/>
              <w:left w:w="85" w:type="dxa"/>
              <w:bottom w:w="85" w:type="dxa"/>
              <w:right w:w="85" w:type="dxa"/>
            </w:tcMar>
          </w:tcPr>
          <w:p w:rsidR="002061BF" w:rsidRDefault="002061BF" w:rsidP="00DF6FAC">
            <w:pPr>
              <w:spacing w:after="120"/>
              <w:rPr>
                <w:rFonts w:eastAsia="Times"/>
                <w:bCs/>
                <w:sz w:val="22"/>
                <w:szCs w:val="22"/>
              </w:rPr>
            </w:pPr>
            <w:r>
              <w:rPr>
                <w:rFonts w:eastAsia="Times"/>
                <w:bCs/>
                <w:sz w:val="22"/>
                <w:szCs w:val="22"/>
              </w:rPr>
              <w:t>Where aspects of the calculation are sub-contracted to a third party the activity should be detailed in the response field (description of process, process maps, quality checks, etc). The LDSO is still responsible for any elements that it has contracted out.</w:t>
            </w:r>
          </w:p>
          <w:p w:rsidR="002061BF" w:rsidRDefault="002061BF" w:rsidP="00DF6FAC">
            <w:pPr>
              <w:rPr>
                <w:rFonts w:eastAsia="Times"/>
                <w:bCs/>
                <w:sz w:val="22"/>
                <w:szCs w:val="22"/>
              </w:rPr>
            </w:pPr>
            <w:r>
              <w:rPr>
                <w:rFonts w:eastAsia="Times"/>
                <w:bCs/>
                <w:sz w:val="22"/>
                <w:szCs w:val="22"/>
              </w:rPr>
              <w:t>For example, a LDSO may utilise a third Party to generate the Site Specific LLFs for a particular site.</w:t>
            </w: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r w:rsidR="002061BF" w:rsidTr="00DF6FAC">
        <w:trPr>
          <w:cantSplit/>
        </w:trPr>
        <w:tc>
          <w:tcPr>
            <w:tcW w:w="276"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15</w:t>
            </w:r>
          </w:p>
        </w:tc>
        <w:tc>
          <w:tcPr>
            <w:tcW w:w="1139" w:type="pct"/>
            <w:tcMar>
              <w:top w:w="85" w:type="dxa"/>
              <w:left w:w="85" w:type="dxa"/>
              <w:bottom w:w="85" w:type="dxa"/>
              <w:right w:w="85" w:type="dxa"/>
            </w:tcMar>
          </w:tcPr>
          <w:p w:rsidR="002061BF" w:rsidRDefault="002061BF" w:rsidP="00DF6FAC">
            <w:pPr>
              <w:spacing w:after="120"/>
              <w:rPr>
                <w:rFonts w:eastAsia="Times"/>
                <w:b/>
                <w:bCs/>
                <w:sz w:val="22"/>
                <w:szCs w:val="22"/>
              </w:rPr>
            </w:pPr>
            <w:r>
              <w:rPr>
                <w:rFonts w:eastAsia="Times"/>
                <w:b/>
                <w:bCs/>
                <w:sz w:val="22"/>
                <w:szCs w:val="22"/>
              </w:rPr>
              <w:t>Is there any additional detail you would like to add to your response?</w:t>
            </w:r>
          </w:p>
        </w:tc>
        <w:tc>
          <w:tcPr>
            <w:tcW w:w="1306" w:type="pct"/>
            <w:tcMar>
              <w:top w:w="85" w:type="dxa"/>
              <w:left w:w="85" w:type="dxa"/>
              <w:bottom w:w="85" w:type="dxa"/>
              <w:right w:w="85" w:type="dxa"/>
            </w:tcMar>
          </w:tcPr>
          <w:p w:rsidR="002061BF" w:rsidRDefault="002061BF" w:rsidP="00DF6FAC">
            <w:pPr>
              <w:rPr>
                <w:rFonts w:eastAsia="Times"/>
                <w:bCs/>
                <w:sz w:val="22"/>
                <w:szCs w:val="22"/>
              </w:rPr>
            </w:pPr>
            <w:r>
              <w:rPr>
                <w:rFonts w:eastAsia="Times"/>
                <w:bCs/>
                <w:sz w:val="22"/>
                <w:szCs w:val="22"/>
              </w:rPr>
              <w:t>Additional information that supports the Audit of the Calculations can be added here or appended to the document.</w:t>
            </w:r>
          </w:p>
        </w:tc>
        <w:tc>
          <w:tcPr>
            <w:tcW w:w="1274" w:type="pct"/>
            <w:tcMar>
              <w:top w:w="85" w:type="dxa"/>
              <w:left w:w="85" w:type="dxa"/>
              <w:bottom w:w="85" w:type="dxa"/>
              <w:right w:w="85" w:type="dxa"/>
            </w:tcMar>
          </w:tcPr>
          <w:p w:rsidR="002061BF" w:rsidRDefault="002061BF" w:rsidP="00DF6FAC">
            <w:pPr>
              <w:spacing w:after="120"/>
              <w:rPr>
                <w:rFonts w:eastAsia="Times"/>
                <w:b/>
                <w:bCs/>
                <w:sz w:val="22"/>
                <w:szCs w:val="22"/>
              </w:rPr>
            </w:pPr>
          </w:p>
        </w:tc>
        <w:tc>
          <w:tcPr>
            <w:tcW w:w="1005" w:type="pct"/>
            <w:tcMar>
              <w:top w:w="85" w:type="dxa"/>
              <w:left w:w="85" w:type="dxa"/>
              <w:bottom w:w="85" w:type="dxa"/>
              <w:right w:w="85" w:type="dxa"/>
            </w:tcMar>
          </w:tcPr>
          <w:p w:rsidR="002061BF" w:rsidRDefault="002061BF" w:rsidP="00DF6FAC">
            <w:pPr>
              <w:spacing w:after="120"/>
              <w:rPr>
                <w:rFonts w:eastAsia="Times"/>
                <w:b/>
                <w:bCs/>
                <w:sz w:val="22"/>
                <w:szCs w:val="22"/>
              </w:rPr>
            </w:pPr>
          </w:p>
        </w:tc>
      </w:tr>
    </w:tbl>
    <w:p w:rsidR="002061BF" w:rsidRDefault="002061BF" w:rsidP="002061BF">
      <w:pPr>
        <w:spacing w:after="240"/>
      </w:pPr>
    </w:p>
    <w:p w:rsidR="00147B3F" w:rsidRPr="002061BF" w:rsidRDefault="00147B3F" w:rsidP="002061BF"/>
    <w:sectPr w:rsidR="00147B3F" w:rsidRPr="002061BF">
      <w:headerReference w:type="default" r:id="rId13"/>
      <w:footerReference w:type="default" r:id="rId14"/>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B3F" w:rsidRDefault="002061BF">
      <w:r>
        <w:separator/>
      </w:r>
    </w:p>
  </w:endnote>
  <w:endnote w:type="continuationSeparator" w:id="0">
    <w:p w:rsidR="00147B3F" w:rsidRDefault="0020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69005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BF" w:rsidRDefault="002061BF">
    <w:pPr>
      <w:pStyle w:val="Footer"/>
      <w:pBdr>
        <w:top w:val="single" w:sz="4" w:space="6" w:color="auto"/>
      </w:pBdr>
      <w:tabs>
        <w:tab w:val="clear" w:pos="4320"/>
        <w:tab w:val="clear" w:pos="8640"/>
        <w:tab w:val="clear" w:pos="8784"/>
        <w:tab w:val="center" w:pos="4536"/>
        <w:tab w:val="right" w:pos="9072"/>
      </w:tabs>
      <w:rPr>
        <w:b/>
      </w:rPr>
    </w:pPr>
    <w:r>
      <w:rPr>
        <w:b/>
      </w:rPr>
      <w:t>Balancing and Settlement Code</w:t>
    </w:r>
    <w:r>
      <w:rPr>
        <w:b/>
      </w:rPr>
      <w:tab/>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rPr>
        <w:b/>
      </w:rPr>
      <w:t xml:space="preserve"> of </w:t>
    </w:r>
    <w:r>
      <w:rPr>
        <w:b/>
      </w:rPr>
      <w:fldChar w:fldCharType="begin"/>
    </w:r>
    <w:r>
      <w:rPr>
        <w:b/>
      </w:rPr>
      <w:instrText xml:space="preserve"> NUMPAGES  \* Arabic  \* MERGEFORMAT </w:instrText>
    </w:r>
    <w:r>
      <w:rPr>
        <w:b/>
      </w:rPr>
      <w:fldChar w:fldCharType="separate"/>
    </w:r>
    <w:r>
      <w:rPr>
        <w:b/>
        <w:noProof/>
      </w:rPr>
      <w:t>12</w:t>
    </w:r>
    <w:r>
      <w:rPr>
        <w:b/>
      </w:rPr>
      <w:fldChar w:fldCharType="end"/>
    </w:r>
    <w:r>
      <w:rPr>
        <w:b/>
      </w:rPr>
      <w:tab/>
    </w:r>
    <w:r>
      <w:rPr>
        <w:b/>
      </w:rPr>
      <w:fldChar w:fldCharType="begin"/>
    </w:r>
    <w:r>
      <w:rPr>
        <w:b/>
      </w:rPr>
      <w:instrText xml:space="preserve"> DOCPROPERTY  "Effective Date"  \* MERGEFORMAT </w:instrText>
    </w:r>
    <w:r>
      <w:rPr>
        <w:b/>
      </w:rPr>
      <w:fldChar w:fldCharType="separate"/>
    </w:r>
    <w:r>
      <w:rPr>
        <w:b/>
      </w:rPr>
      <w:t>01 September 2021</w:t>
    </w:r>
    <w:r>
      <w:rPr>
        <w:b/>
      </w:rPr>
      <w:fldChar w:fldCharType="end"/>
    </w:r>
  </w:p>
  <w:p w:rsidR="002061BF" w:rsidRDefault="002061BF">
    <w:pPr>
      <w:pStyle w:val="Footer"/>
      <w:tabs>
        <w:tab w:val="clear" w:pos="4320"/>
        <w:tab w:val="clear" w:pos="8640"/>
        <w:tab w:val="clear" w:pos="8784"/>
      </w:tabs>
      <w:jc w:val="center"/>
      <w:rPr>
        <w:b/>
      </w:rPr>
    </w:pPr>
    <w:r>
      <w:rPr>
        <w:b/>
      </w:rPr>
      <w:t>© Elexon Limited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BF" w:rsidRDefault="002061BF">
    <w:pPr>
      <w:pStyle w:val="Footer"/>
      <w:pBdr>
        <w:top w:val="single" w:sz="4" w:space="6" w:color="auto"/>
      </w:pBdr>
      <w:tabs>
        <w:tab w:val="clear" w:pos="4320"/>
        <w:tab w:val="clear" w:pos="8640"/>
        <w:tab w:val="clear" w:pos="8784"/>
        <w:tab w:val="center" w:pos="7088"/>
        <w:tab w:val="right" w:pos="14033"/>
      </w:tabs>
      <w:rPr>
        <w:b/>
      </w:rPr>
    </w:pPr>
    <w:r>
      <w:rPr>
        <w:b/>
      </w:rPr>
      <w:t>Balancing and Settlement Code</w:t>
    </w:r>
    <w:r>
      <w:rPr>
        <w:b/>
      </w:rPr>
      <w:tab/>
      <w:t xml:space="preserve">Page </w:t>
    </w:r>
    <w:r>
      <w:rPr>
        <w:b/>
      </w:rPr>
      <w:fldChar w:fldCharType="begin"/>
    </w:r>
    <w:r>
      <w:rPr>
        <w:b/>
      </w:rPr>
      <w:instrText xml:space="preserve"> PAGE  \* Arabic  \* MERGEFORMAT </w:instrText>
    </w:r>
    <w:r>
      <w:rPr>
        <w:b/>
      </w:rPr>
      <w:fldChar w:fldCharType="separate"/>
    </w:r>
    <w:r>
      <w:rPr>
        <w:b/>
        <w:noProof/>
      </w:rPr>
      <w:t>2</w:t>
    </w:r>
    <w:r>
      <w:rPr>
        <w:b/>
      </w:rPr>
      <w:fldChar w:fldCharType="end"/>
    </w:r>
    <w:r>
      <w:rPr>
        <w:b/>
      </w:rPr>
      <w:t xml:space="preserve"> of </w:t>
    </w:r>
    <w:r>
      <w:rPr>
        <w:b/>
      </w:rPr>
      <w:fldChar w:fldCharType="begin"/>
    </w:r>
    <w:r>
      <w:rPr>
        <w:b/>
      </w:rPr>
      <w:instrText xml:space="preserve"> NUMPAGES  \* Arabic  \* MERGEFORMAT </w:instrText>
    </w:r>
    <w:r>
      <w:rPr>
        <w:b/>
      </w:rPr>
      <w:fldChar w:fldCharType="separate"/>
    </w:r>
    <w:r>
      <w:rPr>
        <w:b/>
        <w:noProof/>
      </w:rPr>
      <w:t>12</w:t>
    </w:r>
    <w:r>
      <w:rPr>
        <w:b/>
      </w:rPr>
      <w:fldChar w:fldCharType="end"/>
    </w:r>
    <w:r>
      <w:rPr>
        <w:b/>
      </w:rPr>
      <w:tab/>
    </w:r>
    <w:r>
      <w:rPr>
        <w:b/>
      </w:rPr>
      <w:fldChar w:fldCharType="begin"/>
    </w:r>
    <w:r>
      <w:rPr>
        <w:b/>
      </w:rPr>
      <w:instrText xml:space="preserve"> DOCPROPERTY  "Effective Date"  \* MERGEFORMAT </w:instrText>
    </w:r>
    <w:r>
      <w:rPr>
        <w:b/>
      </w:rPr>
      <w:fldChar w:fldCharType="separate"/>
    </w:r>
    <w:r>
      <w:rPr>
        <w:b/>
      </w:rPr>
      <w:t>01 September 2021</w:t>
    </w:r>
    <w:r>
      <w:rPr>
        <w:b/>
      </w:rPr>
      <w:fldChar w:fldCharType="end"/>
    </w:r>
  </w:p>
  <w:p w:rsidR="002061BF" w:rsidRDefault="002061BF">
    <w:pPr>
      <w:pStyle w:val="Footer"/>
      <w:tabs>
        <w:tab w:val="clear" w:pos="4320"/>
        <w:tab w:val="clear" w:pos="8640"/>
        <w:tab w:val="clear" w:pos="8784"/>
      </w:tabs>
      <w:jc w:val="center"/>
      <w:rPr>
        <w:b/>
      </w:rPr>
    </w:pPr>
    <w:r>
      <w:rPr>
        <w:b/>
      </w:rPr>
      <w:t>© Elexon Limited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BF" w:rsidRDefault="002061BF">
    <w:pPr>
      <w:pStyle w:val="Footer"/>
      <w:pBdr>
        <w:top w:val="single" w:sz="4" w:space="6" w:color="auto"/>
      </w:pBdr>
      <w:tabs>
        <w:tab w:val="clear" w:pos="4320"/>
        <w:tab w:val="clear" w:pos="8640"/>
        <w:tab w:val="clear" w:pos="8784"/>
        <w:tab w:val="center" w:pos="4536"/>
        <w:tab w:val="right" w:pos="9072"/>
      </w:tabs>
      <w:rPr>
        <w:b/>
      </w:rPr>
    </w:pPr>
    <w:r>
      <w:rPr>
        <w:b/>
      </w:rPr>
      <w:t>Balancing and Settlement Code</w:t>
    </w:r>
    <w:r>
      <w:rPr>
        <w:b/>
      </w:rPr>
      <w:tab/>
      <w:t xml:space="preserve">Page </w:t>
    </w:r>
    <w:r>
      <w:rPr>
        <w:b/>
      </w:rPr>
      <w:fldChar w:fldCharType="begin"/>
    </w:r>
    <w:r>
      <w:rPr>
        <w:b/>
      </w:rPr>
      <w:instrText xml:space="preserve"> PAGE  \* Arabic  \* MERGEFORMAT </w:instrText>
    </w:r>
    <w:r>
      <w:rPr>
        <w:b/>
      </w:rPr>
      <w:fldChar w:fldCharType="separate"/>
    </w:r>
    <w:r>
      <w:rPr>
        <w:b/>
        <w:noProof/>
      </w:rPr>
      <w:t>3</w:t>
    </w:r>
    <w:r>
      <w:rPr>
        <w:b/>
      </w:rPr>
      <w:fldChar w:fldCharType="end"/>
    </w:r>
    <w:r>
      <w:rPr>
        <w:b/>
      </w:rPr>
      <w:t xml:space="preserve"> of </w:t>
    </w:r>
    <w:r>
      <w:rPr>
        <w:b/>
      </w:rPr>
      <w:fldChar w:fldCharType="begin"/>
    </w:r>
    <w:r>
      <w:rPr>
        <w:b/>
      </w:rPr>
      <w:instrText xml:space="preserve"> NUMPAGES  \* Arabic  \* MERGEFORMAT </w:instrText>
    </w:r>
    <w:r>
      <w:rPr>
        <w:b/>
      </w:rPr>
      <w:fldChar w:fldCharType="separate"/>
    </w:r>
    <w:r>
      <w:rPr>
        <w:b/>
        <w:noProof/>
      </w:rPr>
      <w:t>12</w:t>
    </w:r>
    <w:r>
      <w:rPr>
        <w:b/>
      </w:rPr>
      <w:fldChar w:fldCharType="end"/>
    </w:r>
    <w:r>
      <w:rPr>
        <w:b/>
      </w:rPr>
      <w:tab/>
    </w:r>
    <w:r>
      <w:rPr>
        <w:b/>
      </w:rPr>
      <w:fldChar w:fldCharType="begin"/>
    </w:r>
    <w:r>
      <w:rPr>
        <w:b/>
      </w:rPr>
      <w:instrText xml:space="preserve"> DOCPROPERTY  "Effective Date"  \* MERGEFORMAT </w:instrText>
    </w:r>
    <w:r>
      <w:rPr>
        <w:b/>
      </w:rPr>
      <w:fldChar w:fldCharType="separate"/>
    </w:r>
    <w:r>
      <w:rPr>
        <w:b/>
      </w:rPr>
      <w:t>01 September 2021</w:t>
    </w:r>
    <w:r>
      <w:rPr>
        <w:b/>
      </w:rPr>
      <w:fldChar w:fldCharType="end"/>
    </w:r>
  </w:p>
  <w:p w:rsidR="002061BF" w:rsidRDefault="002061BF">
    <w:pPr>
      <w:pStyle w:val="Footer"/>
      <w:tabs>
        <w:tab w:val="clear" w:pos="4320"/>
        <w:tab w:val="clear" w:pos="8640"/>
        <w:tab w:val="clear" w:pos="8784"/>
      </w:tabs>
      <w:jc w:val="center"/>
      <w:rPr>
        <w:b/>
      </w:rPr>
    </w:pPr>
    <w:r>
      <w:rPr>
        <w:b/>
      </w:rPr>
      <w:t>© Elexon Limited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2061BF">
    <w:pPr>
      <w:pStyle w:val="Footer"/>
      <w:pBdr>
        <w:top w:val="single" w:sz="4" w:space="6" w:color="auto"/>
      </w:pBdr>
      <w:tabs>
        <w:tab w:val="clear" w:pos="4320"/>
        <w:tab w:val="clear" w:pos="8640"/>
        <w:tab w:val="clear" w:pos="8784"/>
        <w:tab w:val="center" w:pos="7088"/>
        <w:tab w:val="right" w:pos="14033"/>
      </w:tabs>
      <w:rPr>
        <w:b/>
      </w:rPr>
    </w:pPr>
    <w:r>
      <w:rPr>
        <w:b/>
      </w:rPr>
      <w:t>Balancing and Settlement Code</w:t>
    </w:r>
    <w:r>
      <w:rPr>
        <w:b/>
      </w:rPr>
      <w:tab/>
      <w:t xml:space="preserve">Page </w:t>
    </w:r>
    <w:r>
      <w:rPr>
        <w:b/>
      </w:rPr>
      <w:fldChar w:fldCharType="begin"/>
    </w:r>
    <w:r>
      <w:rPr>
        <w:b/>
      </w:rPr>
      <w:instrText xml:space="preserve"> PAGE  \* Arabic  \* MERGEFORMAT </w:instrText>
    </w:r>
    <w:r>
      <w:rPr>
        <w:b/>
      </w:rPr>
      <w:fldChar w:fldCharType="separate"/>
    </w:r>
    <w:r>
      <w:rPr>
        <w:b/>
        <w:noProof/>
      </w:rPr>
      <w:t>12</w:t>
    </w:r>
    <w:r>
      <w:rPr>
        <w:b/>
      </w:rPr>
      <w:fldChar w:fldCharType="end"/>
    </w:r>
    <w:r>
      <w:rPr>
        <w:b/>
      </w:rPr>
      <w:t xml:space="preserve"> of </w:t>
    </w:r>
    <w:r>
      <w:rPr>
        <w:b/>
      </w:rPr>
      <w:fldChar w:fldCharType="begin"/>
    </w:r>
    <w:r>
      <w:rPr>
        <w:b/>
      </w:rPr>
      <w:instrText xml:space="preserve"> NUMPAGES  \* Arabic  \* MERGEFORMAT </w:instrText>
    </w:r>
    <w:r>
      <w:rPr>
        <w:b/>
      </w:rPr>
      <w:fldChar w:fldCharType="separate"/>
    </w:r>
    <w:r>
      <w:rPr>
        <w:b/>
        <w:noProof/>
      </w:rPr>
      <w:t>12</w:t>
    </w:r>
    <w:r>
      <w:rPr>
        <w:b/>
      </w:rPr>
      <w:fldChar w:fldCharType="end"/>
    </w:r>
    <w:r>
      <w:rPr>
        <w:b/>
      </w:rPr>
      <w:tab/>
    </w:r>
    <w:r>
      <w:rPr>
        <w:b/>
      </w:rPr>
      <w:fldChar w:fldCharType="begin"/>
    </w:r>
    <w:r>
      <w:rPr>
        <w:b/>
      </w:rPr>
      <w:instrText xml:space="preserve"> DOCPROPERTY  "Effective Date"  \* MERGEFORMAT </w:instrText>
    </w:r>
    <w:r>
      <w:rPr>
        <w:b/>
      </w:rPr>
      <w:fldChar w:fldCharType="separate"/>
    </w:r>
    <w:r>
      <w:rPr>
        <w:b/>
      </w:rPr>
      <w:t>01 September 2021</w:t>
    </w:r>
    <w:r>
      <w:rPr>
        <w:b/>
      </w:rPr>
      <w:fldChar w:fldCharType="end"/>
    </w:r>
  </w:p>
  <w:p w:rsidR="00147B3F" w:rsidRDefault="002061BF">
    <w:pPr>
      <w:pStyle w:val="Footer"/>
      <w:tabs>
        <w:tab w:val="clear" w:pos="4320"/>
        <w:tab w:val="clear" w:pos="8640"/>
        <w:tab w:val="clear" w:pos="8784"/>
      </w:tabs>
      <w:jc w:val="center"/>
      <w:rPr>
        <w:b/>
      </w:rPr>
    </w:pPr>
    <w:r>
      <w:rPr>
        <w:b/>
      </w:rPr>
      <w:t>© E</w:t>
    </w:r>
    <w:r>
      <w:rPr>
        <w:b/>
      </w:rPr>
      <w:t>lexon</w:t>
    </w:r>
    <w:r>
      <w:rPr>
        <w:b/>
      </w:rPr>
      <w:t xml:space="preserve"> Limited 20</w:t>
    </w:r>
    <w:r>
      <w:rPr>
        <w:b/>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B3F" w:rsidRDefault="002061BF">
      <w:r>
        <w:separator/>
      </w:r>
    </w:p>
  </w:footnote>
  <w:footnote w:type="continuationSeparator" w:id="0">
    <w:p w:rsidR="00147B3F" w:rsidRDefault="0020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BF" w:rsidRDefault="002061BF">
    <w:pPr>
      <w:pStyle w:val="Header"/>
      <w:pBdr>
        <w:bottom w:val="single" w:sz="4" w:space="6" w:color="auto"/>
      </w:pBdr>
      <w:tabs>
        <w:tab w:val="clear" w:pos="4513"/>
        <w:tab w:val="clear" w:pos="9026"/>
        <w:tab w:val="center" w:pos="4536"/>
        <w:tab w:val="right" w:pos="9072"/>
      </w:tabs>
      <w:rPr>
        <w:b/>
        <w:sz w:val="20"/>
      </w:rPr>
    </w:pPr>
    <w:r>
      <w:rPr>
        <w:b/>
        <w:sz w:val="20"/>
      </w:rPr>
      <w:t>BSCP128</w:t>
    </w:r>
    <w:r>
      <w:rPr>
        <w:b/>
        <w:sz w:val="20"/>
      </w:rPr>
      <w:tab/>
      <w:t>Appendix 10</w:t>
    </w:r>
    <w:r>
      <w:rPr>
        <w:b/>
        <w:sz w:val="20"/>
      </w:rPr>
      <w:tab/>
    </w:r>
    <w:r>
      <w:rPr>
        <w:b/>
        <w:sz w:val="20"/>
      </w:rPr>
      <w:fldChar w:fldCharType="begin"/>
    </w:r>
    <w:r>
      <w:rPr>
        <w:b/>
        <w:sz w:val="20"/>
      </w:rPr>
      <w:instrText xml:space="preserve"> DOCPROPERTY  "Version Number"  \* MERGEFORMAT </w:instrText>
    </w:r>
    <w:r>
      <w:rPr>
        <w:b/>
        <w:sz w:val="20"/>
      </w:rPr>
      <w:fldChar w:fldCharType="separate"/>
    </w:r>
    <w:r>
      <w:rPr>
        <w:b/>
        <w:sz w:val="20"/>
      </w:rPr>
      <w:t>Version 4.0</w:t>
    </w:r>
    <w:r>
      <w:rPr>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BF" w:rsidRDefault="002061BF">
    <w:pPr>
      <w:pStyle w:val="Header"/>
      <w:pBdr>
        <w:bottom w:val="single" w:sz="4" w:space="6" w:color="auto"/>
      </w:pBdr>
      <w:tabs>
        <w:tab w:val="clear" w:pos="4513"/>
        <w:tab w:val="clear" w:pos="9026"/>
        <w:tab w:val="center" w:pos="7088"/>
        <w:tab w:val="right" w:pos="14033"/>
      </w:tabs>
      <w:rPr>
        <w:b/>
        <w:sz w:val="20"/>
      </w:rPr>
    </w:pPr>
    <w:r>
      <w:rPr>
        <w:b/>
        <w:sz w:val="20"/>
      </w:rPr>
      <w:t>BSCP128</w:t>
    </w:r>
    <w:r>
      <w:rPr>
        <w:b/>
        <w:sz w:val="20"/>
      </w:rPr>
      <w:tab/>
      <w:t>Appendix 10</w:t>
    </w:r>
    <w:r>
      <w:rPr>
        <w:b/>
        <w:sz w:val="20"/>
      </w:rPr>
      <w:tab/>
    </w:r>
    <w:r>
      <w:rPr>
        <w:b/>
        <w:sz w:val="20"/>
      </w:rPr>
      <w:fldChar w:fldCharType="begin"/>
    </w:r>
    <w:r>
      <w:rPr>
        <w:b/>
        <w:sz w:val="20"/>
      </w:rPr>
      <w:instrText xml:space="preserve"> DOCPROPERTY  "Version Number"  \* MERGEFORMAT </w:instrText>
    </w:r>
    <w:r>
      <w:rPr>
        <w:b/>
        <w:sz w:val="20"/>
      </w:rPr>
      <w:fldChar w:fldCharType="separate"/>
    </w:r>
    <w:r>
      <w:rPr>
        <w:b/>
        <w:sz w:val="20"/>
      </w:rPr>
      <w:t>Version 4.0</w:t>
    </w:r>
    <w:r>
      <w:rPr>
        <w:b/>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BF" w:rsidRDefault="002061BF">
    <w:pPr>
      <w:pStyle w:val="Header"/>
      <w:pBdr>
        <w:bottom w:val="single" w:sz="4" w:space="6" w:color="auto"/>
      </w:pBdr>
      <w:tabs>
        <w:tab w:val="clear" w:pos="9026"/>
        <w:tab w:val="right" w:pos="9072"/>
      </w:tabs>
      <w:rPr>
        <w:b/>
        <w:sz w:val="20"/>
      </w:rPr>
    </w:pPr>
    <w:r>
      <w:rPr>
        <w:b/>
        <w:sz w:val="20"/>
      </w:rPr>
      <w:t>BSCP128</w:t>
    </w:r>
    <w:r>
      <w:rPr>
        <w:b/>
        <w:sz w:val="20"/>
      </w:rPr>
      <w:tab/>
      <w:t>Appendix 10</w:t>
    </w:r>
    <w:r>
      <w:rPr>
        <w:b/>
        <w:sz w:val="20"/>
      </w:rPr>
      <w:tab/>
    </w:r>
    <w:r>
      <w:rPr>
        <w:b/>
        <w:sz w:val="20"/>
      </w:rPr>
      <w:fldChar w:fldCharType="begin"/>
    </w:r>
    <w:r>
      <w:rPr>
        <w:b/>
        <w:sz w:val="20"/>
      </w:rPr>
      <w:instrText xml:space="preserve"> DOCPROPERTY  "Version Number"  \* MERGEFORMAT </w:instrText>
    </w:r>
    <w:r>
      <w:rPr>
        <w:b/>
        <w:sz w:val="20"/>
      </w:rPr>
      <w:fldChar w:fldCharType="separate"/>
    </w:r>
    <w:r>
      <w:rPr>
        <w:b/>
        <w:sz w:val="20"/>
      </w:rPr>
      <w:t>Version 4.0</w:t>
    </w:r>
    <w:r>
      <w:rPr>
        <w:b/>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2061BF">
    <w:pPr>
      <w:pStyle w:val="Header"/>
      <w:pBdr>
        <w:bottom w:val="single" w:sz="4" w:space="6" w:color="auto"/>
      </w:pBdr>
      <w:tabs>
        <w:tab w:val="clear" w:pos="4513"/>
        <w:tab w:val="clear" w:pos="9026"/>
        <w:tab w:val="center" w:pos="7088"/>
        <w:tab w:val="right" w:pos="14033"/>
      </w:tabs>
      <w:rPr>
        <w:b/>
        <w:sz w:val="20"/>
      </w:rPr>
    </w:pPr>
    <w:r>
      <w:rPr>
        <w:b/>
        <w:sz w:val="20"/>
      </w:rPr>
      <w:t>BSCP128</w:t>
    </w:r>
    <w:r>
      <w:rPr>
        <w:b/>
        <w:sz w:val="20"/>
      </w:rPr>
      <w:tab/>
      <w:t>Appendix 10</w:t>
    </w:r>
    <w:r>
      <w:rPr>
        <w:b/>
        <w:sz w:val="20"/>
      </w:rPr>
      <w:tab/>
    </w:r>
    <w:r>
      <w:rPr>
        <w:b/>
        <w:sz w:val="20"/>
      </w:rPr>
      <w:fldChar w:fldCharType="begin"/>
    </w:r>
    <w:r>
      <w:rPr>
        <w:b/>
        <w:sz w:val="20"/>
      </w:rPr>
      <w:instrText xml:space="preserve"> DOCPROPERTY  "Version Number"  \* MERGEFORMAT </w:instrText>
    </w:r>
    <w:r>
      <w:rPr>
        <w:b/>
        <w:sz w:val="20"/>
      </w:rPr>
      <w:fldChar w:fldCharType="separate"/>
    </w:r>
    <w:r>
      <w:rPr>
        <w:b/>
        <w:sz w:val="20"/>
      </w:rPr>
      <w:t>Version 4.0</w:t>
    </w:r>
    <w:r>
      <w:rP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21642"/>
    <w:multiLevelType w:val="hybridMultilevel"/>
    <w:tmpl w:val="15B8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159D1"/>
    <w:multiLevelType w:val="hybridMultilevel"/>
    <w:tmpl w:val="DF3A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3F"/>
    <w:rsid w:val="00147B3F"/>
    <w:rsid w:val="00206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33E988"/>
  <w15:docId w15:val="{DC7C8C41-D4FF-4324-B3FB-0B384F81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 w:val="right" w:pos="8784"/>
      </w:tabs>
      <w:suppressAutoHyphens/>
      <w:jc w:val="both"/>
    </w:pPr>
    <w:rPr>
      <w:spacing w:val="-2"/>
      <w:sz w:val="20"/>
      <w:lang w:val="en-US"/>
    </w:rPr>
  </w:style>
  <w:style w:type="character" w:customStyle="1" w:styleId="FooterChar">
    <w:name w:val="Footer Char"/>
    <w:basedOn w:val="DefaultParagraphFont"/>
    <w:link w:val="Footer"/>
    <w:uiPriority w:val="99"/>
    <w:rPr>
      <w:rFonts w:ascii="Times New Roman" w:eastAsia="Times New Roman" w:hAnsi="Times New Roman" w:cs="Times New Roman"/>
      <w:spacing w:val="-2"/>
      <w:sz w:val="20"/>
      <w:szCs w:val="20"/>
      <w:lang w:val="en-US"/>
    </w:rPr>
  </w:style>
  <w:style w:type="character" w:styleId="PageNumber">
    <w:name w:val="page number"/>
    <w:basedOn w:val="DefaultParagraphFont"/>
    <w:uiPriority w:val="99"/>
    <w:rPr>
      <w:rFonts w:cs="Times New Roman"/>
    </w:rPr>
  </w:style>
  <w:style w:type="table" w:styleId="TableGrid">
    <w:name w:val="Table Grid"/>
    <w:aliases w:val="Elexon Table."/>
    <w:basedOn w:val="TableNormal"/>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line="240" w:lineRule="auto"/>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line="240" w:lineRule="auto"/>
    </w:pPr>
    <w:rPr>
      <w:rFonts w:ascii="Tahoma" w:eastAsia="Times New Roman" w:hAnsi="Tahoma" w:cs="Times New Roman"/>
      <w:b/>
      <w:sz w:val="24"/>
      <w:szCs w:val="24"/>
      <w:lang w:eastAsia="en-GB"/>
    </w:rPr>
  </w:style>
  <w:style w:type="character" w:customStyle="1" w:styleId="CoverHeadingChar">
    <w:name w:val="Cover Heading Char"/>
    <w:basedOn w:val="DefaultParagraphFont"/>
    <w:link w:val="CoverHeading"/>
    <w:locked/>
    <w:rPr>
      <w:rFonts w:ascii="Tahoma" w:eastAsia="Times New Roman" w:hAnsi="Tahoma" w:cs="Times New Roman"/>
      <w:b/>
      <w:sz w:val="24"/>
      <w:szCs w:val="24"/>
      <w:lang w:eastAsia="en-GB"/>
    </w:rPr>
  </w:style>
  <w:style w:type="table" w:customStyle="1" w:styleId="TableGrid2">
    <w:name w:val="Table Grid2"/>
    <w:basedOn w:val="TableNormal"/>
    <w:next w:val="TableGrid"/>
    <w:pPr>
      <w:tabs>
        <w:tab w:val="left" w:pos="567"/>
      </w:tabs>
      <w:spacing w:after="140" w:line="280" w:lineRule="exact"/>
    </w:pPr>
    <w:rPr>
      <w:rFonts w:ascii="Times New Roman" w:eastAsia="Times"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semiHidden/>
    <w:pPr>
      <w:tabs>
        <w:tab w:val="left" w:pos="567"/>
      </w:tabs>
      <w:spacing w:after="140" w:line="280" w:lineRule="exact"/>
    </w:pPr>
    <w:rPr>
      <w:rFonts w:ascii="Times New Roman" w:eastAsia="Times"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DCoverPageBox">
    <w:name w:val="CSD Cover Page + Box"/>
    <w:basedOn w:val="Normal"/>
    <w:pPr>
      <w:pBdr>
        <w:top w:val="single" w:sz="4" w:space="1" w:color="auto"/>
        <w:left w:val="single" w:sz="4" w:space="4" w:color="auto"/>
        <w:bottom w:val="single" w:sz="4" w:space="1" w:color="auto"/>
        <w:right w:val="single" w:sz="4" w:space="4" w:color="auto"/>
      </w:pBdr>
      <w:spacing w:after="360"/>
      <w:jc w:val="center"/>
    </w:pPr>
    <w:rPr>
      <w:rFonts w:ascii="Times New Roman Bold" w:hAnsi="Times New Roman Bold"/>
      <w:b/>
      <w:bCs/>
      <w:sz w:val="32"/>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customStyle="1" w:styleId="CSDLegalPage">
    <w:name w:val="CSD Legal Page"/>
    <w:basedOn w:val="Normal"/>
    <w:pPr>
      <w:spacing w:after="360"/>
      <w:jc w:val="center"/>
    </w:pPr>
    <w:rPr>
      <w:rFonts w:ascii="Times New Roman Bold" w:hAnsi="Times New Roman Bold"/>
      <w:b/>
      <w:bCs/>
      <w:sz w:val="28"/>
      <w:szCs w:val="32"/>
      <w:lang w:eastAsia="en-GB"/>
    </w:rPr>
  </w:style>
  <w:style w:type="paragraph" w:customStyle="1" w:styleId="LegalPagePara">
    <w:name w:val="Legal Page Para"/>
    <w:basedOn w:val="Normal"/>
    <w:pPr>
      <w:spacing w:after="240"/>
      <w:ind w:left="992" w:hanging="992"/>
      <w:jc w:val="both"/>
    </w:pPr>
    <w:rPr>
      <w:szCs w:val="24"/>
      <w:lang w:eastAsia="en-GB"/>
    </w:rPr>
  </w:style>
  <w:style w:type="paragraph" w:styleId="ListParagraph">
    <w:name w:val="List Paragraph"/>
    <w:basedOn w:val="Normal"/>
    <w:uiPriority w:val="34"/>
    <w:qFormat/>
    <w:rsid w:val="00206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BSCP128 Appendix 10 Forms</vt:lpstr>
    </vt:vector>
  </TitlesOfParts>
  <Company>ELEXON</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BSCP128 Appendix 10 Forms</dc:title>
  <dc:subject>Licensed Distribution System Operators (LDSOs) should complete this Appendix for Mid-Year Line Loss Factor (LLF) Submissions under BSCP128.</dc:subject>
  <dc:creator>ELEXON</dc:creator>
  <cp:keywords>BSCP128 Appendix 10 Forms</cp:keywords>
  <cp:lastModifiedBy>CP1566</cp:lastModifiedBy>
  <cp:revision>2</cp:revision>
  <cp:lastPrinted>2018-01-05T12:13:00Z</cp:lastPrinted>
  <dcterms:created xsi:type="dcterms:W3CDTF">2022-10-19T09:22:00Z</dcterms:created>
  <dcterms:modified xsi:type="dcterms:W3CDTF">2022-10-19T09:22:00Z</dcterms:modified>
  <cp:category>BSCP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4.0</vt:lpwstr>
  </property>
  <property fmtid="{D5CDD505-2E9C-101B-9397-08002B2CF9AE}" pid="3" name="Effective Date">
    <vt:lpwstr>01 September 2021</vt:lpwstr>
  </property>
</Properties>
</file>