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2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20"/>
      </w:tblGrid>
      <w:tr w:rsidR="00DD40F9" w:rsidTr="008564EE">
        <w:trPr>
          <w:trHeight w:val="1174"/>
        </w:trPr>
        <w:tc>
          <w:tcPr>
            <w:tcW w:w="8220" w:type="dxa"/>
          </w:tcPr>
          <w:p w:rsidR="00DD40F9" w:rsidRPr="00B541CF" w:rsidRDefault="005F4BD1" w:rsidP="008839BC">
            <w:pPr>
              <w:pStyle w:val="Heading2"/>
              <w:outlineLvl w:val="1"/>
              <w:rPr>
                <w:b/>
                <w:sz w:val="24"/>
                <w:szCs w:val="24"/>
              </w:rPr>
            </w:pPr>
            <w:r w:rsidRPr="006D5FDE">
              <w:rPr>
                <w:sz w:val="48"/>
              </w:rPr>
              <w:t>C</w:t>
            </w:r>
            <w:r w:rsidR="00E21367" w:rsidRPr="006D5FDE">
              <w:rPr>
                <w:sz w:val="48"/>
              </w:rPr>
              <w:t>P</w:t>
            </w:r>
            <w:r w:rsidR="008839BC">
              <w:rPr>
                <w:sz w:val="48"/>
              </w:rPr>
              <w:t>1544</w:t>
            </w:r>
            <w:r w:rsidR="00E21367" w:rsidRPr="006D5FDE">
              <w:rPr>
                <w:sz w:val="48"/>
              </w:rPr>
              <w:t xml:space="preserve"> ‘</w:t>
            </w:r>
            <w:r w:rsidR="008839BC" w:rsidRPr="002B0203">
              <w:rPr>
                <w:sz w:val="48"/>
                <w:szCs w:val="48"/>
              </w:rPr>
              <w:t xml:space="preserve">Category </w:t>
            </w:r>
            <w:proofErr w:type="gramStart"/>
            <w:r w:rsidR="008839BC" w:rsidRPr="002B0203">
              <w:rPr>
                <w:sz w:val="48"/>
                <w:szCs w:val="48"/>
              </w:rPr>
              <w:t>A</w:t>
            </w:r>
            <w:proofErr w:type="gramEnd"/>
            <w:r w:rsidR="008839BC" w:rsidRPr="002B0203">
              <w:rPr>
                <w:sz w:val="48"/>
                <w:szCs w:val="48"/>
              </w:rPr>
              <w:t xml:space="preserve"> BSC Signatory or Company Director sign-off required for any EFR plan</w:t>
            </w:r>
            <w:r w:rsidR="008839BC">
              <w:rPr>
                <w:sz w:val="48"/>
                <w:szCs w:val="48"/>
              </w:rPr>
              <w:t xml:space="preserve"> following escalation</w:t>
            </w:r>
            <w:r w:rsidR="00E21367" w:rsidRPr="006D5FDE">
              <w:rPr>
                <w:sz w:val="48"/>
              </w:rPr>
              <w:t>’</w:t>
            </w:r>
          </w:p>
        </w:tc>
      </w:tr>
    </w:tbl>
    <w:p w:rsidR="00F176E0" w:rsidRDefault="00F176E0" w:rsidP="00F176E0">
      <w:pPr>
        <w:pStyle w:val="BodyText"/>
      </w:pPr>
      <w:r>
        <w:t xml:space="preserve">This </w:t>
      </w:r>
      <w:r w:rsidR="005F4BD1">
        <w:t>CP</w:t>
      </w:r>
      <w:r>
        <w:t xml:space="preserve"> Consultation was issued on </w:t>
      </w:r>
      <w:r w:rsidR="00934241">
        <w:t>7</w:t>
      </w:r>
      <w:r w:rsidR="008839BC">
        <w:t xml:space="preserve"> June 2021</w:t>
      </w:r>
      <w:r w:rsidR="00412F0E">
        <w:t xml:space="preserve"> as part of </w:t>
      </w:r>
      <w:r w:rsidR="008839BC">
        <w:t>the June 2021 CPC batch</w:t>
      </w:r>
      <w:r>
        <w:t xml:space="preserve">, with responses invited by </w:t>
      </w:r>
      <w:r w:rsidR="008839BC">
        <w:t>2 July 2021</w:t>
      </w:r>
      <w:r>
        <w:t>.</w:t>
      </w:r>
    </w:p>
    <w:p w:rsidR="0012288A" w:rsidRDefault="00153E31" w:rsidP="00153E31">
      <w:pPr>
        <w:pStyle w:val="Heading8"/>
        <w:pageBreakBefore w:val="0"/>
      </w:pPr>
      <w:r>
        <w:t>Consultation Respondents</w:t>
      </w:r>
    </w:p>
    <w:tbl>
      <w:tblPr>
        <w:tblStyle w:val="TableGrid"/>
        <w:tblW w:w="8025" w:type="dxa"/>
        <w:tblInd w:w="15" w:type="dxa"/>
        <w:tblBorders>
          <w:top w:val="single" w:sz="8" w:space="0" w:color="008DA8"/>
          <w:left w:val="single" w:sz="8" w:space="0" w:color="008DA8"/>
          <w:bottom w:val="single" w:sz="8" w:space="0" w:color="008DA8"/>
          <w:right w:val="single" w:sz="8"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2340"/>
        <w:gridCol w:w="2160"/>
        <w:gridCol w:w="3525"/>
      </w:tblGrid>
      <w:tr w:rsidR="00330FF2" w:rsidRPr="004B6745" w:rsidTr="004A2DEF">
        <w:trPr>
          <w:cantSplit/>
          <w:trHeight w:hRule="exact" w:val="539"/>
          <w:tblHeader/>
        </w:trPr>
        <w:tc>
          <w:tcPr>
            <w:tcW w:w="2340" w:type="dxa"/>
            <w:tcBorders>
              <w:top w:val="single" w:sz="12" w:space="0" w:color="008DA8"/>
              <w:left w:val="single" w:sz="12" w:space="0" w:color="008DA8"/>
              <w:right w:val="nil"/>
            </w:tcBorders>
            <w:shd w:val="clear" w:color="auto" w:fill="008DA8"/>
            <w:vAlign w:val="center"/>
          </w:tcPr>
          <w:p w:rsidR="00330FF2" w:rsidRPr="004B6745" w:rsidRDefault="00330FF2" w:rsidP="00153E31">
            <w:pPr>
              <w:pStyle w:val="Tablesubheading"/>
            </w:pPr>
            <w:r>
              <w:t>Respondent</w:t>
            </w:r>
          </w:p>
        </w:tc>
        <w:tc>
          <w:tcPr>
            <w:tcW w:w="2160" w:type="dxa"/>
            <w:tcBorders>
              <w:top w:val="single" w:sz="12" w:space="0" w:color="008DA8"/>
              <w:left w:val="nil"/>
              <w:right w:val="nil"/>
            </w:tcBorders>
            <w:shd w:val="clear" w:color="auto" w:fill="008DA8"/>
            <w:vAlign w:val="center"/>
          </w:tcPr>
          <w:p w:rsidR="00330FF2" w:rsidRPr="004B6745" w:rsidRDefault="0074611D" w:rsidP="00153E31">
            <w:pPr>
              <w:pStyle w:val="Tablesubheading"/>
            </w:pPr>
            <w:r>
              <w:t xml:space="preserve">No. of </w:t>
            </w:r>
            <w:r w:rsidR="00153E31">
              <w:t>Parties/Non-Parties Represented</w:t>
            </w:r>
          </w:p>
        </w:tc>
        <w:tc>
          <w:tcPr>
            <w:tcW w:w="3525" w:type="dxa"/>
            <w:tcBorders>
              <w:top w:val="single" w:sz="12" w:space="0" w:color="008DA8"/>
              <w:left w:val="nil"/>
              <w:right w:val="single" w:sz="12" w:space="0" w:color="008DA8"/>
            </w:tcBorders>
            <w:shd w:val="clear" w:color="auto" w:fill="008DA8"/>
            <w:vAlign w:val="center"/>
          </w:tcPr>
          <w:p w:rsidR="00330FF2" w:rsidRPr="004B6745" w:rsidRDefault="00153E31" w:rsidP="00153E31">
            <w:pPr>
              <w:pStyle w:val="Tablesubheading"/>
            </w:pPr>
            <w:r>
              <w:t>Role</w:t>
            </w:r>
            <w:r w:rsidR="0074611D">
              <w:t>(</w:t>
            </w:r>
            <w:r>
              <w:t>s</w:t>
            </w:r>
            <w:r w:rsidR="0074611D">
              <w:t>)</w:t>
            </w:r>
            <w:r>
              <w:t xml:space="preserve"> Represented</w:t>
            </w:r>
          </w:p>
        </w:tc>
      </w:tr>
      <w:tr w:rsidR="00330FF2" w:rsidRPr="004850FA" w:rsidTr="004A2DEF">
        <w:trPr>
          <w:cantSplit/>
          <w:trHeight w:val="160"/>
        </w:trPr>
        <w:tc>
          <w:tcPr>
            <w:tcW w:w="2340" w:type="dxa"/>
            <w:tcBorders>
              <w:left w:val="single" w:sz="12" w:space="0" w:color="008DA8"/>
            </w:tcBorders>
          </w:tcPr>
          <w:p w:rsidR="00330FF2" w:rsidRPr="00330FF2" w:rsidRDefault="008839BC" w:rsidP="00330FF2">
            <w:pPr>
              <w:pStyle w:val="Tabletext"/>
            </w:pPr>
            <w:proofErr w:type="spellStart"/>
            <w:r>
              <w:t>ScottishPower</w:t>
            </w:r>
            <w:proofErr w:type="spellEnd"/>
          </w:p>
        </w:tc>
        <w:tc>
          <w:tcPr>
            <w:tcW w:w="2160" w:type="dxa"/>
          </w:tcPr>
          <w:p w:rsidR="00330FF2" w:rsidRPr="00330FF2" w:rsidRDefault="008839BC" w:rsidP="001E7E11">
            <w:pPr>
              <w:pStyle w:val="Tabletext"/>
              <w:jc w:val="center"/>
            </w:pPr>
            <w:r>
              <w:t>1</w:t>
            </w:r>
          </w:p>
        </w:tc>
        <w:tc>
          <w:tcPr>
            <w:tcW w:w="3525" w:type="dxa"/>
            <w:tcBorders>
              <w:right w:val="single" w:sz="12" w:space="0" w:color="008DA8"/>
            </w:tcBorders>
          </w:tcPr>
          <w:p w:rsidR="00330FF2" w:rsidRPr="00330FF2" w:rsidRDefault="008839BC" w:rsidP="00330FF2">
            <w:pPr>
              <w:pStyle w:val="Tabletext"/>
            </w:pPr>
            <w:r>
              <w:t>Supplier</w:t>
            </w:r>
          </w:p>
        </w:tc>
      </w:tr>
      <w:tr w:rsidR="00330FF2" w:rsidRPr="004B6745" w:rsidTr="004A2DEF">
        <w:trPr>
          <w:cantSplit/>
          <w:trHeight w:val="353"/>
        </w:trPr>
        <w:tc>
          <w:tcPr>
            <w:tcW w:w="2340" w:type="dxa"/>
            <w:tcBorders>
              <w:left w:val="single" w:sz="12" w:space="0" w:color="008DA8"/>
            </w:tcBorders>
          </w:tcPr>
          <w:p w:rsidR="008839BC" w:rsidRPr="00330FF2" w:rsidRDefault="008839BC" w:rsidP="008839BC">
            <w:pPr>
              <w:pStyle w:val="Tabletext"/>
            </w:pPr>
            <w:r>
              <w:t>OVO Energy</w:t>
            </w:r>
          </w:p>
        </w:tc>
        <w:tc>
          <w:tcPr>
            <w:tcW w:w="2160" w:type="dxa"/>
          </w:tcPr>
          <w:p w:rsidR="00330FF2" w:rsidRPr="00330FF2" w:rsidRDefault="0006572D" w:rsidP="001E7E11">
            <w:pPr>
              <w:pStyle w:val="Tabletext"/>
              <w:jc w:val="center"/>
            </w:pPr>
            <w:r>
              <w:t>2</w:t>
            </w:r>
          </w:p>
        </w:tc>
        <w:tc>
          <w:tcPr>
            <w:tcW w:w="3525" w:type="dxa"/>
            <w:tcBorders>
              <w:right w:val="single" w:sz="12" w:space="0" w:color="008DA8"/>
            </w:tcBorders>
          </w:tcPr>
          <w:p w:rsidR="00330FF2" w:rsidRPr="00330FF2" w:rsidRDefault="0006572D" w:rsidP="00330FF2">
            <w:pPr>
              <w:pStyle w:val="Tabletext"/>
            </w:pPr>
            <w:r>
              <w:t>Supplier, Supplier Agent (NHHMOA/NHHDC/NHHDA)</w:t>
            </w:r>
          </w:p>
        </w:tc>
      </w:tr>
      <w:tr w:rsidR="00330FF2" w:rsidRPr="004B6745" w:rsidTr="004A2DEF">
        <w:trPr>
          <w:cantSplit/>
          <w:trHeight w:val="352"/>
        </w:trPr>
        <w:tc>
          <w:tcPr>
            <w:tcW w:w="2340" w:type="dxa"/>
            <w:tcBorders>
              <w:left w:val="single" w:sz="12" w:space="0" w:color="008DA8"/>
            </w:tcBorders>
          </w:tcPr>
          <w:p w:rsidR="00330FF2" w:rsidRPr="00330FF2" w:rsidRDefault="008839BC" w:rsidP="00863C21">
            <w:pPr>
              <w:pStyle w:val="Tabletext"/>
            </w:pPr>
            <w:r>
              <w:t>E</w:t>
            </w:r>
            <w:r w:rsidR="00863C21">
              <w:t>.</w:t>
            </w:r>
            <w:r>
              <w:t>ON</w:t>
            </w:r>
            <w:r w:rsidR="00863C21">
              <w:t>/Npower</w:t>
            </w:r>
          </w:p>
        </w:tc>
        <w:tc>
          <w:tcPr>
            <w:tcW w:w="2160" w:type="dxa"/>
          </w:tcPr>
          <w:p w:rsidR="00330FF2" w:rsidRPr="00330FF2" w:rsidRDefault="00863C21" w:rsidP="001E7E11">
            <w:pPr>
              <w:pStyle w:val="Tabletext"/>
              <w:jc w:val="center"/>
            </w:pPr>
            <w:r>
              <w:t>2</w:t>
            </w:r>
          </w:p>
        </w:tc>
        <w:tc>
          <w:tcPr>
            <w:tcW w:w="3525" w:type="dxa"/>
            <w:tcBorders>
              <w:right w:val="single" w:sz="12" w:space="0" w:color="008DA8"/>
            </w:tcBorders>
          </w:tcPr>
          <w:p w:rsidR="00330FF2" w:rsidRPr="00330FF2" w:rsidRDefault="00863C21" w:rsidP="00330FF2">
            <w:pPr>
              <w:pStyle w:val="Tabletext"/>
            </w:pPr>
            <w:r>
              <w:t>Supplier, Supplier Agent</w:t>
            </w:r>
          </w:p>
        </w:tc>
      </w:tr>
    </w:tbl>
    <w:p w:rsidR="00E00576" w:rsidRPr="00330FF2" w:rsidRDefault="005F4BD1" w:rsidP="00E00576">
      <w:pPr>
        <w:pStyle w:val="Heading8"/>
      </w:pPr>
      <w:r>
        <w:lastRenderedPageBreak/>
        <w:t>Summary of Consultation Responses</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1800"/>
        <w:gridCol w:w="1556"/>
        <w:gridCol w:w="1556"/>
        <w:gridCol w:w="1556"/>
        <w:gridCol w:w="1557"/>
      </w:tblGrid>
      <w:tr w:rsidR="005F4BD1" w:rsidRPr="00153E31" w:rsidTr="00ED5D6E">
        <w:trPr>
          <w:cantSplit/>
          <w:trHeight w:hRule="exact" w:val="397"/>
          <w:tblHeader/>
        </w:trPr>
        <w:tc>
          <w:tcPr>
            <w:tcW w:w="1800" w:type="dxa"/>
            <w:tcBorders>
              <w:top w:val="single" w:sz="12" w:space="0" w:color="008DA8"/>
              <w:bottom w:val="single" w:sz="8" w:space="0" w:color="008DA8"/>
              <w:right w:val="nil"/>
            </w:tcBorders>
            <w:shd w:val="clear" w:color="auto" w:fill="008DA8"/>
            <w:vAlign w:val="center"/>
          </w:tcPr>
          <w:p w:rsidR="005F4BD1" w:rsidRPr="00153E31" w:rsidRDefault="005F4BD1" w:rsidP="00530500">
            <w:pPr>
              <w:pStyle w:val="Tablesubheading"/>
            </w:pPr>
            <w:r w:rsidRPr="00153E31">
              <w:t>Respondent</w:t>
            </w:r>
          </w:p>
        </w:tc>
        <w:tc>
          <w:tcPr>
            <w:tcW w:w="1556" w:type="dxa"/>
            <w:tcBorders>
              <w:top w:val="single" w:sz="12" w:space="0" w:color="008DA8"/>
              <w:left w:val="nil"/>
              <w:bottom w:val="single" w:sz="8" w:space="0" w:color="008DA8"/>
              <w:right w:val="nil"/>
            </w:tcBorders>
            <w:shd w:val="clear" w:color="auto" w:fill="008DA8"/>
            <w:vAlign w:val="center"/>
          </w:tcPr>
          <w:p w:rsidR="005F4BD1" w:rsidRPr="00153E31" w:rsidRDefault="005F4BD1" w:rsidP="00530500">
            <w:pPr>
              <w:pStyle w:val="Tablesubheading"/>
            </w:pPr>
            <w:r>
              <w:t>Agree?</w:t>
            </w:r>
          </w:p>
        </w:tc>
        <w:tc>
          <w:tcPr>
            <w:tcW w:w="1556" w:type="dxa"/>
            <w:tcBorders>
              <w:top w:val="single" w:sz="12" w:space="0" w:color="008DA8"/>
              <w:left w:val="nil"/>
              <w:bottom w:val="single" w:sz="8" w:space="0" w:color="008DA8"/>
              <w:right w:val="nil"/>
            </w:tcBorders>
            <w:shd w:val="clear" w:color="auto" w:fill="008DA8"/>
            <w:vAlign w:val="center"/>
          </w:tcPr>
          <w:p w:rsidR="005F4BD1" w:rsidRPr="00153E31" w:rsidRDefault="005F4BD1" w:rsidP="00530500">
            <w:pPr>
              <w:pStyle w:val="Tablesubheading"/>
            </w:pPr>
            <w:r>
              <w:t>Impacted?</w:t>
            </w:r>
          </w:p>
        </w:tc>
        <w:tc>
          <w:tcPr>
            <w:tcW w:w="1556" w:type="dxa"/>
            <w:tcBorders>
              <w:top w:val="single" w:sz="12" w:space="0" w:color="008DA8"/>
              <w:left w:val="nil"/>
              <w:bottom w:val="single" w:sz="8" w:space="0" w:color="008DA8"/>
              <w:right w:val="nil"/>
            </w:tcBorders>
            <w:shd w:val="clear" w:color="auto" w:fill="008DA8"/>
            <w:vAlign w:val="center"/>
          </w:tcPr>
          <w:p w:rsidR="005F4BD1" w:rsidRPr="00153E31" w:rsidRDefault="005F4BD1" w:rsidP="00530500">
            <w:pPr>
              <w:pStyle w:val="Tablesubheading"/>
            </w:pPr>
            <w:r>
              <w:t>Costs?</w:t>
            </w:r>
          </w:p>
        </w:tc>
        <w:tc>
          <w:tcPr>
            <w:tcW w:w="1557" w:type="dxa"/>
            <w:tcBorders>
              <w:top w:val="single" w:sz="12" w:space="0" w:color="008DA8"/>
              <w:left w:val="nil"/>
              <w:bottom w:val="single" w:sz="8" w:space="0" w:color="008DA8"/>
            </w:tcBorders>
            <w:shd w:val="clear" w:color="auto" w:fill="008DA8"/>
            <w:vAlign w:val="center"/>
          </w:tcPr>
          <w:p w:rsidR="005F4BD1" w:rsidRPr="00153E31" w:rsidRDefault="005F4BD1" w:rsidP="00530500">
            <w:pPr>
              <w:pStyle w:val="Tablesubheading"/>
            </w:pPr>
            <w:proofErr w:type="spellStart"/>
            <w:r>
              <w:t>Impl</w:t>
            </w:r>
            <w:proofErr w:type="spellEnd"/>
            <w:r>
              <w:t>. Date?</w:t>
            </w:r>
          </w:p>
        </w:tc>
      </w:tr>
      <w:tr w:rsidR="008839BC" w:rsidRPr="004850FA" w:rsidTr="00ED5D6E">
        <w:trPr>
          <w:cantSplit/>
          <w:trHeight w:val="160"/>
        </w:trPr>
        <w:tc>
          <w:tcPr>
            <w:tcW w:w="1800" w:type="dxa"/>
            <w:tcBorders>
              <w:top w:val="single" w:sz="8" w:space="0" w:color="008DA8"/>
            </w:tcBorders>
          </w:tcPr>
          <w:p w:rsidR="008839BC" w:rsidRPr="00330FF2" w:rsidRDefault="008839BC" w:rsidP="008839BC">
            <w:pPr>
              <w:pStyle w:val="Tabletext"/>
            </w:pPr>
            <w:proofErr w:type="spellStart"/>
            <w:r>
              <w:t>ScottishPower</w:t>
            </w:r>
            <w:proofErr w:type="spellEnd"/>
          </w:p>
        </w:tc>
        <w:tc>
          <w:tcPr>
            <w:tcW w:w="1556" w:type="dxa"/>
            <w:tcBorders>
              <w:top w:val="single" w:sz="8" w:space="0" w:color="008DA8"/>
            </w:tcBorders>
            <w:vAlign w:val="center"/>
          </w:tcPr>
          <w:p w:rsidR="008839BC" w:rsidRPr="00776DB8" w:rsidRDefault="008839BC" w:rsidP="008839BC">
            <w:pPr>
              <w:pStyle w:val="Tabletext"/>
              <w:jc w:val="center"/>
              <w:rPr>
                <w:b/>
                <w:sz w:val="24"/>
              </w:rPr>
            </w:pPr>
            <w:r w:rsidRPr="00776DB8">
              <w:rPr>
                <w:b/>
                <w:sz w:val="24"/>
              </w:rPr>
              <w:sym w:font="Wingdings" w:char="F0FB"/>
            </w:r>
          </w:p>
        </w:tc>
        <w:tc>
          <w:tcPr>
            <w:tcW w:w="1556" w:type="dxa"/>
            <w:tcBorders>
              <w:top w:val="single" w:sz="8" w:space="0" w:color="008DA8"/>
            </w:tcBorders>
            <w:vAlign w:val="center"/>
          </w:tcPr>
          <w:p w:rsidR="008839BC" w:rsidRPr="00776DB8" w:rsidRDefault="008839BC" w:rsidP="008839BC">
            <w:pPr>
              <w:pStyle w:val="Tabletext"/>
              <w:jc w:val="center"/>
              <w:rPr>
                <w:b/>
                <w:sz w:val="24"/>
              </w:rPr>
            </w:pPr>
            <w:r w:rsidRPr="00776DB8">
              <w:rPr>
                <w:b/>
                <w:sz w:val="24"/>
              </w:rPr>
              <w:sym w:font="Wingdings" w:char="F0FC"/>
            </w:r>
          </w:p>
        </w:tc>
        <w:tc>
          <w:tcPr>
            <w:tcW w:w="1556" w:type="dxa"/>
            <w:tcBorders>
              <w:top w:val="single" w:sz="8" w:space="0" w:color="008DA8"/>
            </w:tcBorders>
            <w:vAlign w:val="center"/>
          </w:tcPr>
          <w:p w:rsidR="008839BC" w:rsidRPr="00776DB8" w:rsidRDefault="008839BC" w:rsidP="008839BC">
            <w:pPr>
              <w:pStyle w:val="Tabletext"/>
              <w:jc w:val="center"/>
              <w:rPr>
                <w:b/>
                <w:sz w:val="24"/>
              </w:rPr>
            </w:pPr>
            <w:r w:rsidRPr="00776DB8">
              <w:rPr>
                <w:b/>
                <w:sz w:val="24"/>
              </w:rPr>
              <w:sym w:font="Wingdings" w:char="F0FB"/>
            </w:r>
          </w:p>
        </w:tc>
        <w:tc>
          <w:tcPr>
            <w:tcW w:w="1557" w:type="dxa"/>
            <w:tcBorders>
              <w:top w:val="single" w:sz="8" w:space="0" w:color="008DA8"/>
            </w:tcBorders>
            <w:vAlign w:val="center"/>
          </w:tcPr>
          <w:p w:rsidR="008839BC" w:rsidRPr="00776DB8" w:rsidRDefault="008839BC" w:rsidP="008839BC">
            <w:pPr>
              <w:pStyle w:val="Tabletext"/>
              <w:jc w:val="center"/>
              <w:rPr>
                <w:b/>
                <w:sz w:val="24"/>
              </w:rPr>
            </w:pPr>
            <w:r w:rsidRPr="00776DB8">
              <w:rPr>
                <w:b/>
                <w:sz w:val="24"/>
              </w:rPr>
              <w:sym w:font="Wingdings" w:char="F0FC"/>
            </w:r>
          </w:p>
        </w:tc>
      </w:tr>
      <w:tr w:rsidR="008839BC" w:rsidRPr="004B6745" w:rsidTr="00ED5D6E">
        <w:trPr>
          <w:cantSplit/>
          <w:trHeight w:val="353"/>
        </w:trPr>
        <w:tc>
          <w:tcPr>
            <w:tcW w:w="1800" w:type="dxa"/>
          </w:tcPr>
          <w:p w:rsidR="008839BC" w:rsidRPr="00330FF2" w:rsidRDefault="008839BC" w:rsidP="008839BC">
            <w:pPr>
              <w:pStyle w:val="Tabletext"/>
            </w:pPr>
            <w:r>
              <w:t>OVO Energy</w:t>
            </w:r>
          </w:p>
        </w:tc>
        <w:tc>
          <w:tcPr>
            <w:tcW w:w="1556" w:type="dxa"/>
            <w:vAlign w:val="center"/>
          </w:tcPr>
          <w:p w:rsidR="008839BC" w:rsidRPr="00776DB8" w:rsidRDefault="0006572D" w:rsidP="008839BC">
            <w:pPr>
              <w:pStyle w:val="Tabletext"/>
              <w:jc w:val="center"/>
              <w:rPr>
                <w:b/>
                <w:sz w:val="24"/>
              </w:rPr>
            </w:pPr>
            <w:r w:rsidRPr="00776DB8">
              <w:rPr>
                <w:b/>
                <w:sz w:val="24"/>
              </w:rPr>
              <w:sym w:font="Wingdings" w:char="F0FB"/>
            </w:r>
          </w:p>
        </w:tc>
        <w:tc>
          <w:tcPr>
            <w:tcW w:w="1556" w:type="dxa"/>
            <w:vAlign w:val="center"/>
          </w:tcPr>
          <w:p w:rsidR="008839BC" w:rsidRPr="00776DB8" w:rsidRDefault="0006572D" w:rsidP="008839BC">
            <w:pPr>
              <w:pStyle w:val="Tabletext"/>
              <w:jc w:val="center"/>
              <w:rPr>
                <w:b/>
                <w:sz w:val="24"/>
              </w:rPr>
            </w:pPr>
            <w:r w:rsidRPr="00776DB8">
              <w:rPr>
                <w:b/>
                <w:sz w:val="24"/>
              </w:rPr>
              <w:sym w:font="Wingdings" w:char="F0FC"/>
            </w:r>
          </w:p>
        </w:tc>
        <w:tc>
          <w:tcPr>
            <w:tcW w:w="1556" w:type="dxa"/>
            <w:vAlign w:val="center"/>
          </w:tcPr>
          <w:p w:rsidR="008839BC" w:rsidRPr="00776DB8" w:rsidRDefault="0006572D" w:rsidP="008839BC">
            <w:pPr>
              <w:pStyle w:val="Tabletext"/>
              <w:jc w:val="center"/>
              <w:rPr>
                <w:b/>
                <w:sz w:val="24"/>
              </w:rPr>
            </w:pPr>
            <w:r w:rsidRPr="00776DB8">
              <w:rPr>
                <w:b/>
                <w:sz w:val="24"/>
              </w:rPr>
              <w:sym w:font="Wingdings" w:char="F0FB"/>
            </w:r>
          </w:p>
        </w:tc>
        <w:tc>
          <w:tcPr>
            <w:tcW w:w="1557" w:type="dxa"/>
            <w:vAlign w:val="center"/>
          </w:tcPr>
          <w:p w:rsidR="008839BC" w:rsidRPr="00776DB8" w:rsidRDefault="0006572D" w:rsidP="008839BC">
            <w:pPr>
              <w:pStyle w:val="Tabletext"/>
              <w:jc w:val="center"/>
              <w:rPr>
                <w:b/>
                <w:sz w:val="24"/>
              </w:rPr>
            </w:pPr>
            <w:r w:rsidRPr="00776DB8">
              <w:rPr>
                <w:b/>
                <w:sz w:val="24"/>
              </w:rPr>
              <w:sym w:font="Wingdings" w:char="F0FB"/>
            </w:r>
          </w:p>
        </w:tc>
      </w:tr>
      <w:tr w:rsidR="008839BC" w:rsidRPr="004B6745" w:rsidTr="00ED5D6E">
        <w:trPr>
          <w:cantSplit/>
          <w:trHeight w:val="352"/>
        </w:trPr>
        <w:tc>
          <w:tcPr>
            <w:tcW w:w="1800" w:type="dxa"/>
          </w:tcPr>
          <w:p w:rsidR="008839BC" w:rsidRPr="00330FF2" w:rsidRDefault="005C3150" w:rsidP="008839BC">
            <w:pPr>
              <w:pStyle w:val="Tabletext"/>
            </w:pPr>
            <w:r>
              <w:t>E.ON/Npower</w:t>
            </w:r>
          </w:p>
        </w:tc>
        <w:tc>
          <w:tcPr>
            <w:tcW w:w="1556" w:type="dxa"/>
            <w:vAlign w:val="center"/>
          </w:tcPr>
          <w:p w:rsidR="008839BC" w:rsidRPr="00776DB8" w:rsidRDefault="005C3150" w:rsidP="008839BC">
            <w:pPr>
              <w:pStyle w:val="Tabletext"/>
              <w:jc w:val="center"/>
              <w:rPr>
                <w:b/>
                <w:sz w:val="24"/>
              </w:rPr>
            </w:pPr>
            <w:r w:rsidRPr="00776DB8">
              <w:rPr>
                <w:b/>
                <w:sz w:val="24"/>
              </w:rPr>
              <w:sym w:font="Wingdings" w:char="F0FB"/>
            </w:r>
          </w:p>
        </w:tc>
        <w:tc>
          <w:tcPr>
            <w:tcW w:w="1556" w:type="dxa"/>
            <w:vAlign w:val="center"/>
          </w:tcPr>
          <w:p w:rsidR="008839BC" w:rsidRPr="00776DB8" w:rsidRDefault="005C3150" w:rsidP="008839BC">
            <w:pPr>
              <w:pStyle w:val="Tabletext"/>
              <w:jc w:val="center"/>
              <w:rPr>
                <w:b/>
                <w:sz w:val="24"/>
              </w:rPr>
            </w:pPr>
            <w:r w:rsidRPr="00776DB8">
              <w:rPr>
                <w:b/>
                <w:sz w:val="24"/>
              </w:rPr>
              <w:sym w:font="Wingdings" w:char="F0FC"/>
            </w:r>
          </w:p>
        </w:tc>
        <w:tc>
          <w:tcPr>
            <w:tcW w:w="1556" w:type="dxa"/>
            <w:vAlign w:val="center"/>
          </w:tcPr>
          <w:p w:rsidR="008839BC" w:rsidRPr="00776DB8" w:rsidRDefault="005C3150" w:rsidP="008839BC">
            <w:pPr>
              <w:pStyle w:val="Tabletext"/>
              <w:jc w:val="center"/>
              <w:rPr>
                <w:b/>
                <w:sz w:val="24"/>
              </w:rPr>
            </w:pPr>
            <w:r w:rsidRPr="00776DB8">
              <w:rPr>
                <w:b/>
                <w:sz w:val="24"/>
              </w:rPr>
              <w:sym w:font="Wingdings" w:char="F0FB"/>
            </w:r>
          </w:p>
        </w:tc>
        <w:tc>
          <w:tcPr>
            <w:tcW w:w="1557" w:type="dxa"/>
            <w:vAlign w:val="center"/>
          </w:tcPr>
          <w:p w:rsidR="008839BC" w:rsidRPr="00776DB8" w:rsidRDefault="005C3150" w:rsidP="008839BC">
            <w:pPr>
              <w:pStyle w:val="Tabletext"/>
              <w:jc w:val="center"/>
              <w:rPr>
                <w:b/>
                <w:sz w:val="24"/>
              </w:rPr>
            </w:pPr>
            <w:r w:rsidRPr="00776DB8">
              <w:rPr>
                <w:b/>
                <w:sz w:val="24"/>
              </w:rPr>
              <w:sym w:font="Wingdings" w:char="F0FB"/>
            </w:r>
          </w:p>
        </w:tc>
      </w:tr>
    </w:tbl>
    <w:p w:rsidR="00387B59" w:rsidRPr="00330FF2" w:rsidRDefault="00387B59" w:rsidP="00387B59">
      <w:pPr>
        <w:pStyle w:val="Heading8"/>
      </w:pPr>
      <w:r w:rsidRPr="00330FF2">
        <w:lastRenderedPageBreak/>
        <w:t xml:space="preserve">Question </w:t>
      </w:r>
      <w:r>
        <w:t>1</w:t>
      </w:r>
      <w:r w:rsidRPr="00330FF2">
        <w:t xml:space="preserve">: </w:t>
      </w:r>
      <w:r>
        <w:t>Do you agree with the CP</w:t>
      </w:r>
      <w:r w:rsidR="008839BC">
        <w:t>1544</w:t>
      </w:r>
      <w:r>
        <w:t xml:space="preserve"> proposed solution?</w:t>
      </w:r>
    </w:p>
    <w:p w:rsidR="00387B59" w:rsidRDefault="00387B59" w:rsidP="00387B59">
      <w:pPr>
        <w:pStyle w:val="Heading4"/>
      </w:pPr>
      <w:r w:rsidRPr="000D41E2">
        <w:t xml:space="preserve">Summary </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2006"/>
        <w:gridCol w:w="2006"/>
        <w:gridCol w:w="2006"/>
        <w:gridCol w:w="2007"/>
      </w:tblGrid>
      <w:tr w:rsidR="00387B59" w:rsidRPr="004B6745" w:rsidTr="004A27E0">
        <w:trPr>
          <w:cantSplit/>
          <w:trHeight w:hRule="exact" w:val="494"/>
          <w:tblHeader/>
        </w:trPr>
        <w:tc>
          <w:tcPr>
            <w:tcW w:w="2006" w:type="dxa"/>
            <w:tcBorders>
              <w:top w:val="single" w:sz="12" w:space="0" w:color="008DA8"/>
              <w:bottom w:val="single" w:sz="8" w:space="0" w:color="008DA8"/>
              <w:right w:val="nil"/>
            </w:tcBorders>
            <w:shd w:val="clear" w:color="auto" w:fill="008DA8"/>
            <w:vAlign w:val="center"/>
          </w:tcPr>
          <w:p w:rsidR="00387B59" w:rsidRPr="004B6745" w:rsidRDefault="00387B59" w:rsidP="004A27E0">
            <w:pPr>
              <w:pStyle w:val="Tablesubheading"/>
              <w:jc w:val="center"/>
            </w:pPr>
            <w:r>
              <w:t>Yes</w:t>
            </w:r>
          </w:p>
        </w:tc>
        <w:tc>
          <w:tcPr>
            <w:tcW w:w="2006" w:type="dxa"/>
            <w:tcBorders>
              <w:top w:val="single" w:sz="12" w:space="0" w:color="008DA8"/>
              <w:left w:val="nil"/>
              <w:bottom w:val="single" w:sz="8" w:space="0" w:color="008DA8"/>
              <w:right w:val="nil"/>
            </w:tcBorders>
            <w:shd w:val="clear" w:color="auto" w:fill="008DA8"/>
            <w:vAlign w:val="center"/>
          </w:tcPr>
          <w:p w:rsidR="00387B59" w:rsidRPr="004B6745" w:rsidRDefault="00387B59" w:rsidP="004A27E0">
            <w:pPr>
              <w:pStyle w:val="Tablesubheading"/>
              <w:jc w:val="center"/>
            </w:pPr>
            <w:r>
              <w:t>No</w:t>
            </w:r>
          </w:p>
        </w:tc>
        <w:tc>
          <w:tcPr>
            <w:tcW w:w="2006" w:type="dxa"/>
            <w:tcBorders>
              <w:top w:val="single" w:sz="12" w:space="0" w:color="008DA8"/>
              <w:left w:val="nil"/>
              <w:bottom w:val="single" w:sz="8" w:space="0" w:color="008DA8"/>
              <w:right w:val="nil"/>
            </w:tcBorders>
            <w:shd w:val="clear" w:color="auto" w:fill="008DA8"/>
            <w:vAlign w:val="center"/>
          </w:tcPr>
          <w:p w:rsidR="00387B59" w:rsidRPr="004B6745" w:rsidRDefault="00387B59" w:rsidP="004A27E0">
            <w:pPr>
              <w:pStyle w:val="Tablesubheading"/>
              <w:jc w:val="center"/>
            </w:pPr>
            <w:r>
              <w:t>Neutral/No Comment</w:t>
            </w:r>
          </w:p>
        </w:tc>
        <w:tc>
          <w:tcPr>
            <w:tcW w:w="2007" w:type="dxa"/>
            <w:tcBorders>
              <w:top w:val="single" w:sz="12" w:space="0" w:color="008DA8"/>
              <w:left w:val="nil"/>
              <w:bottom w:val="single" w:sz="8" w:space="0" w:color="008DA8"/>
            </w:tcBorders>
            <w:shd w:val="clear" w:color="auto" w:fill="008DA8"/>
            <w:vAlign w:val="center"/>
          </w:tcPr>
          <w:p w:rsidR="00387B59" w:rsidRPr="004B6745" w:rsidRDefault="00387B59" w:rsidP="004A27E0">
            <w:pPr>
              <w:pStyle w:val="Tablesubheading"/>
              <w:jc w:val="center"/>
            </w:pPr>
            <w:r>
              <w:t>Other</w:t>
            </w:r>
          </w:p>
        </w:tc>
      </w:tr>
      <w:tr w:rsidR="00387B59" w:rsidRPr="004B6745" w:rsidTr="004A27E0">
        <w:trPr>
          <w:cantSplit/>
          <w:trHeight w:val="352"/>
        </w:trPr>
        <w:tc>
          <w:tcPr>
            <w:tcW w:w="2006" w:type="dxa"/>
            <w:tcBorders>
              <w:top w:val="single" w:sz="8" w:space="0" w:color="008DA8"/>
            </w:tcBorders>
          </w:tcPr>
          <w:p w:rsidR="00387B59" w:rsidRPr="00330FF2" w:rsidRDefault="008839BC" w:rsidP="004A27E0">
            <w:pPr>
              <w:pStyle w:val="Tabletext"/>
              <w:jc w:val="center"/>
            </w:pPr>
            <w:r>
              <w:t>0</w:t>
            </w:r>
          </w:p>
        </w:tc>
        <w:tc>
          <w:tcPr>
            <w:tcW w:w="2006" w:type="dxa"/>
            <w:tcBorders>
              <w:top w:val="single" w:sz="8" w:space="0" w:color="008DA8"/>
            </w:tcBorders>
          </w:tcPr>
          <w:p w:rsidR="00387B59" w:rsidRPr="00330FF2" w:rsidRDefault="00197BBD" w:rsidP="004A27E0">
            <w:pPr>
              <w:pStyle w:val="Tabletext"/>
              <w:jc w:val="center"/>
            </w:pPr>
            <w:r>
              <w:t>2</w:t>
            </w:r>
          </w:p>
        </w:tc>
        <w:tc>
          <w:tcPr>
            <w:tcW w:w="2006" w:type="dxa"/>
            <w:tcBorders>
              <w:top w:val="single" w:sz="8" w:space="0" w:color="008DA8"/>
            </w:tcBorders>
          </w:tcPr>
          <w:p w:rsidR="00387B59" w:rsidRPr="00330FF2" w:rsidRDefault="008839BC" w:rsidP="004A27E0">
            <w:pPr>
              <w:pStyle w:val="Tabletext"/>
              <w:jc w:val="center"/>
            </w:pPr>
            <w:r>
              <w:t>0</w:t>
            </w:r>
          </w:p>
        </w:tc>
        <w:tc>
          <w:tcPr>
            <w:tcW w:w="2007" w:type="dxa"/>
            <w:tcBorders>
              <w:top w:val="single" w:sz="8" w:space="0" w:color="008DA8"/>
            </w:tcBorders>
          </w:tcPr>
          <w:p w:rsidR="00387B59" w:rsidRPr="00330FF2" w:rsidRDefault="00197BBD" w:rsidP="004A27E0">
            <w:pPr>
              <w:pStyle w:val="Tabletext"/>
              <w:jc w:val="center"/>
            </w:pPr>
            <w:r>
              <w:t>1</w:t>
            </w:r>
          </w:p>
        </w:tc>
      </w:tr>
    </w:tbl>
    <w:p w:rsidR="00387B59" w:rsidRPr="00153E31" w:rsidRDefault="00387B59" w:rsidP="00387B59">
      <w:pPr>
        <w:pStyle w:val="BodyText"/>
      </w:pPr>
    </w:p>
    <w:p w:rsidR="00387B59" w:rsidRDefault="00387B59" w:rsidP="00387B59">
      <w:pPr>
        <w:pStyle w:val="Heading4"/>
      </w:pPr>
      <w:r>
        <w:t>Responses</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1800"/>
        <w:gridCol w:w="1440"/>
        <w:gridCol w:w="4785"/>
      </w:tblGrid>
      <w:tr w:rsidR="00387B59" w:rsidRPr="00153E31" w:rsidTr="006D5FDE">
        <w:trPr>
          <w:trHeight w:hRule="exact" w:val="397"/>
          <w:tblHeader/>
        </w:trPr>
        <w:tc>
          <w:tcPr>
            <w:tcW w:w="1800" w:type="dxa"/>
            <w:tcBorders>
              <w:top w:val="single" w:sz="12" w:space="0" w:color="008DA8"/>
              <w:bottom w:val="single" w:sz="8" w:space="0" w:color="008DA8"/>
              <w:right w:val="nil"/>
            </w:tcBorders>
            <w:shd w:val="clear" w:color="auto" w:fill="008DA8"/>
            <w:vAlign w:val="center"/>
          </w:tcPr>
          <w:p w:rsidR="00387B59" w:rsidRPr="00153E31" w:rsidRDefault="00387B59" w:rsidP="004A27E0">
            <w:pPr>
              <w:pStyle w:val="Tablesubheading"/>
            </w:pPr>
            <w:r w:rsidRPr="00153E31">
              <w:t>Respondent</w:t>
            </w:r>
          </w:p>
        </w:tc>
        <w:tc>
          <w:tcPr>
            <w:tcW w:w="1440" w:type="dxa"/>
            <w:tcBorders>
              <w:top w:val="single" w:sz="12" w:space="0" w:color="008DA8"/>
              <w:left w:val="nil"/>
              <w:bottom w:val="single" w:sz="8" w:space="0" w:color="008DA8"/>
              <w:right w:val="nil"/>
            </w:tcBorders>
            <w:shd w:val="clear" w:color="auto" w:fill="008DA8"/>
            <w:vAlign w:val="center"/>
          </w:tcPr>
          <w:p w:rsidR="00387B59" w:rsidRPr="00153E31" w:rsidRDefault="00387B59" w:rsidP="004A27E0">
            <w:pPr>
              <w:pStyle w:val="Tablesubheading"/>
            </w:pPr>
            <w:r w:rsidRPr="00153E31">
              <w:t>Response</w:t>
            </w:r>
          </w:p>
        </w:tc>
        <w:tc>
          <w:tcPr>
            <w:tcW w:w="4785" w:type="dxa"/>
            <w:tcBorders>
              <w:top w:val="single" w:sz="12" w:space="0" w:color="008DA8"/>
              <w:left w:val="nil"/>
              <w:bottom w:val="single" w:sz="8" w:space="0" w:color="008DA8"/>
            </w:tcBorders>
            <w:shd w:val="clear" w:color="auto" w:fill="008DA8"/>
            <w:vAlign w:val="center"/>
          </w:tcPr>
          <w:p w:rsidR="00387B59" w:rsidRPr="00153E31" w:rsidRDefault="00387B59" w:rsidP="004A27E0">
            <w:pPr>
              <w:pStyle w:val="Tablesubheading"/>
            </w:pPr>
            <w:r w:rsidRPr="00153E31">
              <w:t>Rationale</w:t>
            </w:r>
          </w:p>
        </w:tc>
      </w:tr>
      <w:tr w:rsidR="008839BC" w:rsidRPr="004850FA" w:rsidTr="006D5FDE">
        <w:trPr>
          <w:trHeight w:val="160"/>
        </w:trPr>
        <w:tc>
          <w:tcPr>
            <w:tcW w:w="1800" w:type="dxa"/>
            <w:tcBorders>
              <w:top w:val="single" w:sz="8" w:space="0" w:color="008DA8"/>
            </w:tcBorders>
          </w:tcPr>
          <w:p w:rsidR="008839BC" w:rsidRPr="00330FF2" w:rsidRDefault="008839BC" w:rsidP="008839BC">
            <w:pPr>
              <w:pStyle w:val="Tabletext"/>
            </w:pPr>
            <w:proofErr w:type="spellStart"/>
            <w:r>
              <w:t>ScottishPower</w:t>
            </w:r>
            <w:proofErr w:type="spellEnd"/>
          </w:p>
        </w:tc>
        <w:tc>
          <w:tcPr>
            <w:tcW w:w="1440" w:type="dxa"/>
            <w:tcBorders>
              <w:top w:val="single" w:sz="8" w:space="0" w:color="008DA8"/>
            </w:tcBorders>
          </w:tcPr>
          <w:p w:rsidR="008839BC" w:rsidRPr="00330FF2" w:rsidRDefault="00197BBD" w:rsidP="008839BC">
            <w:pPr>
              <w:pStyle w:val="Tabletext"/>
            </w:pPr>
            <w:r>
              <w:t>Other</w:t>
            </w:r>
          </w:p>
        </w:tc>
        <w:tc>
          <w:tcPr>
            <w:tcW w:w="4785" w:type="dxa"/>
            <w:tcBorders>
              <w:top w:val="single" w:sz="8" w:space="0" w:color="008DA8"/>
            </w:tcBorders>
          </w:tcPr>
          <w:p w:rsidR="008839BC" w:rsidRPr="00330FF2" w:rsidRDefault="008839BC" w:rsidP="008839BC">
            <w:pPr>
              <w:pStyle w:val="BodyText"/>
            </w:pPr>
            <w:proofErr w:type="spellStart"/>
            <w:r w:rsidRPr="00CC57D7">
              <w:t>ScottishPower</w:t>
            </w:r>
            <w:proofErr w:type="spellEnd"/>
            <w:r w:rsidRPr="00CC57D7">
              <w:t xml:space="preserve"> agrees with the intent of the proposed solution that following PAB escalation the revised EFR must be signed off by a </w:t>
            </w:r>
            <w:r w:rsidRPr="008839BC">
              <w:t>Category A BSC signatory</w:t>
            </w:r>
            <w:r w:rsidRPr="00CC57D7">
              <w:t>. However</w:t>
            </w:r>
            <w:r>
              <w:t>,</w:t>
            </w:r>
            <w:r w:rsidRPr="00CC57D7">
              <w:t xml:space="preserve"> we </w:t>
            </w:r>
            <w:r>
              <w:t>w</w:t>
            </w:r>
            <w:r w:rsidRPr="00CC57D7">
              <w:t xml:space="preserve">ould like to note we are not in agreement a Company director is required </w:t>
            </w:r>
            <w:r>
              <w:t>to sign off a revised EFR. It is in our opinion a Director is not always the appropriate person within an organisation to sign off such requirements (</w:t>
            </w:r>
            <w:r w:rsidRPr="00B84A59">
              <w:rPr>
                <w:b/>
              </w:rPr>
              <w:t>please see comments in Q2</w:t>
            </w:r>
            <w:r>
              <w:t>).</w:t>
            </w:r>
          </w:p>
        </w:tc>
      </w:tr>
      <w:tr w:rsidR="008839BC" w:rsidRPr="004B6745" w:rsidTr="006D5FDE">
        <w:trPr>
          <w:trHeight w:val="353"/>
        </w:trPr>
        <w:tc>
          <w:tcPr>
            <w:tcW w:w="1800" w:type="dxa"/>
          </w:tcPr>
          <w:p w:rsidR="008839BC" w:rsidRPr="00330FF2" w:rsidRDefault="008839BC" w:rsidP="008839BC">
            <w:pPr>
              <w:pStyle w:val="Tabletext"/>
            </w:pPr>
            <w:r>
              <w:t>OVO Energy</w:t>
            </w:r>
          </w:p>
        </w:tc>
        <w:tc>
          <w:tcPr>
            <w:tcW w:w="1440" w:type="dxa"/>
          </w:tcPr>
          <w:p w:rsidR="008839BC" w:rsidRPr="00330FF2" w:rsidRDefault="0006572D" w:rsidP="008839BC">
            <w:pPr>
              <w:pStyle w:val="Tabletext"/>
            </w:pPr>
            <w:r>
              <w:t>No</w:t>
            </w:r>
          </w:p>
        </w:tc>
        <w:tc>
          <w:tcPr>
            <w:tcW w:w="4785" w:type="dxa"/>
          </w:tcPr>
          <w:p w:rsidR="00863C21" w:rsidRDefault="00197BBD" w:rsidP="00863C21">
            <w:pPr>
              <w:pStyle w:val="BodyText"/>
            </w:pPr>
            <w:r>
              <w:t>We are not supportive of CP</w:t>
            </w:r>
            <w:r w:rsidR="00863C21">
              <w:t>1544.</w:t>
            </w:r>
          </w:p>
          <w:p w:rsidR="00863C21" w:rsidRDefault="00863C21" w:rsidP="00863C21">
            <w:pPr>
              <w:pStyle w:val="BodyText"/>
            </w:pPr>
            <w:r>
              <w:t xml:space="preserve">The complex variables that go into Settlement performance mean some suppliers may not always be able to adhere to their EFR plan, and therefore several iterations may be required. We understand the intention of </w:t>
            </w:r>
            <w:r w:rsidR="00197BBD">
              <w:t>CP</w:t>
            </w:r>
            <w:r>
              <w:t>1544 which seeks to improve the EFR process. However, we do not agree that requiring sign off from a Category A BSC Signatory or Company Director will achieve the intended outcome of CP1544.</w:t>
            </w:r>
          </w:p>
          <w:p w:rsidR="00863C21" w:rsidRDefault="00863C21" w:rsidP="00863C21">
            <w:pPr>
              <w:pStyle w:val="BodyText"/>
            </w:pPr>
            <w:r>
              <w:t>The registered Directors of the larger suppliers are often the C-suite who have little context of a plan at this level. Accountability could be better obtained by requesting an increasing seniority at each escalation, rather than going straight to a registered Director at 2nd attempt.</w:t>
            </w:r>
          </w:p>
          <w:p w:rsidR="00863C21" w:rsidRDefault="00863C21" w:rsidP="00863C21">
            <w:pPr>
              <w:pStyle w:val="BodyText"/>
            </w:pPr>
            <w:r>
              <w:t>For example, initial escalation could be run by operational contact, second escalation could be run by manager of operational contact, third escalation could be run by the Head of Dept., and final escalation could then be by a director.</w:t>
            </w:r>
          </w:p>
          <w:p w:rsidR="00863C21" w:rsidRDefault="00863C21" w:rsidP="00863C21">
            <w:pPr>
              <w:pStyle w:val="BodyText"/>
            </w:pPr>
            <w:r>
              <w:t>We believe that obliging Category A BSC Signatory or Company Director sign-off will actually act as a blocker to the plan rather than helping expedite it, due to the scope of their remit and roles that they undertake. For example, the consultation document notes:</w:t>
            </w:r>
          </w:p>
          <w:p w:rsidR="00863C21" w:rsidRPr="00863C21" w:rsidRDefault="00863C21" w:rsidP="00863C21">
            <w:pPr>
              <w:pStyle w:val="BodyText"/>
              <w:rPr>
                <w:i/>
              </w:rPr>
            </w:pPr>
            <w:r w:rsidRPr="00863C21">
              <w:rPr>
                <w:i/>
              </w:rPr>
              <w:lastRenderedPageBreak/>
              <w:t>“Following the work undertaken through the PAF review project it was agreed that one of the most direct and effective solutions would be to encourage additional focus being placed on issues in EFR amongst senior level management, in the hopes that they might decide to make the required resource available to resolve issues effectively.”</w:t>
            </w:r>
          </w:p>
          <w:p w:rsidR="00863C21" w:rsidRDefault="00863C21" w:rsidP="00863C21">
            <w:pPr>
              <w:pStyle w:val="BodyText"/>
            </w:pPr>
            <w:r>
              <w:t>The modification presupposes that Company Directors as represented on Companies House are directly responsible in all cases for the apportionment of resources. We would argue that this assumption is a generalisation, and does not apply to OVO. We would also argue that this would also be the case for other large suppliers.</w:t>
            </w:r>
          </w:p>
          <w:p w:rsidR="008839BC" w:rsidRPr="00330FF2" w:rsidRDefault="00863C21" w:rsidP="00863C21">
            <w:pPr>
              <w:pStyle w:val="BodyText"/>
            </w:pPr>
            <w:r>
              <w:t>Directors at OVO Energy who are represented on Companies House are not required to make resources available. Obliging them to review this would be an extra layer of complexity, and ultimately would be deferred back to management causing the EFR process to become slower rather than quicker.</w:t>
            </w:r>
          </w:p>
        </w:tc>
      </w:tr>
      <w:tr w:rsidR="008839BC" w:rsidRPr="004B6745" w:rsidTr="006D5FDE">
        <w:trPr>
          <w:trHeight w:val="352"/>
        </w:trPr>
        <w:tc>
          <w:tcPr>
            <w:tcW w:w="1800" w:type="dxa"/>
          </w:tcPr>
          <w:p w:rsidR="008839BC" w:rsidRPr="00330FF2" w:rsidRDefault="005C3150" w:rsidP="008839BC">
            <w:pPr>
              <w:pStyle w:val="Tabletext"/>
            </w:pPr>
            <w:r>
              <w:lastRenderedPageBreak/>
              <w:t>E.ON/Npower</w:t>
            </w:r>
          </w:p>
        </w:tc>
        <w:tc>
          <w:tcPr>
            <w:tcW w:w="1440" w:type="dxa"/>
          </w:tcPr>
          <w:p w:rsidR="008839BC" w:rsidRPr="00330FF2" w:rsidRDefault="005C3150" w:rsidP="008839BC">
            <w:pPr>
              <w:pStyle w:val="Tabletext"/>
            </w:pPr>
            <w:r>
              <w:t>No</w:t>
            </w:r>
          </w:p>
        </w:tc>
        <w:tc>
          <w:tcPr>
            <w:tcW w:w="4785" w:type="dxa"/>
          </w:tcPr>
          <w:p w:rsidR="005C3150" w:rsidRDefault="005C3150" w:rsidP="005C3150">
            <w:pPr>
              <w:pStyle w:val="BodyText"/>
            </w:pPr>
            <w:r>
              <w:t>We are supportive of the intent behind this change and believe that the rationale provided from the Performance Assurance Framework (PAF) review warrants stronger senior level oversight that would be introduced by introducing the requirements for Category A BSC Signatory or listed company Director sign-off required for any EFR plan following escalation.</w:t>
            </w:r>
          </w:p>
          <w:p w:rsidR="005C3150" w:rsidRDefault="005C3150" w:rsidP="005C3150">
            <w:pPr>
              <w:pStyle w:val="BodyText"/>
            </w:pPr>
            <w:r>
              <w:t xml:space="preserve">However, we do not believe that this Change Proposal (CP) would introduce fair and equal treatment for all Performance Assurance Parties (PAPs) when milestones are missed and EFR plans need to be resubmitted for Performance Assurance Board (PAB) approval because Category A BSC Signatories are only a required under the BSC framework for BSC parties, BSC party agents do not currently requirements to have Category Signatory in place as they are not signatories to the BSC. </w:t>
            </w:r>
          </w:p>
          <w:p w:rsidR="005C3150" w:rsidRDefault="005C3150" w:rsidP="005C3150">
            <w:pPr>
              <w:pStyle w:val="BodyText"/>
            </w:pPr>
            <w:r>
              <w:t xml:space="preserve">Our Assessment of the solution proposed under this CP would introduce differing requirements for different types PAPs as only party agents will be forced to obtain senior sign off from its listed company directors. We are of the opinion that Category A signatories, are by proxy being granted delegated levels of senior authority from listed company directors by the very nature that category A </w:t>
            </w:r>
            <w:r>
              <w:lastRenderedPageBreak/>
              <w:t xml:space="preserve">signatory status holds and so assures the senior level of engagement that this CP intends to achieve. </w:t>
            </w:r>
          </w:p>
          <w:p w:rsidR="008839BC" w:rsidRPr="00330FF2" w:rsidRDefault="005C3150" w:rsidP="005C3150">
            <w:pPr>
              <w:pStyle w:val="BodyText"/>
            </w:pPr>
            <w:r>
              <w:t xml:space="preserve">We would like to highlight that the PAB already holds powers to request company directors attend the PAB in any instance that they feel an EFR plan submitted is unacceptable through the </w:t>
            </w:r>
            <w:r>
              <w:rPr>
                <w:rStyle w:val="Strong"/>
                <w:rFonts w:cs="Arial"/>
                <w:b w:val="0"/>
                <w:bCs w:val="0"/>
                <w:lang w:val="en"/>
              </w:rPr>
              <w:t xml:space="preserve">PAB Escalation process, which itself already assures that the most senior level of engagement can be sought and in turn incentivizes PAPs to engage with its listed company directors when preparing EFR milestone plans. </w:t>
            </w:r>
            <w:r>
              <w:t xml:space="preserve">As the provisions for BSC party agents do not facilitate a Category signatory type approach to EFR sign off we believe this approach pushes sole responsibility for EFR plan sign off onto listed company directors only with no ability to delegate responsibility to a more appropriate senior manager within a party </w:t>
            </w:r>
            <w:proofErr w:type="gramStart"/>
            <w:r>
              <w:t>agents</w:t>
            </w:r>
            <w:proofErr w:type="gramEnd"/>
            <w:r>
              <w:t xml:space="preserve"> organisation. This CP outlines that one of the</w:t>
            </w:r>
            <w:r w:rsidRPr="007E6921">
              <w:t xml:space="preserve"> recommendations of the</w:t>
            </w:r>
            <w:r>
              <w:t xml:space="preserve"> Performance Assurance Framework (</w:t>
            </w:r>
            <w:r w:rsidRPr="007E6921">
              <w:t>PAF</w:t>
            </w:r>
            <w:r>
              <w:t>)</w:t>
            </w:r>
            <w:r w:rsidRPr="007E6921">
              <w:t xml:space="preserve"> review project sought to </w:t>
            </w:r>
            <w:r>
              <w:t>“</w:t>
            </w:r>
            <w:r w:rsidRPr="007E6921">
              <w:t>increase senior level engagement with EFR plans</w:t>
            </w:r>
            <w:r>
              <w:t>”, however this CP does not deliver that intent as it places sole responsibility at the most senior level of a BSC party agents organisation.</w:t>
            </w:r>
          </w:p>
        </w:tc>
      </w:tr>
    </w:tbl>
    <w:p w:rsidR="00387B59" w:rsidRPr="00330FF2" w:rsidRDefault="00387B59" w:rsidP="00387B59">
      <w:pPr>
        <w:pStyle w:val="Heading8"/>
      </w:pPr>
      <w:r w:rsidRPr="00330FF2">
        <w:lastRenderedPageBreak/>
        <w:t xml:space="preserve">Question </w:t>
      </w:r>
      <w:r>
        <w:t>2</w:t>
      </w:r>
      <w:r w:rsidRPr="00330FF2">
        <w:t xml:space="preserve">: </w:t>
      </w:r>
      <w:r>
        <w:t>Do you agree that the draft redlining delivers the CP</w:t>
      </w:r>
      <w:r w:rsidR="008839BC">
        <w:t>1544</w:t>
      </w:r>
      <w:r>
        <w:t xml:space="preserve"> proposed solution?</w:t>
      </w:r>
    </w:p>
    <w:p w:rsidR="00387B59" w:rsidRDefault="00387B59" w:rsidP="00387B59">
      <w:pPr>
        <w:pStyle w:val="Heading4"/>
      </w:pPr>
      <w:r w:rsidRPr="000D41E2">
        <w:t xml:space="preserve">Summary </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2006"/>
        <w:gridCol w:w="2006"/>
        <w:gridCol w:w="2006"/>
        <w:gridCol w:w="2007"/>
      </w:tblGrid>
      <w:tr w:rsidR="00387B59" w:rsidRPr="004B6745" w:rsidTr="004A27E0">
        <w:trPr>
          <w:cantSplit/>
          <w:trHeight w:hRule="exact" w:val="494"/>
          <w:tblHeader/>
        </w:trPr>
        <w:tc>
          <w:tcPr>
            <w:tcW w:w="2006" w:type="dxa"/>
            <w:tcBorders>
              <w:top w:val="single" w:sz="12" w:space="0" w:color="008DA8"/>
              <w:bottom w:val="single" w:sz="8" w:space="0" w:color="008DA8"/>
              <w:right w:val="nil"/>
            </w:tcBorders>
            <w:shd w:val="clear" w:color="auto" w:fill="008DA8"/>
            <w:vAlign w:val="center"/>
          </w:tcPr>
          <w:p w:rsidR="00387B59" w:rsidRPr="004B6745" w:rsidRDefault="00387B59" w:rsidP="004A27E0">
            <w:pPr>
              <w:pStyle w:val="Tablesubheading"/>
              <w:jc w:val="center"/>
            </w:pPr>
            <w:r>
              <w:t>Yes</w:t>
            </w:r>
          </w:p>
        </w:tc>
        <w:tc>
          <w:tcPr>
            <w:tcW w:w="2006" w:type="dxa"/>
            <w:tcBorders>
              <w:top w:val="single" w:sz="12" w:space="0" w:color="008DA8"/>
              <w:left w:val="nil"/>
              <w:bottom w:val="single" w:sz="8" w:space="0" w:color="008DA8"/>
              <w:right w:val="nil"/>
            </w:tcBorders>
            <w:shd w:val="clear" w:color="auto" w:fill="008DA8"/>
            <w:vAlign w:val="center"/>
          </w:tcPr>
          <w:p w:rsidR="00387B59" w:rsidRPr="004B6745" w:rsidRDefault="00387B59" w:rsidP="004A27E0">
            <w:pPr>
              <w:pStyle w:val="Tablesubheading"/>
              <w:jc w:val="center"/>
            </w:pPr>
            <w:r>
              <w:t>No</w:t>
            </w:r>
          </w:p>
        </w:tc>
        <w:tc>
          <w:tcPr>
            <w:tcW w:w="2006" w:type="dxa"/>
            <w:tcBorders>
              <w:top w:val="single" w:sz="12" w:space="0" w:color="008DA8"/>
              <w:left w:val="nil"/>
              <w:bottom w:val="single" w:sz="8" w:space="0" w:color="008DA8"/>
              <w:right w:val="nil"/>
            </w:tcBorders>
            <w:shd w:val="clear" w:color="auto" w:fill="008DA8"/>
            <w:vAlign w:val="center"/>
          </w:tcPr>
          <w:p w:rsidR="00387B59" w:rsidRPr="004B6745" w:rsidRDefault="00387B59" w:rsidP="004A27E0">
            <w:pPr>
              <w:pStyle w:val="Tablesubheading"/>
              <w:jc w:val="center"/>
            </w:pPr>
            <w:r>
              <w:t>Neutral/No Comment</w:t>
            </w:r>
          </w:p>
        </w:tc>
        <w:tc>
          <w:tcPr>
            <w:tcW w:w="2007" w:type="dxa"/>
            <w:tcBorders>
              <w:top w:val="single" w:sz="12" w:space="0" w:color="008DA8"/>
              <w:left w:val="nil"/>
              <w:bottom w:val="single" w:sz="8" w:space="0" w:color="008DA8"/>
            </w:tcBorders>
            <w:shd w:val="clear" w:color="auto" w:fill="008DA8"/>
            <w:vAlign w:val="center"/>
          </w:tcPr>
          <w:p w:rsidR="00387B59" w:rsidRPr="004B6745" w:rsidRDefault="00387B59" w:rsidP="004A27E0">
            <w:pPr>
              <w:pStyle w:val="Tablesubheading"/>
              <w:jc w:val="center"/>
            </w:pPr>
            <w:r>
              <w:t>Other</w:t>
            </w:r>
          </w:p>
        </w:tc>
      </w:tr>
      <w:tr w:rsidR="00387B59" w:rsidRPr="004B6745" w:rsidTr="004A27E0">
        <w:trPr>
          <w:cantSplit/>
          <w:trHeight w:val="352"/>
        </w:trPr>
        <w:tc>
          <w:tcPr>
            <w:tcW w:w="2006" w:type="dxa"/>
            <w:tcBorders>
              <w:top w:val="single" w:sz="8" w:space="0" w:color="008DA8"/>
            </w:tcBorders>
          </w:tcPr>
          <w:p w:rsidR="00387B59" w:rsidRPr="00330FF2" w:rsidRDefault="008839BC" w:rsidP="004A27E0">
            <w:pPr>
              <w:pStyle w:val="Tabletext"/>
              <w:jc w:val="center"/>
            </w:pPr>
            <w:r>
              <w:t>0</w:t>
            </w:r>
          </w:p>
        </w:tc>
        <w:tc>
          <w:tcPr>
            <w:tcW w:w="2006" w:type="dxa"/>
            <w:tcBorders>
              <w:top w:val="single" w:sz="8" w:space="0" w:color="008DA8"/>
            </w:tcBorders>
          </w:tcPr>
          <w:p w:rsidR="00387B59" w:rsidRPr="00330FF2" w:rsidRDefault="008839BC" w:rsidP="004A27E0">
            <w:pPr>
              <w:pStyle w:val="Tabletext"/>
              <w:jc w:val="center"/>
            </w:pPr>
            <w:r>
              <w:t>3</w:t>
            </w:r>
          </w:p>
        </w:tc>
        <w:tc>
          <w:tcPr>
            <w:tcW w:w="2006" w:type="dxa"/>
            <w:tcBorders>
              <w:top w:val="single" w:sz="8" w:space="0" w:color="008DA8"/>
            </w:tcBorders>
          </w:tcPr>
          <w:p w:rsidR="00387B59" w:rsidRPr="00330FF2" w:rsidRDefault="008839BC" w:rsidP="004A27E0">
            <w:pPr>
              <w:pStyle w:val="Tabletext"/>
              <w:jc w:val="center"/>
            </w:pPr>
            <w:r>
              <w:t>0</w:t>
            </w:r>
          </w:p>
        </w:tc>
        <w:tc>
          <w:tcPr>
            <w:tcW w:w="2007" w:type="dxa"/>
            <w:tcBorders>
              <w:top w:val="single" w:sz="8" w:space="0" w:color="008DA8"/>
            </w:tcBorders>
          </w:tcPr>
          <w:p w:rsidR="00387B59" w:rsidRPr="00330FF2" w:rsidRDefault="008839BC" w:rsidP="004A27E0">
            <w:pPr>
              <w:pStyle w:val="Tabletext"/>
              <w:jc w:val="center"/>
            </w:pPr>
            <w:r>
              <w:t>0</w:t>
            </w:r>
          </w:p>
        </w:tc>
      </w:tr>
    </w:tbl>
    <w:p w:rsidR="00387B59" w:rsidRPr="00153E31" w:rsidRDefault="00387B59" w:rsidP="00387B59">
      <w:pPr>
        <w:pStyle w:val="BodyText"/>
      </w:pPr>
    </w:p>
    <w:p w:rsidR="00387B59" w:rsidRPr="00387B59" w:rsidRDefault="00387B59" w:rsidP="00197BBD">
      <w:pPr>
        <w:pStyle w:val="Heading4"/>
      </w:pPr>
      <w:r>
        <w:t>Responses</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1800"/>
        <w:gridCol w:w="1440"/>
        <w:gridCol w:w="4785"/>
      </w:tblGrid>
      <w:tr w:rsidR="00387B59" w:rsidRPr="00153E31" w:rsidTr="006D5FDE">
        <w:trPr>
          <w:trHeight w:hRule="exact" w:val="397"/>
          <w:tblHeader/>
        </w:trPr>
        <w:tc>
          <w:tcPr>
            <w:tcW w:w="1800" w:type="dxa"/>
            <w:tcBorders>
              <w:top w:val="single" w:sz="12" w:space="0" w:color="008DA8"/>
              <w:bottom w:val="single" w:sz="8" w:space="0" w:color="008DA8"/>
              <w:right w:val="nil"/>
            </w:tcBorders>
            <w:shd w:val="clear" w:color="auto" w:fill="008DA8"/>
            <w:vAlign w:val="center"/>
          </w:tcPr>
          <w:p w:rsidR="00387B59" w:rsidRPr="00153E31" w:rsidRDefault="00387B59" w:rsidP="004A27E0">
            <w:pPr>
              <w:pStyle w:val="Tablesubheading"/>
            </w:pPr>
            <w:r w:rsidRPr="00153E31">
              <w:t>Respondent</w:t>
            </w:r>
          </w:p>
        </w:tc>
        <w:tc>
          <w:tcPr>
            <w:tcW w:w="1440" w:type="dxa"/>
            <w:tcBorders>
              <w:top w:val="single" w:sz="12" w:space="0" w:color="008DA8"/>
              <w:left w:val="nil"/>
              <w:bottom w:val="single" w:sz="8" w:space="0" w:color="008DA8"/>
              <w:right w:val="nil"/>
            </w:tcBorders>
            <w:shd w:val="clear" w:color="auto" w:fill="008DA8"/>
            <w:vAlign w:val="center"/>
          </w:tcPr>
          <w:p w:rsidR="00387B59" w:rsidRPr="00153E31" w:rsidRDefault="00387B59" w:rsidP="004A27E0">
            <w:pPr>
              <w:pStyle w:val="Tablesubheading"/>
            </w:pPr>
            <w:r w:rsidRPr="00153E31">
              <w:t>Response</w:t>
            </w:r>
          </w:p>
        </w:tc>
        <w:tc>
          <w:tcPr>
            <w:tcW w:w="4785" w:type="dxa"/>
            <w:tcBorders>
              <w:top w:val="single" w:sz="12" w:space="0" w:color="008DA8"/>
              <w:left w:val="nil"/>
              <w:bottom w:val="single" w:sz="8" w:space="0" w:color="008DA8"/>
            </w:tcBorders>
            <w:shd w:val="clear" w:color="auto" w:fill="008DA8"/>
            <w:vAlign w:val="center"/>
          </w:tcPr>
          <w:p w:rsidR="00387B59" w:rsidRPr="00153E31" w:rsidRDefault="00387B59" w:rsidP="004A27E0">
            <w:pPr>
              <w:pStyle w:val="Tablesubheading"/>
            </w:pPr>
            <w:r w:rsidRPr="00153E31">
              <w:t>Rationale</w:t>
            </w:r>
          </w:p>
        </w:tc>
      </w:tr>
      <w:tr w:rsidR="008839BC" w:rsidRPr="004850FA" w:rsidTr="006D5FDE">
        <w:trPr>
          <w:trHeight w:val="160"/>
        </w:trPr>
        <w:tc>
          <w:tcPr>
            <w:tcW w:w="1800" w:type="dxa"/>
            <w:tcBorders>
              <w:top w:val="single" w:sz="8" w:space="0" w:color="008DA8"/>
            </w:tcBorders>
          </w:tcPr>
          <w:p w:rsidR="008839BC" w:rsidRPr="00330FF2" w:rsidRDefault="008839BC" w:rsidP="008839BC">
            <w:pPr>
              <w:pStyle w:val="Tabletext"/>
            </w:pPr>
            <w:proofErr w:type="spellStart"/>
            <w:r>
              <w:t>ScottishPower</w:t>
            </w:r>
            <w:proofErr w:type="spellEnd"/>
          </w:p>
        </w:tc>
        <w:tc>
          <w:tcPr>
            <w:tcW w:w="1440" w:type="dxa"/>
            <w:tcBorders>
              <w:top w:val="single" w:sz="8" w:space="0" w:color="008DA8"/>
            </w:tcBorders>
          </w:tcPr>
          <w:p w:rsidR="008839BC" w:rsidRPr="00330FF2" w:rsidRDefault="008839BC" w:rsidP="008839BC">
            <w:pPr>
              <w:pStyle w:val="Tabletext"/>
            </w:pPr>
            <w:r>
              <w:t>No</w:t>
            </w:r>
          </w:p>
        </w:tc>
        <w:tc>
          <w:tcPr>
            <w:tcW w:w="4785" w:type="dxa"/>
            <w:tcBorders>
              <w:top w:val="single" w:sz="8" w:space="0" w:color="008DA8"/>
            </w:tcBorders>
          </w:tcPr>
          <w:p w:rsidR="008839BC" w:rsidRDefault="008839BC" w:rsidP="008044E4">
            <w:pPr>
              <w:pStyle w:val="BodyText"/>
            </w:pPr>
            <w:r w:rsidRPr="00FB3377">
              <w:t xml:space="preserve">In section 1.2.2 of the draft redlining is states </w:t>
            </w:r>
            <w:r w:rsidRPr="008044E4">
              <w:rPr>
                <w:i/>
              </w:rPr>
              <w:t xml:space="preserve">“Following PAB escalation, the revised EFR plan must be signed off by a Category A BSC Signatory or Company Director within the escalated PAP prior to the revised plan being approved by the </w:t>
            </w:r>
            <w:proofErr w:type="spellStart"/>
            <w:r w:rsidRPr="008044E4">
              <w:rPr>
                <w:i/>
              </w:rPr>
              <w:t>BSCCo</w:t>
            </w:r>
            <w:proofErr w:type="spellEnd"/>
            <w:r w:rsidRPr="008044E4">
              <w:rPr>
                <w:i/>
              </w:rPr>
              <w:t>”.</w:t>
            </w:r>
          </w:p>
          <w:p w:rsidR="008839BC" w:rsidRPr="00330FF2" w:rsidRDefault="008839BC" w:rsidP="008044E4">
            <w:pPr>
              <w:pStyle w:val="BodyText"/>
            </w:pPr>
            <w:proofErr w:type="spellStart"/>
            <w:r w:rsidRPr="00FB3377">
              <w:t>ScottishPower</w:t>
            </w:r>
            <w:proofErr w:type="spellEnd"/>
            <w:r w:rsidRPr="00FB3377">
              <w:t xml:space="preserve"> does not agree that a company director </w:t>
            </w:r>
            <w:r>
              <w:t xml:space="preserve">is the appropriate person to sign off a revised EFR plan, </w:t>
            </w:r>
            <w:r w:rsidRPr="00FB3377">
              <w:t xml:space="preserve">purely for the reason they are not always that close to the day to day management of processes and </w:t>
            </w:r>
            <w:r>
              <w:t xml:space="preserve">this </w:t>
            </w:r>
            <w:r w:rsidRPr="00FB3377">
              <w:t>could delay approval. It is in our opinion sign off by a Category A BSC signatory is more than sufficient</w:t>
            </w:r>
            <w:r>
              <w:t xml:space="preserve"> to fulfil this requirement.</w:t>
            </w:r>
          </w:p>
        </w:tc>
      </w:tr>
      <w:tr w:rsidR="008839BC" w:rsidRPr="004B6745" w:rsidTr="006D5FDE">
        <w:trPr>
          <w:trHeight w:val="353"/>
        </w:trPr>
        <w:tc>
          <w:tcPr>
            <w:tcW w:w="1800" w:type="dxa"/>
          </w:tcPr>
          <w:p w:rsidR="008839BC" w:rsidRPr="00330FF2" w:rsidRDefault="008839BC" w:rsidP="008839BC">
            <w:pPr>
              <w:pStyle w:val="Tabletext"/>
            </w:pPr>
            <w:r>
              <w:t>OVO Energy</w:t>
            </w:r>
          </w:p>
        </w:tc>
        <w:tc>
          <w:tcPr>
            <w:tcW w:w="1440" w:type="dxa"/>
          </w:tcPr>
          <w:p w:rsidR="008839BC" w:rsidRPr="00330FF2" w:rsidRDefault="00863C21" w:rsidP="008839BC">
            <w:pPr>
              <w:pStyle w:val="Tabletext"/>
            </w:pPr>
            <w:r>
              <w:t>No</w:t>
            </w:r>
          </w:p>
        </w:tc>
        <w:tc>
          <w:tcPr>
            <w:tcW w:w="4785" w:type="dxa"/>
          </w:tcPr>
          <w:p w:rsidR="008839BC" w:rsidRPr="00330FF2" w:rsidRDefault="00863C21" w:rsidP="00863C21">
            <w:pPr>
              <w:pStyle w:val="BodyText"/>
            </w:pPr>
            <w:r>
              <w:t>No, as mentioned above, obliging Company Directors to review this would be an extra layer of complexity, and ultimately would be deferred back management causing the EFR process to become slower rather than quicker.</w:t>
            </w:r>
          </w:p>
        </w:tc>
      </w:tr>
      <w:tr w:rsidR="008839BC" w:rsidRPr="004B6745" w:rsidTr="006D5FDE">
        <w:trPr>
          <w:trHeight w:val="352"/>
        </w:trPr>
        <w:tc>
          <w:tcPr>
            <w:tcW w:w="1800" w:type="dxa"/>
          </w:tcPr>
          <w:p w:rsidR="008839BC" w:rsidRPr="00330FF2" w:rsidRDefault="005C3150" w:rsidP="008839BC">
            <w:pPr>
              <w:pStyle w:val="Tabletext"/>
            </w:pPr>
            <w:r>
              <w:t>E.ON/Npower</w:t>
            </w:r>
          </w:p>
        </w:tc>
        <w:tc>
          <w:tcPr>
            <w:tcW w:w="1440" w:type="dxa"/>
          </w:tcPr>
          <w:p w:rsidR="008839BC" w:rsidRPr="00330FF2" w:rsidRDefault="005C3150" w:rsidP="008839BC">
            <w:pPr>
              <w:pStyle w:val="Tabletext"/>
            </w:pPr>
            <w:r>
              <w:t>No</w:t>
            </w:r>
          </w:p>
        </w:tc>
        <w:tc>
          <w:tcPr>
            <w:tcW w:w="4785" w:type="dxa"/>
          </w:tcPr>
          <w:p w:rsidR="005C3150" w:rsidRDefault="005C3150" w:rsidP="005C3150">
            <w:pPr>
              <w:pStyle w:val="BodyText"/>
            </w:pPr>
            <w:r>
              <w:t>As per our response to Q1, we do not believe the current redlining to BSCP 538 delivers the proposed solution. We believe that this change would be better facilitated through changes to the BSCP38 by introducing a party agent category signatory but also changes to BSC section J to introduce the requirement on BSC party agents, to have at least one category signatory associated to their business.</w:t>
            </w:r>
          </w:p>
          <w:p w:rsidR="005C3150" w:rsidRDefault="005C3150" w:rsidP="005C3150">
            <w:pPr>
              <w:pStyle w:val="BodyText"/>
            </w:pPr>
            <w:r>
              <w:t xml:space="preserve">We also believe that the definition of an authorised signatory detailed in section C of the BSC could be strengthened to ensure a Category A signatory has the pre-requisite seniority and authority/decision making powers to act on behalf of the party to assure that EFR </w:t>
            </w:r>
            <w:proofErr w:type="spellStart"/>
            <w:r>
              <w:t>replans</w:t>
            </w:r>
            <w:proofErr w:type="spellEnd"/>
            <w:r>
              <w:t xml:space="preserve"> can be achieved, as the BSC does not currently set a requirement that Category A </w:t>
            </w:r>
            <w:r>
              <w:lastRenderedPageBreak/>
              <w:t xml:space="preserve">signatory holders are also in senior management roles within organisations. </w:t>
            </w:r>
          </w:p>
          <w:p w:rsidR="008839BC" w:rsidRPr="00330FF2" w:rsidRDefault="005C3150" w:rsidP="005C3150">
            <w:pPr>
              <w:pStyle w:val="BodyText"/>
            </w:pPr>
            <w:r>
              <w:t>As such we believe this change should be delivered through a BSC modification as opposed to a CP.</w:t>
            </w:r>
          </w:p>
        </w:tc>
      </w:tr>
    </w:tbl>
    <w:p w:rsidR="00387B59" w:rsidRPr="00330FF2" w:rsidRDefault="00387B59" w:rsidP="00387B59">
      <w:pPr>
        <w:pStyle w:val="Heading8"/>
      </w:pPr>
      <w:r w:rsidRPr="00330FF2">
        <w:lastRenderedPageBreak/>
        <w:t xml:space="preserve">Question </w:t>
      </w:r>
      <w:r>
        <w:t>3</w:t>
      </w:r>
      <w:r w:rsidRPr="00330FF2">
        <w:t xml:space="preserve">: </w:t>
      </w:r>
      <w:r>
        <w:t>Will CP</w:t>
      </w:r>
      <w:r w:rsidR="008044E4">
        <w:t>1544</w:t>
      </w:r>
      <w:r>
        <w:t xml:space="preserve"> impact your organisation?</w:t>
      </w:r>
    </w:p>
    <w:p w:rsidR="00387B59" w:rsidRDefault="00387B59" w:rsidP="00387B59">
      <w:pPr>
        <w:pStyle w:val="Heading4"/>
      </w:pPr>
      <w:r w:rsidRPr="000D41E2">
        <w:t xml:space="preserve">Summary </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2006"/>
        <w:gridCol w:w="2006"/>
        <w:gridCol w:w="2006"/>
        <w:gridCol w:w="2007"/>
      </w:tblGrid>
      <w:tr w:rsidR="00387B59" w:rsidRPr="004B6745" w:rsidTr="004A27E0">
        <w:trPr>
          <w:cantSplit/>
          <w:trHeight w:hRule="exact" w:val="494"/>
          <w:tblHeader/>
        </w:trPr>
        <w:tc>
          <w:tcPr>
            <w:tcW w:w="2006" w:type="dxa"/>
            <w:tcBorders>
              <w:top w:val="single" w:sz="12" w:space="0" w:color="008DA8"/>
              <w:bottom w:val="single" w:sz="8" w:space="0" w:color="008DA8"/>
              <w:right w:val="nil"/>
            </w:tcBorders>
            <w:shd w:val="clear" w:color="auto" w:fill="008DA8"/>
            <w:vAlign w:val="center"/>
          </w:tcPr>
          <w:p w:rsidR="00387B59" w:rsidRPr="004B6745" w:rsidRDefault="00534E90" w:rsidP="004A27E0">
            <w:pPr>
              <w:pStyle w:val="Tablesubheading"/>
              <w:jc w:val="center"/>
            </w:pPr>
            <w:r>
              <w:t>High</w:t>
            </w:r>
          </w:p>
        </w:tc>
        <w:tc>
          <w:tcPr>
            <w:tcW w:w="2006" w:type="dxa"/>
            <w:tcBorders>
              <w:top w:val="single" w:sz="12" w:space="0" w:color="008DA8"/>
              <w:left w:val="nil"/>
              <w:bottom w:val="single" w:sz="8" w:space="0" w:color="008DA8"/>
              <w:right w:val="nil"/>
            </w:tcBorders>
            <w:shd w:val="clear" w:color="auto" w:fill="008DA8"/>
            <w:vAlign w:val="center"/>
          </w:tcPr>
          <w:p w:rsidR="00387B59" w:rsidRPr="004B6745" w:rsidRDefault="00534E90" w:rsidP="004A27E0">
            <w:pPr>
              <w:pStyle w:val="Tablesubheading"/>
              <w:jc w:val="center"/>
            </w:pPr>
            <w:r>
              <w:t>Medium</w:t>
            </w:r>
          </w:p>
        </w:tc>
        <w:tc>
          <w:tcPr>
            <w:tcW w:w="2006" w:type="dxa"/>
            <w:tcBorders>
              <w:top w:val="single" w:sz="12" w:space="0" w:color="008DA8"/>
              <w:left w:val="nil"/>
              <w:bottom w:val="single" w:sz="8" w:space="0" w:color="008DA8"/>
              <w:right w:val="nil"/>
            </w:tcBorders>
            <w:shd w:val="clear" w:color="auto" w:fill="008DA8"/>
            <w:vAlign w:val="center"/>
          </w:tcPr>
          <w:p w:rsidR="00387B59" w:rsidRPr="004B6745" w:rsidRDefault="00534E90" w:rsidP="004A27E0">
            <w:pPr>
              <w:pStyle w:val="Tablesubheading"/>
              <w:jc w:val="center"/>
            </w:pPr>
            <w:r>
              <w:t>Low</w:t>
            </w:r>
          </w:p>
        </w:tc>
        <w:tc>
          <w:tcPr>
            <w:tcW w:w="2007" w:type="dxa"/>
            <w:tcBorders>
              <w:top w:val="single" w:sz="12" w:space="0" w:color="008DA8"/>
              <w:left w:val="nil"/>
              <w:bottom w:val="single" w:sz="8" w:space="0" w:color="008DA8"/>
            </w:tcBorders>
            <w:shd w:val="clear" w:color="auto" w:fill="008DA8"/>
            <w:vAlign w:val="center"/>
          </w:tcPr>
          <w:p w:rsidR="00387B59" w:rsidRPr="004B6745" w:rsidRDefault="00534E90" w:rsidP="004A27E0">
            <w:pPr>
              <w:pStyle w:val="Tablesubheading"/>
              <w:jc w:val="center"/>
            </w:pPr>
            <w:r>
              <w:t>None</w:t>
            </w:r>
          </w:p>
        </w:tc>
      </w:tr>
      <w:tr w:rsidR="00387B59" w:rsidRPr="004B6745" w:rsidTr="004A27E0">
        <w:trPr>
          <w:cantSplit/>
          <w:trHeight w:val="352"/>
        </w:trPr>
        <w:tc>
          <w:tcPr>
            <w:tcW w:w="2006" w:type="dxa"/>
            <w:tcBorders>
              <w:top w:val="single" w:sz="8" w:space="0" w:color="008DA8"/>
            </w:tcBorders>
          </w:tcPr>
          <w:p w:rsidR="00387B59" w:rsidRPr="00330FF2" w:rsidRDefault="008044E4" w:rsidP="004A27E0">
            <w:pPr>
              <w:pStyle w:val="Tabletext"/>
              <w:jc w:val="center"/>
            </w:pPr>
            <w:r>
              <w:t>0</w:t>
            </w:r>
          </w:p>
        </w:tc>
        <w:tc>
          <w:tcPr>
            <w:tcW w:w="2006" w:type="dxa"/>
            <w:tcBorders>
              <w:top w:val="single" w:sz="8" w:space="0" w:color="008DA8"/>
            </w:tcBorders>
          </w:tcPr>
          <w:p w:rsidR="00387B59" w:rsidRPr="00330FF2" w:rsidRDefault="00863C21" w:rsidP="004A27E0">
            <w:pPr>
              <w:pStyle w:val="Tabletext"/>
              <w:jc w:val="center"/>
            </w:pPr>
            <w:r>
              <w:t>2</w:t>
            </w:r>
          </w:p>
        </w:tc>
        <w:tc>
          <w:tcPr>
            <w:tcW w:w="2006" w:type="dxa"/>
            <w:tcBorders>
              <w:top w:val="single" w:sz="8" w:space="0" w:color="008DA8"/>
            </w:tcBorders>
          </w:tcPr>
          <w:p w:rsidR="00387B59" w:rsidRPr="00330FF2" w:rsidRDefault="005C3150" w:rsidP="004A27E0">
            <w:pPr>
              <w:pStyle w:val="Tabletext"/>
              <w:jc w:val="center"/>
            </w:pPr>
            <w:r>
              <w:t>1</w:t>
            </w:r>
          </w:p>
        </w:tc>
        <w:tc>
          <w:tcPr>
            <w:tcW w:w="2007" w:type="dxa"/>
            <w:tcBorders>
              <w:top w:val="single" w:sz="8" w:space="0" w:color="008DA8"/>
            </w:tcBorders>
          </w:tcPr>
          <w:p w:rsidR="00387B59" w:rsidRPr="00330FF2" w:rsidRDefault="008044E4" w:rsidP="004A27E0">
            <w:pPr>
              <w:pStyle w:val="Tabletext"/>
              <w:jc w:val="center"/>
            </w:pPr>
            <w:r>
              <w:t>0</w:t>
            </w:r>
          </w:p>
        </w:tc>
      </w:tr>
    </w:tbl>
    <w:p w:rsidR="00387B59" w:rsidRPr="00153E31" w:rsidRDefault="00387B59" w:rsidP="00387B59">
      <w:pPr>
        <w:pStyle w:val="BodyText"/>
      </w:pPr>
    </w:p>
    <w:p w:rsidR="00387B59" w:rsidRDefault="00387B59" w:rsidP="00387B59">
      <w:pPr>
        <w:pStyle w:val="Heading4"/>
      </w:pPr>
      <w:r>
        <w:t>Responses</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1800"/>
        <w:gridCol w:w="1440"/>
        <w:gridCol w:w="4785"/>
      </w:tblGrid>
      <w:tr w:rsidR="00387B59" w:rsidRPr="00153E31" w:rsidTr="006D5FDE">
        <w:trPr>
          <w:trHeight w:hRule="exact" w:val="397"/>
          <w:tblHeader/>
        </w:trPr>
        <w:tc>
          <w:tcPr>
            <w:tcW w:w="1800" w:type="dxa"/>
            <w:tcBorders>
              <w:top w:val="single" w:sz="12" w:space="0" w:color="008DA8"/>
              <w:bottom w:val="single" w:sz="8" w:space="0" w:color="008DA8"/>
              <w:right w:val="nil"/>
            </w:tcBorders>
            <w:shd w:val="clear" w:color="auto" w:fill="008DA8"/>
            <w:vAlign w:val="center"/>
          </w:tcPr>
          <w:p w:rsidR="00387B59" w:rsidRPr="00153E31" w:rsidRDefault="00387B59" w:rsidP="004A27E0">
            <w:pPr>
              <w:pStyle w:val="Tablesubheading"/>
            </w:pPr>
            <w:r w:rsidRPr="00153E31">
              <w:t>Respondent</w:t>
            </w:r>
          </w:p>
        </w:tc>
        <w:tc>
          <w:tcPr>
            <w:tcW w:w="1440" w:type="dxa"/>
            <w:tcBorders>
              <w:top w:val="single" w:sz="12" w:space="0" w:color="008DA8"/>
              <w:left w:val="nil"/>
              <w:bottom w:val="single" w:sz="8" w:space="0" w:color="008DA8"/>
              <w:right w:val="nil"/>
            </w:tcBorders>
            <w:shd w:val="clear" w:color="auto" w:fill="008DA8"/>
            <w:vAlign w:val="center"/>
          </w:tcPr>
          <w:p w:rsidR="00387B59" w:rsidRPr="00153E31" w:rsidRDefault="00387B59" w:rsidP="004A27E0">
            <w:pPr>
              <w:pStyle w:val="Tablesubheading"/>
            </w:pPr>
            <w:r w:rsidRPr="00153E31">
              <w:t>Response</w:t>
            </w:r>
          </w:p>
        </w:tc>
        <w:tc>
          <w:tcPr>
            <w:tcW w:w="4785" w:type="dxa"/>
            <w:tcBorders>
              <w:top w:val="single" w:sz="12" w:space="0" w:color="008DA8"/>
              <w:left w:val="nil"/>
              <w:bottom w:val="single" w:sz="8" w:space="0" w:color="008DA8"/>
            </w:tcBorders>
            <w:shd w:val="clear" w:color="auto" w:fill="008DA8"/>
            <w:vAlign w:val="center"/>
          </w:tcPr>
          <w:p w:rsidR="00387B59" w:rsidRPr="00153E31" w:rsidRDefault="00387B59" w:rsidP="004A27E0">
            <w:pPr>
              <w:pStyle w:val="Tablesubheading"/>
            </w:pPr>
            <w:r w:rsidRPr="00153E31">
              <w:t>Rationale</w:t>
            </w:r>
          </w:p>
        </w:tc>
      </w:tr>
      <w:tr w:rsidR="008839BC" w:rsidRPr="004850FA" w:rsidTr="006D5FDE">
        <w:trPr>
          <w:trHeight w:val="160"/>
        </w:trPr>
        <w:tc>
          <w:tcPr>
            <w:tcW w:w="1800" w:type="dxa"/>
            <w:tcBorders>
              <w:top w:val="single" w:sz="8" w:space="0" w:color="008DA8"/>
            </w:tcBorders>
          </w:tcPr>
          <w:p w:rsidR="008839BC" w:rsidRPr="00330FF2" w:rsidRDefault="008839BC" w:rsidP="008839BC">
            <w:pPr>
              <w:pStyle w:val="Tabletext"/>
            </w:pPr>
            <w:proofErr w:type="spellStart"/>
            <w:r>
              <w:t>ScottishPower</w:t>
            </w:r>
            <w:proofErr w:type="spellEnd"/>
          </w:p>
        </w:tc>
        <w:tc>
          <w:tcPr>
            <w:tcW w:w="1440" w:type="dxa"/>
            <w:tcBorders>
              <w:top w:val="single" w:sz="8" w:space="0" w:color="008DA8"/>
            </w:tcBorders>
          </w:tcPr>
          <w:p w:rsidR="008839BC" w:rsidRPr="00330FF2" w:rsidRDefault="008044E4" w:rsidP="008839BC">
            <w:pPr>
              <w:pStyle w:val="Tabletext"/>
            </w:pPr>
            <w:r>
              <w:t>Medium</w:t>
            </w:r>
          </w:p>
        </w:tc>
        <w:tc>
          <w:tcPr>
            <w:tcW w:w="4785" w:type="dxa"/>
            <w:tcBorders>
              <w:top w:val="single" w:sz="8" w:space="0" w:color="008DA8"/>
            </w:tcBorders>
          </w:tcPr>
          <w:p w:rsidR="008839BC" w:rsidRPr="00330FF2" w:rsidRDefault="008044E4" w:rsidP="008044E4">
            <w:pPr>
              <w:pStyle w:val="BodyText"/>
            </w:pPr>
            <w:r w:rsidRPr="00E11332">
              <w:t xml:space="preserve">There could be a time implication should this CP be approved and requiring a director </w:t>
            </w:r>
            <w:r>
              <w:t>sign off.</w:t>
            </w:r>
          </w:p>
        </w:tc>
      </w:tr>
      <w:tr w:rsidR="008839BC" w:rsidRPr="004B6745" w:rsidTr="006D5FDE">
        <w:trPr>
          <w:trHeight w:val="353"/>
        </w:trPr>
        <w:tc>
          <w:tcPr>
            <w:tcW w:w="1800" w:type="dxa"/>
          </w:tcPr>
          <w:p w:rsidR="008839BC" w:rsidRPr="00330FF2" w:rsidRDefault="008839BC" w:rsidP="008839BC">
            <w:pPr>
              <w:pStyle w:val="Tabletext"/>
            </w:pPr>
            <w:r>
              <w:t>OVO Energy</w:t>
            </w:r>
          </w:p>
        </w:tc>
        <w:tc>
          <w:tcPr>
            <w:tcW w:w="1440" w:type="dxa"/>
          </w:tcPr>
          <w:p w:rsidR="008839BC" w:rsidRPr="00330FF2" w:rsidRDefault="00863C21" w:rsidP="008839BC">
            <w:pPr>
              <w:pStyle w:val="Tabletext"/>
            </w:pPr>
            <w:r>
              <w:t>Medium</w:t>
            </w:r>
          </w:p>
        </w:tc>
        <w:tc>
          <w:tcPr>
            <w:tcW w:w="4785" w:type="dxa"/>
          </w:tcPr>
          <w:p w:rsidR="008839BC" w:rsidRPr="00330FF2" w:rsidRDefault="00863C21" w:rsidP="00863C21">
            <w:pPr>
              <w:pStyle w:val="BodyText"/>
            </w:pPr>
            <w:r>
              <w:t>Obtaining buy-in from a Company Director could prove difficult due to the scope of their roles. The care and attention that is due to the EFR plan may be of too granular a level for a Company Director.</w:t>
            </w:r>
          </w:p>
        </w:tc>
      </w:tr>
      <w:tr w:rsidR="008839BC" w:rsidRPr="004B6745" w:rsidTr="006D5FDE">
        <w:trPr>
          <w:trHeight w:val="352"/>
        </w:trPr>
        <w:tc>
          <w:tcPr>
            <w:tcW w:w="1800" w:type="dxa"/>
          </w:tcPr>
          <w:p w:rsidR="008839BC" w:rsidRPr="00330FF2" w:rsidRDefault="005C3150" w:rsidP="008839BC">
            <w:pPr>
              <w:pStyle w:val="Tabletext"/>
            </w:pPr>
            <w:r>
              <w:t>E.ON/Npower</w:t>
            </w:r>
          </w:p>
        </w:tc>
        <w:tc>
          <w:tcPr>
            <w:tcW w:w="1440" w:type="dxa"/>
          </w:tcPr>
          <w:p w:rsidR="008839BC" w:rsidRPr="00330FF2" w:rsidRDefault="005C3150" w:rsidP="008839BC">
            <w:pPr>
              <w:pStyle w:val="Tabletext"/>
            </w:pPr>
            <w:r>
              <w:t>Low</w:t>
            </w:r>
          </w:p>
        </w:tc>
        <w:tc>
          <w:tcPr>
            <w:tcW w:w="4785" w:type="dxa"/>
          </w:tcPr>
          <w:p w:rsidR="008839BC" w:rsidRPr="00330FF2" w:rsidRDefault="005C3150" w:rsidP="005C3150">
            <w:pPr>
              <w:pStyle w:val="BodyText"/>
            </w:pPr>
            <w:r w:rsidRPr="005C3150">
              <w:t>This CP would introduce higher impacts because our organisation is both a BSC party &amp; BSC party agents, therefore the only common approach of managing EFR milestone re-planning (due to variations as described in response to Question 1) would be to gain board level sign off for all EFR milestone re-plans.</w:t>
            </w:r>
          </w:p>
        </w:tc>
      </w:tr>
    </w:tbl>
    <w:p w:rsidR="00387B59" w:rsidRPr="00330FF2" w:rsidRDefault="00387B59" w:rsidP="00387B59">
      <w:pPr>
        <w:pStyle w:val="Heading8"/>
      </w:pPr>
      <w:r w:rsidRPr="00330FF2">
        <w:lastRenderedPageBreak/>
        <w:t xml:space="preserve">Question </w:t>
      </w:r>
      <w:r>
        <w:t>4</w:t>
      </w:r>
      <w:r w:rsidRPr="00330FF2">
        <w:t xml:space="preserve">: </w:t>
      </w:r>
      <w:r>
        <w:t>Will your organisation incur any costs in implementing CP</w:t>
      </w:r>
      <w:r w:rsidR="008044E4">
        <w:t>1544</w:t>
      </w:r>
      <w:r>
        <w:t>?</w:t>
      </w:r>
    </w:p>
    <w:p w:rsidR="00387B59" w:rsidRDefault="00387B59" w:rsidP="00387B59">
      <w:pPr>
        <w:pStyle w:val="Heading4"/>
      </w:pPr>
      <w:r w:rsidRPr="000D41E2">
        <w:t xml:space="preserve">Summary </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2006"/>
        <w:gridCol w:w="2006"/>
        <w:gridCol w:w="2006"/>
        <w:gridCol w:w="2007"/>
      </w:tblGrid>
      <w:tr w:rsidR="00387B59" w:rsidRPr="004B6745" w:rsidTr="004A27E0">
        <w:trPr>
          <w:cantSplit/>
          <w:trHeight w:hRule="exact" w:val="494"/>
          <w:tblHeader/>
        </w:trPr>
        <w:tc>
          <w:tcPr>
            <w:tcW w:w="2006" w:type="dxa"/>
            <w:tcBorders>
              <w:top w:val="single" w:sz="12" w:space="0" w:color="008DA8"/>
              <w:bottom w:val="single" w:sz="8" w:space="0" w:color="008DA8"/>
              <w:right w:val="nil"/>
            </w:tcBorders>
            <w:shd w:val="clear" w:color="auto" w:fill="008DA8"/>
            <w:vAlign w:val="center"/>
          </w:tcPr>
          <w:p w:rsidR="00387B59" w:rsidRPr="004B6745" w:rsidRDefault="00534E90" w:rsidP="004A27E0">
            <w:pPr>
              <w:pStyle w:val="Tablesubheading"/>
              <w:jc w:val="center"/>
            </w:pPr>
            <w:r>
              <w:t>High</w:t>
            </w:r>
          </w:p>
        </w:tc>
        <w:tc>
          <w:tcPr>
            <w:tcW w:w="2006" w:type="dxa"/>
            <w:tcBorders>
              <w:top w:val="single" w:sz="12" w:space="0" w:color="008DA8"/>
              <w:left w:val="nil"/>
              <w:bottom w:val="single" w:sz="8" w:space="0" w:color="008DA8"/>
              <w:right w:val="nil"/>
            </w:tcBorders>
            <w:shd w:val="clear" w:color="auto" w:fill="008DA8"/>
            <w:vAlign w:val="center"/>
          </w:tcPr>
          <w:p w:rsidR="00387B59" w:rsidRPr="004B6745" w:rsidRDefault="00534E90" w:rsidP="004A27E0">
            <w:pPr>
              <w:pStyle w:val="Tablesubheading"/>
              <w:jc w:val="center"/>
            </w:pPr>
            <w:r>
              <w:t>Medium</w:t>
            </w:r>
          </w:p>
        </w:tc>
        <w:tc>
          <w:tcPr>
            <w:tcW w:w="2006" w:type="dxa"/>
            <w:tcBorders>
              <w:top w:val="single" w:sz="12" w:space="0" w:color="008DA8"/>
              <w:left w:val="nil"/>
              <w:bottom w:val="single" w:sz="8" w:space="0" w:color="008DA8"/>
              <w:right w:val="nil"/>
            </w:tcBorders>
            <w:shd w:val="clear" w:color="auto" w:fill="008DA8"/>
            <w:vAlign w:val="center"/>
          </w:tcPr>
          <w:p w:rsidR="00387B59" w:rsidRPr="004B6745" w:rsidRDefault="00534E90" w:rsidP="004A27E0">
            <w:pPr>
              <w:pStyle w:val="Tablesubheading"/>
              <w:jc w:val="center"/>
            </w:pPr>
            <w:r>
              <w:t>Low</w:t>
            </w:r>
          </w:p>
        </w:tc>
        <w:tc>
          <w:tcPr>
            <w:tcW w:w="2007" w:type="dxa"/>
            <w:tcBorders>
              <w:top w:val="single" w:sz="12" w:space="0" w:color="008DA8"/>
              <w:left w:val="nil"/>
              <w:bottom w:val="single" w:sz="8" w:space="0" w:color="008DA8"/>
            </w:tcBorders>
            <w:shd w:val="clear" w:color="auto" w:fill="008DA8"/>
            <w:vAlign w:val="center"/>
          </w:tcPr>
          <w:p w:rsidR="00387B59" w:rsidRPr="004B6745" w:rsidRDefault="00534E90" w:rsidP="004A27E0">
            <w:pPr>
              <w:pStyle w:val="Tablesubheading"/>
              <w:jc w:val="center"/>
            </w:pPr>
            <w:r>
              <w:t>None</w:t>
            </w:r>
          </w:p>
        </w:tc>
      </w:tr>
      <w:tr w:rsidR="00387B59" w:rsidRPr="004B6745" w:rsidTr="004A27E0">
        <w:trPr>
          <w:cantSplit/>
          <w:trHeight w:val="352"/>
        </w:trPr>
        <w:tc>
          <w:tcPr>
            <w:tcW w:w="2006" w:type="dxa"/>
            <w:tcBorders>
              <w:top w:val="single" w:sz="8" w:space="0" w:color="008DA8"/>
            </w:tcBorders>
          </w:tcPr>
          <w:p w:rsidR="00387B59" w:rsidRPr="00330FF2" w:rsidRDefault="008044E4" w:rsidP="004A27E0">
            <w:pPr>
              <w:pStyle w:val="Tabletext"/>
              <w:jc w:val="center"/>
            </w:pPr>
            <w:r>
              <w:t>0</w:t>
            </w:r>
          </w:p>
        </w:tc>
        <w:tc>
          <w:tcPr>
            <w:tcW w:w="2006" w:type="dxa"/>
            <w:tcBorders>
              <w:top w:val="single" w:sz="8" w:space="0" w:color="008DA8"/>
            </w:tcBorders>
          </w:tcPr>
          <w:p w:rsidR="00387B59" w:rsidRPr="00330FF2" w:rsidRDefault="008044E4" w:rsidP="004A27E0">
            <w:pPr>
              <w:pStyle w:val="Tabletext"/>
              <w:jc w:val="center"/>
            </w:pPr>
            <w:r>
              <w:t>0</w:t>
            </w:r>
          </w:p>
        </w:tc>
        <w:tc>
          <w:tcPr>
            <w:tcW w:w="2006" w:type="dxa"/>
            <w:tcBorders>
              <w:top w:val="single" w:sz="8" w:space="0" w:color="008DA8"/>
            </w:tcBorders>
          </w:tcPr>
          <w:p w:rsidR="00387B59" w:rsidRPr="00330FF2" w:rsidRDefault="008044E4" w:rsidP="004A27E0">
            <w:pPr>
              <w:pStyle w:val="Tabletext"/>
              <w:jc w:val="center"/>
            </w:pPr>
            <w:r>
              <w:t>0</w:t>
            </w:r>
          </w:p>
        </w:tc>
        <w:tc>
          <w:tcPr>
            <w:tcW w:w="2007" w:type="dxa"/>
            <w:tcBorders>
              <w:top w:val="single" w:sz="8" w:space="0" w:color="008DA8"/>
            </w:tcBorders>
          </w:tcPr>
          <w:p w:rsidR="00387B59" w:rsidRPr="00330FF2" w:rsidRDefault="005C3150" w:rsidP="004A27E0">
            <w:pPr>
              <w:pStyle w:val="Tabletext"/>
              <w:jc w:val="center"/>
            </w:pPr>
            <w:r>
              <w:t>3</w:t>
            </w:r>
          </w:p>
        </w:tc>
      </w:tr>
    </w:tbl>
    <w:p w:rsidR="00387B59" w:rsidRPr="00153E31" w:rsidRDefault="00387B59" w:rsidP="00387B59">
      <w:pPr>
        <w:pStyle w:val="BodyText"/>
      </w:pPr>
    </w:p>
    <w:p w:rsidR="00387B59" w:rsidRDefault="00387B59" w:rsidP="00387B59">
      <w:pPr>
        <w:pStyle w:val="Heading4"/>
      </w:pPr>
      <w:r>
        <w:t>Responses</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1800"/>
        <w:gridCol w:w="1440"/>
        <w:gridCol w:w="4785"/>
      </w:tblGrid>
      <w:tr w:rsidR="00387B59" w:rsidRPr="00153E31" w:rsidTr="006D5FDE">
        <w:trPr>
          <w:trHeight w:hRule="exact" w:val="397"/>
          <w:tblHeader/>
        </w:trPr>
        <w:tc>
          <w:tcPr>
            <w:tcW w:w="1800" w:type="dxa"/>
            <w:tcBorders>
              <w:top w:val="single" w:sz="12" w:space="0" w:color="008DA8"/>
              <w:bottom w:val="single" w:sz="8" w:space="0" w:color="008DA8"/>
              <w:right w:val="nil"/>
            </w:tcBorders>
            <w:shd w:val="clear" w:color="auto" w:fill="008DA8"/>
            <w:vAlign w:val="center"/>
          </w:tcPr>
          <w:p w:rsidR="00387B59" w:rsidRPr="00153E31" w:rsidRDefault="00387B59" w:rsidP="004A27E0">
            <w:pPr>
              <w:pStyle w:val="Tablesubheading"/>
            </w:pPr>
            <w:r w:rsidRPr="00153E31">
              <w:t>Respondent</w:t>
            </w:r>
          </w:p>
        </w:tc>
        <w:tc>
          <w:tcPr>
            <w:tcW w:w="1440" w:type="dxa"/>
            <w:tcBorders>
              <w:top w:val="single" w:sz="12" w:space="0" w:color="008DA8"/>
              <w:left w:val="nil"/>
              <w:bottom w:val="single" w:sz="8" w:space="0" w:color="008DA8"/>
              <w:right w:val="nil"/>
            </w:tcBorders>
            <w:shd w:val="clear" w:color="auto" w:fill="008DA8"/>
            <w:vAlign w:val="center"/>
          </w:tcPr>
          <w:p w:rsidR="00387B59" w:rsidRPr="00153E31" w:rsidRDefault="00387B59" w:rsidP="004A27E0">
            <w:pPr>
              <w:pStyle w:val="Tablesubheading"/>
            </w:pPr>
            <w:r w:rsidRPr="00153E31">
              <w:t>Response</w:t>
            </w:r>
          </w:p>
        </w:tc>
        <w:tc>
          <w:tcPr>
            <w:tcW w:w="4785" w:type="dxa"/>
            <w:tcBorders>
              <w:top w:val="single" w:sz="12" w:space="0" w:color="008DA8"/>
              <w:left w:val="nil"/>
              <w:bottom w:val="single" w:sz="8" w:space="0" w:color="008DA8"/>
            </w:tcBorders>
            <w:shd w:val="clear" w:color="auto" w:fill="008DA8"/>
            <w:vAlign w:val="center"/>
          </w:tcPr>
          <w:p w:rsidR="00387B59" w:rsidRPr="00153E31" w:rsidRDefault="00387B59" w:rsidP="004A27E0">
            <w:pPr>
              <w:pStyle w:val="Tablesubheading"/>
            </w:pPr>
            <w:r w:rsidRPr="00153E31">
              <w:t>Rationale</w:t>
            </w:r>
          </w:p>
        </w:tc>
      </w:tr>
      <w:tr w:rsidR="008839BC" w:rsidRPr="004850FA" w:rsidTr="006D5FDE">
        <w:trPr>
          <w:trHeight w:val="160"/>
        </w:trPr>
        <w:tc>
          <w:tcPr>
            <w:tcW w:w="1800" w:type="dxa"/>
            <w:tcBorders>
              <w:top w:val="single" w:sz="8" w:space="0" w:color="008DA8"/>
            </w:tcBorders>
          </w:tcPr>
          <w:p w:rsidR="008839BC" w:rsidRPr="00330FF2" w:rsidRDefault="008839BC" w:rsidP="008839BC">
            <w:pPr>
              <w:pStyle w:val="Tabletext"/>
            </w:pPr>
            <w:proofErr w:type="spellStart"/>
            <w:r>
              <w:t>ScottishPower</w:t>
            </w:r>
            <w:proofErr w:type="spellEnd"/>
          </w:p>
        </w:tc>
        <w:tc>
          <w:tcPr>
            <w:tcW w:w="1440" w:type="dxa"/>
            <w:tcBorders>
              <w:top w:val="single" w:sz="8" w:space="0" w:color="008DA8"/>
            </w:tcBorders>
          </w:tcPr>
          <w:p w:rsidR="008839BC" w:rsidRPr="00330FF2" w:rsidRDefault="008044E4" w:rsidP="008839BC">
            <w:pPr>
              <w:pStyle w:val="Tabletext"/>
            </w:pPr>
            <w:r>
              <w:t>None</w:t>
            </w:r>
          </w:p>
        </w:tc>
        <w:tc>
          <w:tcPr>
            <w:tcW w:w="4785" w:type="dxa"/>
            <w:tcBorders>
              <w:top w:val="single" w:sz="8" w:space="0" w:color="008DA8"/>
            </w:tcBorders>
          </w:tcPr>
          <w:p w:rsidR="008839BC" w:rsidRPr="00330FF2" w:rsidRDefault="008044E4" w:rsidP="008044E4">
            <w:pPr>
              <w:pStyle w:val="BodyText"/>
            </w:pPr>
            <w:r w:rsidRPr="00A848C1">
              <w:t xml:space="preserve">No cost has been identified </w:t>
            </w:r>
            <w:r>
              <w:t>to implement this change.</w:t>
            </w:r>
          </w:p>
        </w:tc>
      </w:tr>
      <w:tr w:rsidR="008839BC" w:rsidRPr="004B6745" w:rsidTr="006D5FDE">
        <w:trPr>
          <w:trHeight w:val="353"/>
        </w:trPr>
        <w:tc>
          <w:tcPr>
            <w:tcW w:w="1800" w:type="dxa"/>
          </w:tcPr>
          <w:p w:rsidR="008839BC" w:rsidRPr="00330FF2" w:rsidRDefault="008839BC" w:rsidP="008839BC">
            <w:pPr>
              <w:pStyle w:val="Tabletext"/>
            </w:pPr>
            <w:r>
              <w:t>OVO Energy</w:t>
            </w:r>
          </w:p>
        </w:tc>
        <w:tc>
          <w:tcPr>
            <w:tcW w:w="1440" w:type="dxa"/>
          </w:tcPr>
          <w:p w:rsidR="008839BC" w:rsidRPr="00330FF2" w:rsidRDefault="00863C21" w:rsidP="008839BC">
            <w:pPr>
              <w:pStyle w:val="Tabletext"/>
            </w:pPr>
            <w:r>
              <w:t>None</w:t>
            </w:r>
          </w:p>
        </w:tc>
        <w:tc>
          <w:tcPr>
            <w:tcW w:w="4785" w:type="dxa"/>
          </w:tcPr>
          <w:p w:rsidR="008839BC" w:rsidRPr="00330FF2" w:rsidRDefault="00863C21" w:rsidP="005C3150">
            <w:pPr>
              <w:pStyle w:val="BodyText"/>
            </w:pPr>
            <w:r>
              <w:t>None.</w:t>
            </w:r>
          </w:p>
        </w:tc>
      </w:tr>
      <w:tr w:rsidR="008839BC" w:rsidRPr="004B6745" w:rsidTr="006D5FDE">
        <w:trPr>
          <w:trHeight w:val="352"/>
        </w:trPr>
        <w:tc>
          <w:tcPr>
            <w:tcW w:w="1800" w:type="dxa"/>
          </w:tcPr>
          <w:p w:rsidR="008839BC" w:rsidRPr="00330FF2" w:rsidRDefault="005C3150" w:rsidP="008839BC">
            <w:pPr>
              <w:pStyle w:val="Tabletext"/>
            </w:pPr>
            <w:r>
              <w:t>E.ON/Npower</w:t>
            </w:r>
          </w:p>
        </w:tc>
        <w:tc>
          <w:tcPr>
            <w:tcW w:w="1440" w:type="dxa"/>
          </w:tcPr>
          <w:p w:rsidR="008839BC" w:rsidRPr="00330FF2" w:rsidRDefault="005C3150" w:rsidP="008839BC">
            <w:pPr>
              <w:pStyle w:val="Tabletext"/>
            </w:pPr>
            <w:r>
              <w:t>None</w:t>
            </w:r>
          </w:p>
        </w:tc>
        <w:tc>
          <w:tcPr>
            <w:tcW w:w="4785" w:type="dxa"/>
          </w:tcPr>
          <w:p w:rsidR="008839BC" w:rsidRPr="00330FF2" w:rsidRDefault="005C3150" w:rsidP="005C3150">
            <w:pPr>
              <w:pStyle w:val="BodyText"/>
            </w:pPr>
            <w:r>
              <w:t>None.</w:t>
            </w:r>
          </w:p>
        </w:tc>
      </w:tr>
    </w:tbl>
    <w:p w:rsidR="00387B59" w:rsidRPr="00330FF2" w:rsidRDefault="00387B59" w:rsidP="00387B59">
      <w:pPr>
        <w:pStyle w:val="Heading8"/>
      </w:pPr>
      <w:r w:rsidRPr="00330FF2">
        <w:lastRenderedPageBreak/>
        <w:t xml:space="preserve">Question </w:t>
      </w:r>
      <w:r>
        <w:t>5</w:t>
      </w:r>
      <w:r w:rsidRPr="00330FF2">
        <w:t xml:space="preserve">: </w:t>
      </w:r>
      <w:r>
        <w:t>Do you agree with the proposed implementation approach for CP</w:t>
      </w:r>
      <w:r w:rsidR="008044E4">
        <w:t>1544</w:t>
      </w:r>
      <w:r>
        <w:t>?</w:t>
      </w:r>
    </w:p>
    <w:p w:rsidR="00387B59" w:rsidRDefault="00387B59" w:rsidP="00387B59">
      <w:pPr>
        <w:pStyle w:val="Heading4"/>
      </w:pPr>
      <w:r w:rsidRPr="000D41E2">
        <w:t xml:space="preserve">Summary </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2006"/>
        <w:gridCol w:w="2006"/>
        <w:gridCol w:w="2006"/>
        <w:gridCol w:w="2007"/>
      </w:tblGrid>
      <w:tr w:rsidR="00387B59" w:rsidRPr="004B6745" w:rsidTr="004A27E0">
        <w:trPr>
          <w:cantSplit/>
          <w:trHeight w:hRule="exact" w:val="494"/>
          <w:tblHeader/>
        </w:trPr>
        <w:tc>
          <w:tcPr>
            <w:tcW w:w="2006" w:type="dxa"/>
            <w:tcBorders>
              <w:top w:val="single" w:sz="12" w:space="0" w:color="008DA8"/>
              <w:bottom w:val="single" w:sz="8" w:space="0" w:color="008DA8"/>
              <w:right w:val="nil"/>
            </w:tcBorders>
            <w:shd w:val="clear" w:color="auto" w:fill="008DA8"/>
            <w:vAlign w:val="center"/>
          </w:tcPr>
          <w:p w:rsidR="00387B59" w:rsidRPr="004B6745" w:rsidRDefault="00387B59" w:rsidP="004A27E0">
            <w:pPr>
              <w:pStyle w:val="Tablesubheading"/>
              <w:jc w:val="center"/>
            </w:pPr>
            <w:r>
              <w:t>Yes</w:t>
            </w:r>
          </w:p>
        </w:tc>
        <w:tc>
          <w:tcPr>
            <w:tcW w:w="2006" w:type="dxa"/>
            <w:tcBorders>
              <w:top w:val="single" w:sz="12" w:space="0" w:color="008DA8"/>
              <w:left w:val="nil"/>
              <w:bottom w:val="single" w:sz="8" w:space="0" w:color="008DA8"/>
              <w:right w:val="nil"/>
            </w:tcBorders>
            <w:shd w:val="clear" w:color="auto" w:fill="008DA8"/>
            <w:vAlign w:val="center"/>
          </w:tcPr>
          <w:p w:rsidR="00387B59" w:rsidRPr="004B6745" w:rsidRDefault="00387B59" w:rsidP="004A27E0">
            <w:pPr>
              <w:pStyle w:val="Tablesubheading"/>
              <w:jc w:val="center"/>
            </w:pPr>
            <w:r>
              <w:t>No</w:t>
            </w:r>
          </w:p>
        </w:tc>
        <w:tc>
          <w:tcPr>
            <w:tcW w:w="2006" w:type="dxa"/>
            <w:tcBorders>
              <w:top w:val="single" w:sz="12" w:space="0" w:color="008DA8"/>
              <w:left w:val="nil"/>
              <w:bottom w:val="single" w:sz="8" w:space="0" w:color="008DA8"/>
              <w:right w:val="nil"/>
            </w:tcBorders>
            <w:shd w:val="clear" w:color="auto" w:fill="008DA8"/>
            <w:vAlign w:val="center"/>
          </w:tcPr>
          <w:p w:rsidR="00387B59" w:rsidRPr="004B6745" w:rsidRDefault="00387B59" w:rsidP="004A27E0">
            <w:pPr>
              <w:pStyle w:val="Tablesubheading"/>
              <w:jc w:val="center"/>
            </w:pPr>
            <w:r>
              <w:t>Neutral/No Comment</w:t>
            </w:r>
          </w:p>
        </w:tc>
        <w:tc>
          <w:tcPr>
            <w:tcW w:w="2007" w:type="dxa"/>
            <w:tcBorders>
              <w:top w:val="single" w:sz="12" w:space="0" w:color="008DA8"/>
              <w:left w:val="nil"/>
              <w:bottom w:val="single" w:sz="8" w:space="0" w:color="008DA8"/>
            </w:tcBorders>
            <w:shd w:val="clear" w:color="auto" w:fill="008DA8"/>
            <w:vAlign w:val="center"/>
          </w:tcPr>
          <w:p w:rsidR="00387B59" w:rsidRPr="004B6745" w:rsidRDefault="00387B59" w:rsidP="004A27E0">
            <w:pPr>
              <w:pStyle w:val="Tablesubheading"/>
              <w:jc w:val="center"/>
            </w:pPr>
            <w:r>
              <w:t>Other</w:t>
            </w:r>
          </w:p>
        </w:tc>
      </w:tr>
      <w:tr w:rsidR="00387B59" w:rsidRPr="004B6745" w:rsidTr="004A27E0">
        <w:trPr>
          <w:cantSplit/>
          <w:trHeight w:val="352"/>
        </w:trPr>
        <w:tc>
          <w:tcPr>
            <w:tcW w:w="2006" w:type="dxa"/>
            <w:tcBorders>
              <w:top w:val="single" w:sz="8" w:space="0" w:color="008DA8"/>
            </w:tcBorders>
          </w:tcPr>
          <w:p w:rsidR="00387B59" w:rsidRPr="00330FF2" w:rsidRDefault="008044E4" w:rsidP="004A27E0">
            <w:pPr>
              <w:pStyle w:val="Tabletext"/>
              <w:jc w:val="center"/>
            </w:pPr>
            <w:r>
              <w:t>1</w:t>
            </w:r>
          </w:p>
        </w:tc>
        <w:tc>
          <w:tcPr>
            <w:tcW w:w="2006" w:type="dxa"/>
            <w:tcBorders>
              <w:top w:val="single" w:sz="8" w:space="0" w:color="008DA8"/>
            </w:tcBorders>
          </w:tcPr>
          <w:p w:rsidR="00387B59" w:rsidRPr="00330FF2" w:rsidRDefault="005C3150" w:rsidP="004A27E0">
            <w:pPr>
              <w:pStyle w:val="Tabletext"/>
              <w:jc w:val="center"/>
            </w:pPr>
            <w:r>
              <w:t>2</w:t>
            </w:r>
          </w:p>
        </w:tc>
        <w:tc>
          <w:tcPr>
            <w:tcW w:w="2006" w:type="dxa"/>
            <w:tcBorders>
              <w:top w:val="single" w:sz="8" w:space="0" w:color="008DA8"/>
            </w:tcBorders>
          </w:tcPr>
          <w:p w:rsidR="00387B59" w:rsidRPr="00330FF2" w:rsidRDefault="008044E4" w:rsidP="004A27E0">
            <w:pPr>
              <w:pStyle w:val="Tabletext"/>
              <w:jc w:val="center"/>
            </w:pPr>
            <w:r>
              <w:t>0</w:t>
            </w:r>
          </w:p>
        </w:tc>
        <w:tc>
          <w:tcPr>
            <w:tcW w:w="2007" w:type="dxa"/>
            <w:tcBorders>
              <w:top w:val="single" w:sz="8" w:space="0" w:color="008DA8"/>
            </w:tcBorders>
          </w:tcPr>
          <w:p w:rsidR="00387B59" w:rsidRPr="00330FF2" w:rsidRDefault="008044E4" w:rsidP="004A27E0">
            <w:pPr>
              <w:pStyle w:val="Tabletext"/>
              <w:jc w:val="center"/>
            </w:pPr>
            <w:r>
              <w:t>0</w:t>
            </w:r>
          </w:p>
        </w:tc>
      </w:tr>
    </w:tbl>
    <w:p w:rsidR="00387B59" w:rsidRPr="00153E31" w:rsidRDefault="00387B59" w:rsidP="00387B59">
      <w:pPr>
        <w:pStyle w:val="BodyText"/>
      </w:pPr>
    </w:p>
    <w:p w:rsidR="00387B59" w:rsidRDefault="00387B59" w:rsidP="00387B59">
      <w:pPr>
        <w:pStyle w:val="Heading4"/>
      </w:pPr>
      <w:r>
        <w:t>Responses</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1800"/>
        <w:gridCol w:w="1440"/>
        <w:gridCol w:w="4785"/>
      </w:tblGrid>
      <w:tr w:rsidR="00387B59" w:rsidRPr="00153E31" w:rsidTr="006D5FDE">
        <w:trPr>
          <w:trHeight w:hRule="exact" w:val="397"/>
          <w:tblHeader/>
        </w:trPr>
        <w:tc>
          <w:tcPr>
            <w:tcW w:w="1800" w:type="dxa"/>
            <w:tcBorders>
              <w:top w:val="single" w:sz="12" w:space="0" w:color="008DA8"/>
              <w:bottom w:val="single" w:sz="8" w:space="0" w:color="008DA8"/>
              <w:right w:val="nil"/>
            </w:tcBorders>
            <w:shd w:val="clear" w:color="auto" w:fill="008DA8"/>
            <w:vAlign w:val="center"/>
          </w:tcPr>
          <w:p w:rsidR="00387B59" w:rsidRPr="00153E31" w:rsidRDefault="00387B59" w:rsidP="004A27E0">
            <w:pPr>
              <w:pStyle w:val="Tablesubheading"/>
            </w:pPr>
            <w:r w:rsidRPr="00153E31">
              <w:t>Respondent</w:t>
            </w:r>
          </w:p>
        </w:tc>
        <w:tc>
          <w:tcPr>
            <w:tcW w:w="1440" w:type="dxa"/>
            <w:tcBorders>
              <w:top w:val="single" w:sz="12" w:space="0" w:color="008DA8"/>
              <w:left w:val="nil"/>
              <w:bottom w:val="single" w:sz="8" w:space="0" w:color="008DA8"/>
              <w:right w:val="nil"/>
            </w:tcBorders>
            <w:shd w:val="clear" w:color="auto" w:fill="008DA8"/>
            <w:vAlign w:val="center"/>
          </w:tcPr>
          <w:p w:rsidR="00387B59" w:rsidRPr="00153E31" w:rsidRDefault="00387B59" w:rsidP="004A27E0">
            <w:pPr>
              <w:pStyle w:val="Tablesubheading"/>
            </w:pPr>
            <w:r w:rsidRPr="00153E31">
              <w:t>Response</w:t>
            </w:r>
          </w:p>
        </w:tc>
        <w:tc>
          <w:tcPr>
            <w:tcW w:w="4785" w:type="dxa"/>
            <w:tcBorders>
              <w:top w:val="single" w:sz="12" w:space="0" w:color="008DA8"/>
              <w:left w:val="nil"/>
              <w:bottom w:val="single" w:sz="8" w:space="0" w:color="008DA8"/>
            </w:tcBorders>
            <w:shd w:val="clear" w:color="auto" w:fill="008DA8"/>
            <w:vAlign w:val="center"/>
          </w:tcPr>
          <w:p w:rsidR="00387B59" w:rsidRPr="00153E31" w:rsidRDefault="00387B59" w:rsidP="004A27E0">
            <w:pPr>
              <w:pStyle w:val="Tablesubheading"/>
            </w:pPr>
            <w:r w:rsidRPr="00153E31">
              <w:t>Rationale</w:t>
            </w:r>
          </w:p>
        </w:tc>
      </w:tr>
      <w:tr w:rsidR="008839BC" w:rsidRPr="004850FA" w:rsidTr="006D5FDE">
        <w:trPr>
          <w:trHeight w:val="160"/>
        </w:trPr>
        <w:tc>
          <w:tcPr>
            <w:tcW w:w="1800" w:type="dxa"/>
            <w:tcBorders>
              <w:top w:val="single" w:sz="8" w:space="0" w:color="008DA8"/>
            </w:tcBorders>
          </w:tcPr>
          <w:p w:rsidR="008839BC" w:rsidRPr="00330FF2" w:rsidRDefault="008839BC" w:rsidP="008839BC">
            <w:pPr>
              <w:pStyle w:val="Tabletext"/>
            </w:pPr>
            <w:proofErr w:type="spellStart"/>
            <w:r>
              <w:t>ScottishPower</w:t>
            </w:r>
            <w:proofErr w:type="spellEnd"/>
          </w:p>
        </w:tc>
        <w:tc>
          <w:tcPr>
            <w:tcW w:w="1440" w:type="dxa"/>
            <w:tcBorders>
              <w:top w:val="single" w:sz="8" w:space="0" w:color="008DA8"/>
            </w:tcBorders>
          </w:tcPr>
          <w:p w:rsidR="008839BC" w:rsidRPr="00330FF2" w:rsidRDefault="008044E4" w:rsidP="008839BC">
            <w:pPr>
              <w:pStyle w:val="Tabletext"/>
            </w:pPr>
            <w:r>
              <w:t>Yes</w:t>
            </w:r>
          </w:p>
        </w:tc>
        <w:tc>
          <w:tcPr>
            <w:tcW w:w="4785" w:type="dxa"/>
            <w:tcBorders>
              <w:top w:val="single" w:sz="8" w:space="0" w:color="008DA8"/>
            </w:tcBorders>
          </w:tcPr>
          <w:p w:rsidR="008839BC" w:rsidRPr="008044E4" w:rsidRDefault="008044E4" w:rsidP="008044E4">
            <w:pPr>
              <w:pStyle w:val="BodyText"/>
            </w:pPr>
            <w:r>
              <w:t>We agree with the 4</w:t>
            </w:r>
            <w:r w:rsidRPr="008C25DB">
              <w:rPr>
                <w:vertAlign w:val="superscript"/>
              </w:rPr>
              <w:t>th</w:t>
            </w:r>
            <w:r>
              <w:t xml:space="preserve"> November 2021 as this is the next schedule BSC release date. </w:t>
            </w:r>
          </w:p>
        </w:tc>
      </w:tr>
      <w:tr w:rsidR="008839BC" w:rsidRPr="004B6745" w:rsidTr="006D5FDE">
        <w:trPr>
          <w:trHeight w:val="353"/>
        </w:trPr>
        <w:tc>
          <w:tcPr>
            <w:tcW w:w="1800" w:type="dxa"/>
          </w:tcPr>
          <w:p w:rsidR="008839BC" w:rsidRPr="00330FF2" w:rsidRDefault="008839BC" w:rsidP="008839BC">
            <w:pPr>
              <w:pStyle w:val="Tabletext"/>
            </w:pPr>
            <w:r>
              <w:t>OVO Energy</w:t>
            </w:r>
          </w:p>
        </w:tc>
        <w:tc>
          <w:tcPr>
            <w:tcW w:w="1440" w:type="dxa"/>
          </w:tcPr>
          <w:p w:rsidR="008839BC" w:rsidRPr="00330FF2" w:rsidRDefault="00863C21" w:rsidP="008839BC">
            <w:pPr>
              <w:pStyle w:val="Tabletext"/>
            </w:pPr>
            <w:r>
              <w:t>No</w:t>
            </w:r>
          </w:p>
        </w:tc>
        <w:tc>
          <w:tcPr>
            <w:tcW w:w="4785" w:type="dxa"/>
          </w:tcPr>
          <w:p w:rsidR="008839BC" w:rsidRPr="00330FF2" w:rsidRDefault="00863C21" w:rsidP="005C3150">
            <w:pPr>
              <w:pStyle w:val="BodyText"/>
            </w:pPr>
            <w:r>
              <w:t>None.</w:t>
            </w:r>
          </w:p>
        </w:tc>
      </w:tr>
      <w:tr w:rsidR="008839BC" w:rsidRPr="004B6745" w:rsidTr="006D5FDE">
        <w:trPr>
          <w:trHeight w:val="352"/>
        </w:trPr>
        <w:tc>
          <w:tcPr>
            <w:tcW w:w="1800" w:type="dxa"/>
          </w:tcPr>
          <w:p w:rsidR="008839BC" w:rsidRPr="00330FF2" w:rsidRDefault="005C3150" w:rsidP="008839BC">
            <w:pPr>
              <w:pStyle w:val="Tabletext"/>
            </w:pPr>
            <w:r>
              <w:t>E.ON/Npower</w:t>
            </w:r>
          </w:p>
        </w:tc>
        <w:tc>
          <w:tcPr>
            <w:tcW w:w="1440" w:type="dxa"/>
          </w:tcPr>
          <w:p w:rsidR="008839BC" w:rsidRPr="00330FF2" w:rsidRDefault="005C3150" w:rsidP="008839BC">
            <w:pPr>
              <w:pStyle w:val="Tabletext"/>
            </w:pPr>
            <w:r>
              <w:t>No</w:t>
            </w:r>
          </w:p>
        </w:tc>
        <w:tc>
          <w:tcPr>
            <w:tcW w:w="4785" w:type="dxa"/>
          </w:tcPr>
          <w:p w:rsidR="008839BC" w:rsidRPr="00330FF2" w:rsidRDefault="005C3150" w:rsidP="005C3150">
            <w:pPr>
              <w:pStyle w:val="BodyText"/>
            </w:pPr>
            <w:r>
              <w:t>We do not believe that this CP delivers the re</w:t>
            </w:r>
            <w:r w:rsidR="00197BBD">
              <w:t>quired change effectively and a</w:t>
            </w:r>
            <w:r>
              <w:t xml:space="preserve"> modification should deliver the intent behind this CP</w:t>
            </w:r>
            <w:r w:rsidR="00197BBD">
              <w:t>.</w:t>
            </w:r>
            <w:bookmarkStart w:id="0" w:name="_GoBack"/>
            <w:bookmarkEnd w:id="0"/>
          </w:p>
        </w:tc>
      </w:tr>
    </w:tbl>
    <w:p w:rsidR="00153E31" w:rsidRPr="00330FF2" w:rsidRDefault="00153E31" w:rsidP="00153E31">
      <w:pPr>
        <w:pStyle w:val="Heading8"/>
      </w:pPr>
      <w:r w:rsidRPr="00330FF2">
        <w:lastRenderedPageBreak/>
        <w:t xml:space="preserve">Question </w:t>
      </w:r>
      <w:r w:rsidR="008839BC">
        <w:t>6</w:t>
      </w:r>
      <w:r w:rsidRPr="00330FF2">
        <w:t xml:space="preserve">: </w:t>
      </w:r>
      <w:r w:rsidR="00934830">
        <w:t xml:space="preserve">Do you have any further comments on </w:t>
      </w:r>
      <w:r w:rsidR="006038A9">
        <w:t>C</w:t>
      </w:r>
      <w:r w:rsidR="00934830">
        <w:t>P</w:t>
      </w:r>
      <w:r w:rsidR="008044E4">
        <w:t>1544</w:t>
      </w:r>
      <w:r w:rsidR="00934830">
        <w:t>?</w:t>
      </w:r>
      <w:r w:rsidR="00934830" w:rsidRPr="00330FF2">
        <w:t xml:space="preserve"> </w:t>
      </w:r>
    </w:p>
    <w:p w:rsidR="00153E31" w:rsidRDefault="00153E31" w:rsidP="00153E31">
      <w:pPr>
        <w:pStyle w:val="Heading4"/>
      </w:pPr>
      <w:r w:rsidRPr="000D41E2">
        <w:t xml:space="preserve">Summary </w:t>
      </w:r>
    </w:p>
    <w:tbl>
      <w:tblPr>
        <w:tblStyle w:val="TableGrid"/>
        <w:tblW w:w="4013"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2006"/>
        <w:gridCol w:w="2007"/>
      </w:tblGrid>
      <w:tr w:rsidR="00934830" w:rsidRPr="004B6745" w:rsidTr="00ED5D6E">
        <w:trPr>
          <w:cantSplit/>
          <w:trHeight w:hRule="exact" w:val="494"/>
          <w:tblHeader/>
        </w:trPr>
        <w:tc>
          <w:tcPr>
            <w:tcW w:w="2006" w:type="dxa"/>
            <w:tcBorders>
              <w:top w:val="single" w:sz="12" w:space="0" w:color="008DA8"/>
              <w:bottom w:val="single" w:sz="8" w:space="0" w:color="008DA8"/>
              <w:right w:val="nil"/>
            </w:tcBorders>
            <w:shd w:val="clear" w:color="auto" w:fill="008DA8"/>
            <w:vAlign w:val="center"/>
          </w:tcPr>
          <w:p w:rsidR="00934830" w:rsidRPr="004B6745" w:rsidRDefault="00934830" w:rsidP="00530500">
            <w:pPr>
              <w:pStyle w:val="Tablesubheading"/>
              <w:jc w:val="center"/>
            </w:pPr>
            <w:r>
              <w:t>Yes</w:t>
            </w:r>
          </w:p>
        </w:tc>
        <w:tc>
          <w:tcPr>
            <w:tcW w:w="2007" w:type="dxa"/>
            <w:tcBorders>
              <w:top w:val="single" w:sz="12" w:space="0" w:color="008DA8"/>
              <w:left w:val="nil"/>
              <w:bottom w:val="single" w:sz="8" w:space="0" w:color="008DA8"/>
            </w:tcBorders>
            <w:shd w:val="clear" w:color="auto" w:fill="008DA8"/>
            <w:vAlign w:val="center"/>
          </w:tcPr>
          <w:p w:rsidR="00934830" w:rsidRPr="004B6745" w:rsidRDefault="00934830" w:rsidP="00530500">
            <w:pPr>
              <w:pStyle w:val="Tablesubheading"/>
              <w:jc w:val="center"/>
            </w:pPr>
            <w:r>
              <w:t>No</w:t>
            </w:r>
          </w:p>
        </w:tc>
      </w:tr>
      <w:tr w:rsidR="00934830" w:rsidRPr="004B6745" w:rsidTr="00ED5D6E">
        <w:trPr>
          <w:cantSplit/>
          <w:trHeight w:val="352"/>
        </w:trPr>
        <w:tc>
          <w:tcPr>
            <w:tcW w:w="2006" w:type="dxa"/>
            <w:tcBorders>
              <w:top w:val="single" w:sz="8" w:space="0" w:color="008DA8"/>
            </w:tcBorders>
          </w:tcPr>
          <w:p w:rsidR="00934830" w:rsidRPr="00330FF2" w:rsidRDefault="005C3150" w:rsidP="00530500">
            <w:pPr>
              <w:pStyle w:val="Tabletext"/>
              <w:jc w:val="center"/>
            </w:pPr>
            <w:r>
              <w:t>1</w:t>
            </w:r>
          </w:p>
        </w:tc>
        <w:tc>
          <w:tcPr>
            <w:tcW w:w="2007" w:type="dxa"/>
            <w:tcBorders>
              <w:top w:val="single" w:sz="8" w:space="0" w:color="008DA8"/>
            </w:tcBorders>
          </w:tcPr>
          <w:p w:rsidR="00934830" w:rsidRPr="00330FF2" w:rsidRDefault="00863C21" w:rsidP="00530500">
            <w:pPr>
              <w:pStyle w:val="Tabletext"/>
              <w:jc w:val="center"/>
            </w:pPr>
            <w:r>
              <w:t>2</w:t>
            </w:r>
          </w:p>
        </w:tc>
      </w:tr>
    </w:tbl>
    <w:p w:rsidR="00153E31" w:rsidRPr="00153E31" w:rsidRDefault="00153E31" w:rsidP="00153E31">
      <w:pPr>
        <w:pStyle w:val="BodyText"/>
      </w:pPr>
    </w:p>
    <w:p w:rsidR="00153E31" w:rsidRDefault="00153E31" w:rsidP="00153E31">
      <w:pPr>
        <w:pStyle w:val="Heading4"/>
      </w:pPr>
      <w:r>
        <w:t>Responses</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1800"/>
        <w:gridCol w:w="1440"/>
        <w:gridCol w:w="4785"/>
      </w:tblGrid>
      <w:tr w:rsidR="00153E31" w:rsidRPr="00153E31" w:rsidTr="006D5FDE">
        <w:trPr>
          <w:trHeight w:hRule="exact" w:val="397"/>
          <w:tblHeader/>
        </w:trPr>
        <w:tc>
          <w:tcPr>
            <w:tcW w:w="1800" w:type="dxa"/>
            <w:tcBorders>
              <w:top w:val="single" w:sz="12" w:space="0" w:color="008DA8"/>
              <w:bottom w:val="single" w:sz="8" w:space="0" w:color="008DA8"/>
              <w:right w:val="nil"/>
            </w:tcBorders>
            <w:shd w:val="clear" w:color="auto" w:fill="008DA8"/>
            <w:vAlign w:val="center"/>
          </w:tcPr>
          <w:p w:rsidR="00153E31" w:rsidRPr="00153E31" w:rsidRDefault="00153E31" w:rsidP="00530500">
            <w:pPr>
              <w:pStyle w:val="Tablesubheading"/>
            </w:pPr>
            <w:r w:rsidRPr="00153E31">
              <w:t>Respondent</w:t>
            </w:r>
          </w:p>
        </w:tc>
        <w:tc>
          <w:tcPr>
            <w:tcW w:w="1440" w:type="dxa"/>
            <w:tcBorders>
              <w:top w:val="single" w:sz="12" w:space="0" w:color="008DA8"/>
              <w:left w:val="nil"/>
              <w:bottom w:val="single" w:sz="8" w:space="0" w:color="008DA8"/>
              <w:right w:val="nil"/>
            </w:tcBorders>
            <w:shd w:val="clear" w:color="auto" w:fill="008DA8"/>
            <w:vAlign w:val="center"/>
          </w:tcPr>
          <w:p w:rsidR="00153E31" w:rsidRPr="00153E31" w:rsidRDefault="00153E31" w:rsidP="00530500">
            <w:pPr>
              <w:pStyle w:val="Tablesubheading"/>
            </w:pPr>
            <w:r w:rsidRPr="00153E31">
              <w:t>Response</w:t>
            </w:r>
          </w:p>
        </w:tc>
        <w:tc>
          <w:tcPr>
            <w:tcW w:w="4785" w:type="dxa"/>
            <w:tcBorders>
              <w:top w:val="single" w:sz="12" w:space="0" w:color="008DA8"/>
              <w:left w:val="nil"/>
              <w:bottom w:val="single" w:sz="8" w:space="0" w:color="008DA8"/>
            </w:tcBorders>
            <w:shd w:val="clear" w:color="auto" w:fill="008DA8"/>
            <w:vAlign w:val="center"/>
          </w:tcPr>
          <w:p w:rsidR="00153E31" w:rsidRPr="00153E31" w:rsidRDefault="00D10E55" w:rsidP="00530500">
            <w:pPr>
              <w:pStyle w:val="Tablesubheading"/>
            </w:pPr>
            <w:r>
              <w:t>Comments</w:t>
            </w:r>
          </w:p>
        </w:tc>
      </w:tr>
      <w:tr w:rsidR="008839BC" w:rsidRPr="004850FA" w:rsidTr="006D5FDE">
        <w:trPr>
          <w:trHeight w:val="160"/>
        </w:trPr>
        <w:tc>
          <w:tcPr>
            <w:tcW w:w="1800" w:type="dxa"/>
            <w:tcBorders>
              <w:top w:val="single" w:sz="8" w:space="0" w:color="008DA8"/>
            </w:tcBorders>
          </w:tcPr>
          <w:p w:rsidR="008839BC" w:rsidRPr="00330FF2" w:rsidRDefault="008839BC" w:rsidP="008839BC">
            <w:pPr>
              <w:pStyle w:val="Tabletext"/>
            </w:pPr>
            <w:proofErr w:type="spellStart"/>
            <w:r>
              <w:t>ScottishPower</w:t>
            </w:r>
            <w:proofErr w:type="spellEnd"/>
          </w:p>
        </w:tc>
        <w:tc>
          <w:tcPr>
            <w:tcW w:w="1440" w:type="dxa"/>
            <w:tcBorders>
              <w:top w:val="single" w:sz="8" w:space="0" w:color="008DA8"/>
            </w:tcBorders>
          </w:tcPr>
          <w:p w:rsidR="008839BC" w:rsidRPr="00330FF2" w:rsidRDefault="008044E4" w:rsidP="008839BC">
            <w:pPr>
              <w:pStyle w:val="Tabletext"/>
            </w:pPr>
            <w:r>
              <w:t>No</w:t>
            </w:r>
          </w:p>
        </w:tc>
        <w:tc>
          <w:tcPr>
            <w:tcW w:w="4785" w:type="dxa"/>
            <w:tcBorders>
              <w:top w:val="single" w:sz="8" w:space="0" w:color="008DA8"/>
            </w:tcBorders>
          </w:tcPr>
          <w:p w:rsidR="008839BC" w:rsidRPr="00330FF2" w:rsidRDefault="008044E4" w:rsidP="008839BC">
            <w:pPr>
              <w:pStyle w:val="Tabletext"/>
            </w:pPr>
            <w:r>
              <w:t>None.</w:t>
            </w:r>
          </w:p>
        </w:tc>
      </w:tr>
      <w:tr w:rsidR="008839BC" w:rsidRPr="004B6745" w:rsidTr="006D5FDE">
        <w:trPr>
          <w:trHeight w:val="353"/>
        </w:trPr>
        <w:tc>
          <w:tcPr>
            <w:tcW w:w="1800" w:type="dxa"/>
          </w:tcPr>
          <w:p w:rsidR="008839BC" w:rsidRPr="00330FF2" w:rsidRDefault="008839BC" w:rsidP="008839BC">
            <w:pPr>
              <w:pStyle w:val="Tabletext"/>
            </w:pPr>
            <w:r>
              <w:t>OVO Energy</w:t>
            </w:r>
          </w:p>
        </w:tc>
        <w:tc>
          <w:tcPr>
            <w:tcW w:w="1440" w:type="dxa"/>
          </w:tcPr>
          <w:p w:rsidR="008839BC" w:rsidRPr="00330FF2" w:rsidRDefault="00863C21" w:rsidP="008839BC">
            <w:pPr>
              <w:pStyle w:val="Tabletext"/>
            </w:pPr>
            <w:r>
              <w:t>No</w:t>
            </w:r>
          </w:p>
        </w:tc>
        <w:tc>
          <w:tcPr>
            <w:tcW w:w="4785" w:type="dxa"/>
          </w:tcPr>
          <w:p w:rsidR="008839BC" w:rsidRPr="00330FF2" w:rsidRDefault="00863C21" w:rsidP="008839BC">
            <w:pPr>
              <w:pStyle w:val="Tabletext"/>
            </w:pPr>
            <w:r>
              <w:t>None.</w:t>
            </w:r>
          </w:p>
        </w:tc>
      </w:tr>
      <w:tr w:rsidR="008839BC" w:rsidRPr="004B6745" w:rsidTr="006D5FDE">
        <w:trPr>
          <w:trHeight w:val="352"/>
        </w:trPr>
        <w:tc>
          <w:tcPr>
            <w:tcW w:w="1800" w:type="dxa"/>
          </w:tcPr>
          <w:p w:rsidR="008839BC" w:rsidRPr="00330FF2" w:rsidRDefault="005C3150" w:rsidP="008839BC">
            <w:pPr>
              <w:pStyle w:val="Tabletext"/>
            </w:pPr>
            <w:r>
              <w:t>E.ON/Npower</w:t>
            </w:r>
          </w:p>
        </w:tc>
        <w:tc>
          <w:tcPr>
            <w:tcW w:w="1440" w:type="dxa"/>
          </w:tcPr>
          <w:p w:rsidR="008839BC" w:rsidRPr="00330FF2" w:rsidRDefault="005C3150" w:rsidP="008839BC">
            <w:pPr>
              <w:pStyle w:val="Tabletext"/>
            </w:pPr>
            <w:r>
              <w:t>Yes</w:t>
            </w:r>
          </w:p>
        </w:tc>
        <w:tc>
          <w:tcPr>
            <w:tcW w:w="4785" w:type="dxa"/>
          </w:tcPr>
          <w:p w:rsidR="008839BC" w:rsidRPr="00330FF2" w:rsidRDefault="005C3150" w:rsidP="005C3150">
            <w:pPr>
              <w:pStyle w:val="BodyText"/>
            </w:pPr>
            <w:r>
              <w:t xml:space="preserve">We note Elexon considered but discounted introducing a new category signatory type on the basis Category A signatories would by proxy become the appropriate level of sign off through the proposed changes of this which is only true for BSC parties. The requirement to introduce a category signatory for party agents would also ensure senior levels of engagement creates a situation where requirements are different for EFR </w:t>
            </w:r>
            <w:proofErr w:type="spellStart"/>
            <w:r>
              <w:t>replans</w:t>
            </w:r>
            <w:proofErr w:type="spellEnd"/>
            <w:r>
              <w:t xml:space="preserve"> because of the type of PAP whilst also ensuring fair and equal treatment for all PAPs in such instances where EFR milestones are missed and subsequently new plans need to be submitted to the PAB.</w:t>
            </w:r>
          </w:p>
        </w:tc>
      </w:tr>
    </w:tbl>
    <w:p w:rsidR="00387B59" w:rsidRDefault="00387B59" w:rsidP="00387B59">
      <w:pPr>
        <w:pStyle w:val="BodyText"/>
      </w:pPr>
    </w:p>
    <w:p w:rsidR="00387B59" w:rsidRPr="00387B59" w:rsidRDefault="00387B59" w:rsidP="00387B59">
      <w:pPr>
        <w:pStyle w:val="BodyText"/>
      </w:pPr>
    </w:p>
    <w:p w:rsidR="00387B59" w:rsidRPr="00387B59" w:rsidRDefault="00387B59" w:rsidP="00387B59">
      <w:pPr>
        <w:pStyle w:val="BodyText"/>
      </w:pPr>
    </w:p>
    <w:sectPr w:rsidR="00387B59" w:rsidRPr="00387B59" w:rsidSect="005D3828">
      <w:headerReference w:type="default" r:id="rId8"/>
      <w:footerReference w:type="default" r:id="rId9"/>
      <w:headerReference w:type="first" r:id="rId10"/>
      <w:footerReference w:type="first" r:id="rId11"/>
      <w:pgSz w:w="11906" w:h="16838" w:code="9"/>
      <w:pgMar w:top="567" w:right="2722" w:bottom="567" w:left="1134" w:header="28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3A0" w:rsidRDefault="00E353A0">
      <w:r>
        <w:separator/>
      </w:r>
    </w:p>
  </w:endnote>
  <w:endnote w:type="continuationSeparator" w:id="0">
    <w:p w:rsidR="00E353A0" w:rsidRDefault="00E3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67" w:rsidRPr="00A234DE" w:rsidRDefault="00E21367" w:rsidP="00A234DE">
    <w:pPr>
      <w:pStyle w:val="Footer"/>
      <w:tabs>
        <w:tab w:val="clear" w:pos="4153"/>
        <w:tab w:val="clear" w:pos="8306"/>
      </w:tabs>
    </w:pPr>
    <w:r>
      <w:rPr>
        <w:noProof/>
      </w:rPr>
      <mc:AlternateContent>
        <mc:Choice Requires="wps">
          <w:drawing>
            <wp:anchor distT="0" distB="0" distL="114300" distR="114300" simplePos="0" relativeHeight="251660288" behindDoc="0" locked="1" layoutInCell="1" allowOverlap="1" wp14:anchorId="7EDE7C0F" wp14:editId="384A38B2">
              <wp:simplePos x="0" y="0"/>
              <wp:positionH relativeFrom="page">
                <wp:posOffset>6012815</wp:posOffset>
              </wp:positionH>
              <wp:positionV relativeFrom="page">
                <wp:posOffset>8950960</wp:posOffset>
              </wp:positionV>
              <wp:extent cx="1363980" cy="1355090"/>
              <wp:effectExtent l="2540" t="0" r="0" b="0"/>
              <wp:wrapNone/>
              <wp:docPr id="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E21367" w:rsidTr="00387B59">
                            <w:trPr>
                              <w:trHeight w:val="789"/>
                            </w:trPr>
                            <w:tc>
                              <w:tcPr>
                                <w:tcW w:w="2156" w:type="dxa"/>
                              </w:tcPr>
                              <w:p w:rsidR="00685964" w:rsidRDefault="00696937" w:rsidP="00387B59">
                                <w:pPr>
                                  <w:pStyle w:val="Footer"/>
                                  <w:spacing w:before="40"/>
                                </w:pPr>
                                <w:r>
                                  <w:fldChar w:fldCharType="begin"/>
                                </w:r>
                                <w:r>
                                  <w:instrText xml:space="preserve"> DOCPROPERTY  Subject  \* MERGEFORMAT </w:instrText>
                                </w:r>
                                <w:r>
                                  <w:fldChar w:fldCharType="separate"/>
                                </w:r>
                                <w:r w:rsidR="008044E4">
                                  <w:t>CP1544</w:t>
                                </w:r>
                                <w:r>
                                  <w:fldChar w:fldCharType="end"/>
                                </w:r>
                              </w:p>
                              <w:p w:rsidR="00E21367" w:rsidRPr="005A342F" w:rsidRDefault="00934241" w:rsidP="00387B59">
                                <w:pPr>
                                  <w:pStyle w:val="Footer"/>
                                  <w:spacing w:before="40"/>
                                </w:pPr>
                                <w:fldSimple w:instr=" DOCPROPERTY  Title  \* MERGEFORMAT ">
                                  <w:r w:rsidR="008044E4">
                                    <w:t>CP Consultation Responses</w:t>
                                  </w:r>
                                </w:fldSimple>
                              </w:p>
                            </w:tc>
                          </w:tr>
                          <w:tr w:rsidR="00E21367">
                            <w:trPr>
                              <w:trHeight w:val="340"/>
                            </w:trPr>
                            <w:tc>
                              <w:tcPr>
                                <w:tcW w:w="2156" w:type="dxa"/>
                                <w:vAlign w:val="center"/>
                              </w:tcPr>
                              <w:p w:rsidR="00E21367" w:rsidRPr="006C2760" w:rsidRDefault="00696937" w:rsidP="00797179">
                                <w:pPr>
                                  <w:pStyle w:val="Footer"/>
                                </w:pPr>
                                <w:r>
                                  <w:fldChar w:fldCharType="begin"/>
                                </w:r>
                                <w:r>
                                  <w:instrText xml:space="preserve"> DOCPROPERTY  Date  \* MERGEFORMAT </w:instrText>
                                </w:r>
                                <w:r>
                                  <w:fldChar w:fldCharType="separate"/>
                                </w:r>
                                <w:r w:rsidR="008044E4">
                                  <w:t>6 July 2021</w:t>
                                </w:r>
                                <w:r>
                                  <w:fldChar w:fldCharType="end"/>
                                </w:r>
                                <w:r w:rsidR="00E21367">
                                  <w:t xml:space="preserve"> </w:t>
                                </w:r>
                              </w:p>
                            </w:tc>
                          </w:tr>
                          <w:tr w:rsidR="00E21367">
                            <w:trPr>
                              <w:trHeight w:val="340"/>
                            </w:trPr>
                            <w:tc>
                              <w:tcPr>
                                <w:tcW w:w="2156" w:type="dxa"/>
                                <w:vAlign w:val="center"/>
                              </w:tcPr>
                              <w:p w:rsidR="00E21367" w:rsidRPr="006C2760" w:rsidRDefault="00E21367" w:rsidP="006C2760">
                                <w:pPr>
                                  <w:pStyle w:val="Footer"/>
                                </w:pPr>
                                <w:r w:rsidRPr="006C2760">
                                  <w:t xml:space="preserve">Version </w:t>
                                </w:r>
                                <w:r w:rsidR="00696937">
                                  <w:fldChar w:fldCharType="begin"/>
                                </w:r>
                                <w:r w:rsidR="00696937">
                                  <w:instrText xml:space="preserve"> DOCPROPERTY  Version  \* MERGEFORMAT </w:instrText>
                                </w:r>
                                <w:r w:rsidR="00696937">
                                  <w:fldChar w:fldCharType="separate"/>
                                </w:r>
                                <w:r w:rsidR="008044E4">
                                  <w:t>1.0</w:t>
                                </w:r>
                                <w:r w:rsidR="00696937">
                                  <w:fldChar w:fldCharType="end"/>
                                </w:r>
                                <w:r>
                                  <w:t xml:space="preserve"> </w:t>
                                </w:r>
                              </w:p>
                            </w:tc>
                          </w:tr>
                          <w:tr w:rsidR="00E21367">
                            <w:trPr>
                              <w:trHeight w:val="340"/>
                            </w:trPr>
                            <w:tc>
                              <w:tcPr>
                                <w:tcW w:w="2156" w:type="dxa"/>
                                <w:tcBorders>
                                  <w:bottom w:val="single" w:sz="4" w:space="0" w:color="008576"/>
                                </w:tcBorders>
                                <w:vAlign w:val="center"/>
                              </w:tcPr>
                              <w:p w:rsidR="00E21367" w:rsidRPr="006C2760" w:rsidRDefault="00E21367" w:rsidP="006C2760">
                                <w:pPr>
                                  <w:pStyle w:val="Footer"/>
                                </w:pPr>
                                <w:r w:rsidRPr="006C2760">
                                  <w:t xml:space="preserve">Page </w:t>
                                </w:r>
                                <w:r>
                                  <w:fldChar w:fldCharType="begin"/>
                                </w:r>
                                <w:r>
                                  <w:instrText xml:space="preserve"> PAGE </w:instrText>
                                </w:r>
                                <w:r>
                                  <w:fldChar w:fldCharType="separate"/>
                                </w:r>
                                <w:r w:rsidR="00696937">
                                  <w:rPr>
                                    <w:noProof/>
                                  </w:rPr>
                                  <w:t>11</w:t>
                                </w:r>
                                <w:r>
                                  <w:rPr>
                                    <w:noProof/>
                                  </w:rPr>
                                  <w:fldChar w:fldCharType="end"/>
                                </w:r>
                                <w:r w:rsidRPr="006C2760">
                                  <w:t xml:space="preserve"> of </w:t>
                                </w:r>
                                <w:r w:rsidR="00A0420E">
                                  <w:rPr>
                                    <w:noProof/>
                                  </w:rPr>
                                  <w:fldChar w:fldCharType="begin"/>
                                </w:r>
                                <w:r w:rsidR="00A0420E">
                                  <w:rPr>
                                    <w:noProof/>
                                  </w:rPr>
                                  <w:instrText xml:space="preserve"> NUMPAGES </w:instrText>
                                </w:r>
                                <w:r w:rsidR="00A0420E">
                                  <w:rPr>
                                    <w:noProof/>
                                  </w:rPr>
                                  <w:fldChar w:fldCharType="separate"/>
                                </w:r>
                                <w:r w:rsidR="00696937">
                                  <w:rPr>
                                    <w:noProof/>
                                  </w:rPr>
                                  <w:t>11</w:t>
                                </w:r>
                                <w:r w:rsidR="00A0420E">
                                  <w:rPr>
                                    <w:noProof/>
                                  </w:rPr>
                                  <w:fldChar w:fldCharType="end"/>
                                </w:r>
                              </w:p>
                            </w:tc>
                          </w:tr>
                          <w:tr w:rsidR="00E21367">
                            <w:trPr>
                              <w:trHeight w:val="340"/>
                            </w:trPr>
                            <w:tc>
                              <w:tcPr>
                                <w:tcW w:w="2156" w:type="dxa"/>
                                <w:tcBorders>
                                  <w:bottom w:val="nil"/>
                                </w:tcBorders>
                                <w:vAlign w:val="center"/>
                              </w:tcPr>
                              <w:p w:rsidR="00E21367" w:rsidRPr="006C2760" w:rsidRDefault="00E21367" w:rsidP="00534E90">
                                <w:pPr>
                                  <w:pStyle w:val="Footer"/>
                                </w:pPr>
                                <w:r w:rsidRPr="006C2760">
                                  <w:t xml:space="preserve">© </w:t>
                                </w:r>
                                <w:r w:rsidR="00534E90">
                                  <w:t xml:space="preserve">Elexon </w:t>
                                </w:r>
                                <w:r w:rsidRPr="006C2760">
                                  <w:t xml:space="preserve">Limited </w:t>
                                </w:r>
                                <w:r>
                                  <w:fldChar w:fldCharType="begin"/>
                                </w:r>
                                <w:r>
                                  <w:instrText xml:space="preserve"> DATE  \@ "yyyy"  \* MERGEFORMAT </w:instrText>
                                </w:r>
                                <w:r>
                                  <w:fldChar w:fldCharType="separate"/>
                                </w:r>
                                <w:r w:rsidR="000F42DE">
                                  <w:rPr>
                                    <w:noProof/>
                                  </w:rPr>
                                  <w:t>2021</w:t>
                                </w:r>
                                <w:r>
                                  <w:rPr>
                                    <w:noProof/>
                                  </w:rPr>
                                  <w:fldChar w:fldCharType="end"/>
                                </w:r>
                              </w:p>
                            </w:tc>
                          </w:tr>
                        </w:tbl>
                        <w:p w:rsidR="00E21367" w:rsidRPr="006C2760" w:rsidRDefault="00E21367" w:rsidP="00B62F07">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E7C0F" id="_x0000_t202" coordsize="21600,21600" o:spt="202" path="m,l,21600r21600,l21600,xe">
              <v:stroke joinstyle="miter"/>
              <v:path gradientshapeok="t" o:connecttype="rect"/>
            </v:shapetype>
            <v:shape id="Text Box 171" o:spid="_x0000_s1026" type="#_x0000_t202" style="position:absolute;margin-left:473.45pt;margin-top:704.8pt;width:107.4pt;height:10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HrrwIAAKwFAAAOAAAAZHJzL2Uyb0RvYy54bWysVG1vmzAQ/j5p/8HydwokJAFUUrUhTJO6&#10;F6ndD3DABGtge7YT6Kb9951NSdNWk6ZtfEBn7vzcPXcPd3k1dC06UqWZ4BkOLwKMKC9Fxfg+w1/u&#10;Cy/GSBvCK9IKTjP8QDW+Wr99c9nLlM5EI9qKKgQgXKe9zHBjjEx9X5cN7Yi+EJJycNZCdcTAUe39&#10;SpEe0LvWnwXB0u+FqqQSJdUavuajE68dfl3T0nyqa00NajMMtRn3Vu69s29/fUnSvSKyYeVjGeQv&#10;qugI45D0BJUTQ9BBsVdQHSuV0KI2F6XofFHXrKSOA7AJgxds7hoiqeMCzdHy1Cb9/2DLj8fPCrEq&#10;w3OMOOlgRPd0MOhGDChchbY/vdQphN1JCDQDOGDOjquWt6L8qhEXm4bwPb1WSvQNJRXU5276Z1dH&#10;HG1Bdv0HUUEicjDCAQ216mzzoB0I0GFOD6fZ2GJKm3K+nCcxuErwhfPFIkjc9HySTtel0uYdFR2y&#10;RoYVDN/Bk+OtNkAEQqcQm42LgrWtE0DLn32AwPELJIer1mfLcPP8kQTJNt7GkRfNllsvCvLcuy42&#10;kbcswtUin+ebTR7+tHnDKG1YVVFu00zaCqM/m92jykdVnNSlRcsqC2dL0mq/27QKHQlou3CPHRcU&#10;fxbmPy/DuYHLC0rhLApuZolXLOOVFxXRwktWQewFYXKTLIMoifLiOaVbxum/U0J9hpPFbDGq6bfc&#10;Ave85kbSjhnYHi3rMhyfgkhqNbjllRutIawd7bNW2PKfWgEdmwbtFGtFOsrVDLsBUKyMd6J6AO0q&#10;AcoCFcLKA6MR6jtGPayPDOtvB6IoRu17Dvq3u2Yy1GTsJoPwEq5m2GA0mhsz7qSDVGzfAPL4h3Fx&#10;Df9IzZx6n6qA0u0BVoIj8bi+7M45P7uopyW7/gUAAP//AwBQSwMEFAAGAAgAAAAhAEwUgpriAAAA&#10;DgEAAA8AAABkcnMvZG93bnJldi54bWxMj8FOwzAMhu9IvENkJG4s6ZgC7ZpOE4ITEqIrhx3TNmuj&#10;NU5psq28Pd4Jbrb+T78/55vZDexspmA9KkgWApjBxrcWOwVf1dvDM7AQNbZ68GgU/JgAm+L2JtdZ&#10;6y9YmvMudoxKMGRaQR/jmHEemt44HRZ+NEjZwU9OR1qnjreTvlC5G/hSCMmdtkgXej2al940x93J&#10;KdjusXy13x/1Z3kobVWlAt/lUan7u3m7BhbNHP9guOqTOhTkVPsTtoENCtKVTAmlYCVSCeyKJDJ5&#10;AlbTJJePAniR8/9vFL8AAAD//wMAUEsBAi0AFAAGAAgAAAAhALaDOJL+AAAA4QEAABMAAAAAAAAA&#10;AAAAAAAAAAAAAFtDb250ZW50X1R5cGVzXS54bWxQSwECLQAUAAYACAAAACEAOP0h/9YAAACUAQAA&#10;CwAAAAAAAAAAAAAAAAAvAQAAX3JlbHMvLnJlbHNQSwECLQAUAAYACAAAACEAcQxB668CAACsBQAA&#10;DgAAAAAAAAAAAAAAAAAuAgAAZHJzL2Uyb0RvYy54bWxQSwECLQAUAAYACAAAACEATBSCmuIAAAAO&#10;AQAADwAAAAAAAAAAAAAAAAAJBQAAZHJzL2Rvd25yZXYueG1sUEsFBgAAAAAEAAQA8wAAABgGAAAA&#10;AA==&#10;" filled="f" stroked="f">
              <v:textbox inset="0,0,0,0">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E21367" w:rsidTr="00387B59">
                      <w:trPr>
                        <w:trHeight w:val="789"/>
                      </w:trPr>
                      <w:tc>
                        <w:tcPr>
                          <w:tcW w:w="2156" w:type="dxa"/>
                        </w:tcPr>
                        <w:p w:rsidR="00685964" w:rsidRDefault="00696937" w:rsidP="00387B59">
                          <w:pPr>
                            <w:pStyle w:val="Footer"/>
                            <w:spacing w:before="40"/>
                          </w:pPr>
                          <w:r>
                            <w:fldChar w:fldCharType="begin"/>
                          </w:r>
                          <w:r>
                            <w:instrText xml:space="preserve"> DOCPROPERTY  Subject  \* MERGEFORMAT </w:instrText>
                          </w:r>
                          <w:r>
                            <w:fldChar w:fldCharType="separate"/>
                          </w:r>
                          <w:r w:rsidR="008044E4">
                            <w:t>CP1544</w:t>
                          </w:r>
                          <w:r>
                            <w:fldChar w:fldCharType="end"/>
                          </w:r>
                        </w:p>
                        <w:p w:rsidR="00E21367" w:rsidRPr="005A342F" w:rsidRDefault="00934241" w:rsidP="00387B59">
                          <w:pPr>
                            <w:pStyle w:val="Footer"/>
                            <w:spacing w:before="40"/>
                          </w:pPr>
                          <w:fldSimple w:instr=" DOCPROPERTY  Title  \* MERGEFORMAT ">
                            <w:r w:rsidR="008044E4">
                              <w:t>CP Consultation Responses</w:t>
                            </w:r>
                          </w:fldSimple>
                        </w:p>
                      </w:tc>
                    </w:tr>
                    <w:tr w:rsidR="00E21367">
                      <w:trPr>
                        <w:trHeight w:val="340"/>
                      </w:trPr>
                      <w:tc>
                        <w:tcPr>
                          <w:tcW w:w="2156" w:type="dxa"/>
                          <w:vAlign w:val="center"/>
                        </w:tcPr>
                        <w:p w:rsidR="00E21367" w:rsidRPr="006C2760" w:rsidRDefault="00696937" w:rsidP="00797179">
                          <w:pPr>
                            <w:pStyle w:val="Footer"/>
                          </w:pPr>
                          <w:r>
                            <w:fldChar w:fldCharType="begin"/>
                          </w:r>
                          <w:r>
                            <w:instrText xml:space="preserve"> DOCPROPERTY  Date  \* MERGEFORMAT </w:instrText>
                          </w:r>
                          <w:r>
                            <w:fldChar w:fldCharType="separate"/>
                          </w:r>
                          <w:r w:rsidR="008044E4">
                            <w:t>6 July 2021</w:t>
                          </w:r>
                          <w:r>
                            <w:fldChar w:fldCharType="end"/>
                          </w:r>
                          <w:r w:rsidR="00E21367">
                            <w:t xml:space="preserve"> </w:t>
                          </w:r>
                        </w:p>
                      </w:tc>
                    </w:tr>
                    <w:tr w:rsidR="00E21367">
                      <w:trPr>
                        <w:trHeight w:val="340"/>
                      </w:trPr>
                      <w:tc>
                        <w:tcPr>
                          <w:tcW w:w="2156" w:type="dxa"/>
                          <w:vAlign w:val="center"/>
                        </w:tcPr>
                        <w:p w:rsidR="00E21367" w:rsidRPr="006C2760" w:rsidRDefault="00E21367" w:rsidP="006C2760">
                          <w:pPr>
                            <w:pStyle w:val="Footer"/>
                          </w:pPr>
                          <w:r w:rsidRPr="006C2760">
                            <w:t xml:space="preserve">Version </w:t>
                          </w:r>
                          <w:r w:rsidR="00696937">
                            <w:fldChar w:fldCharType="begin"/>
                          </w:r>
                          <w:r w:rsidR="00696937">
                            <w:instrText xml:space="preserve"> DOCPROPERTY  Version  \* MERGEFORMAT </w:instrText>
                          </w:r>
                          <w:r w:rsidR="00696937">
                            <w:fldChar w:fldCharType="separate"/>
                          </w:r>
                          <w:r w:rsidR="008044E4">
                            <w:t>1.0</w:t>
                          </w:r>
                          <w:r w:rsidR="00696937">
                            <w:fldChar w:fldCharType="end"/>
                          </w:r>
                          <w:r>
                            <w:t xml:space="preserve"> </w:t>
                          </w:r>
                        </w:p>
                      </w:tc>
                    </w:tr>
                    <w:tr w:rsidR="00E21367">
                      <w:trPr>
                        <w:trHeight w:val="340"/>
                      </w:trPr>
                      <w:tc>
                        <w:tcPr>
                          <w:tcW w:w="2156" w:type="dxa"/>
                          <w:tcBorders>
                            <w:bottom w:val="single" w:sz="4" w:space="0" w:color="008576"/>
                          </w:tcBorders>
                          <w:vAlign w:val="center"/>
                        </w:tcPr>
                        <w:p w:rsidR="00E21367" w:rsidRPr="006C2760" w:rsidRDefault="00E21367" w:rsidP="006C2760">
                          <w:pPr>
                            <w:pStyle w:val="Footer"/>
                          </w:pPr>
                          <w:r w:rsidRPr="006C2760">
                            <w:t xml:space="preserve">Page </w:t>
                          </w:r>
                          <w:r>
                            <w:fldChar w:fldCharType="begin"/>
                          </w:r>
                          <w:r>
                            <w:instrText xml:space="preserve"> PAGE </w:instrText>
                          </w:r>
                          <w:r>
                            <w:fldChar w:fldCharType="separate"/>
                          </w:r>
                          <w:r w:rsidR="00696937">
                            <w:rPr>
                              <w:noProof/>
                            </w:rPr>
                            <w:t>11</w:t>
                          </w:r>
                          <w:r>
                            <w:rPr>
                              <w:noProof/>
                            </w:rPr>
                            <w:fldChar w:fldCharType="end"/>
                          </w:r>
                          <w:r w:rsidRPr="006C2760">
                            <w:t xml:space="preserve"> of </w:t>
                          </w:r>
                          <w:r w:rsidR="00A0420E">
                            <w:rPr>
                              <w:noProof/>
                            </w:rPr>
                            <w:fldChar w:fldCharType="begin"/>
                          </w:r>
                          <w:r w:rsidR="00A0420E">
                            <w:rPr>
                              <w:noProof/>
                            </w:rPr>
                            <w:instrText xml:space="preserve"> NUMPAGES </w:instrText>
                          </w:r>
                          <w:r w:rsidR="00A0420E">
                            <w:rPr>
                              <w:noProof/>
                            </w:rPr>
                            <w:fldChar w:fldCharType="separate"/>
                          </w:r>
                          <w:r w:rsidR="00696937">
                            <w:rPr>
                              <w:noProof/>
                            </w:rPr>
                            <w:t>11</w:t>
                          </w:r>
                          <w:r w:rsidR="00A0420E">
                            <w:rPr>
                              <w:noProof/>
                            </w:rPr>
                            <w:fldChar w:fldCharType="end"/>
                          </w:r>
                        </w:p>
                      </w:tc>
                    </w:tr>
                    <w:tr w:rsidR="00E21367">
                      <w:trPr>
                        <w:trHeight w:val="340"/>
                      </w:trPr>
                      <w:tc>
                        <w:tcPr>
                          <w:tcW w:w="2156" w:type="dxa"/>
                          <w:tcBorders>
                            <w:bottom w:val="nil"/>
                          </w:tcBorders>
                          <w:vAlign w:val="center"/>
                        </w:tcPr>
                        <w:p w:rsidR="00E21367" w:rsidRPr="006C2760" w:rsidRDefault="00E21367" w:rsidP="00534E90">
                          <w:pPr>
                            <w:pStyle w:val="Footer"/>
                          </w:pPr>
                          <w:r w:rsidRPr="006C2760">
                            <w:t xml:space="preserve">© </w:t>
                          </w:r>
                          <w:r w:rsidR="00534E90">
                            <w:t xml:space="preserve">Elexon </w:t>
                          </w:r>
                          <w:r w:rsidRPr="006C2760">
                            <w:t xml:space="preserve">Limited </w:t>
                          </w:r>
                          <w:r>
                            <w:fldChar w:fldCharType="begin"/>
                          </w:r>
                          <w:r>
                            <w:instrText xml:space="preserve"> DATE  \@ "yyyy"  \* MERGEFORMAT </w:instrText>
                          </w:r>
                          <w:r>
                            <w:fldChar w:fldCharType="separate"/>
                          </w:r>
                          <w:r w:rsidR="000F42DE">
                            <w:rPr>
                              <w:noProof/>
                            </w:rPr>
                            <w:t>2021</w:t>
                          </w:r>
                          <w:r>
                            <w:rPr>
                              <w:noProof/>
                            </w:rPr>
                            <w:fldChar w:fldCharType="end"/>
                          </w:r>
                        </w:p>
                      </w:tc>
                    </w:tr>
                  </w:tbl>
                  <w:p w:rsidR="00E21367" w:rsidRPr="006C2760" w:rsidRDefault="00E21367" w:rsidP="00B62F07">
                    <w:pPr>
                      <w:pStyle w:val="Footer"/>
                      <w:spacing w:line="240" w:lineRule="auto"/>
                      <w:rPr>
                        <w:sz w:val="2"/>
                        <w:szCs w:val="2"/>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67" w:rsidRPr="002A0E87" w:rsidRDefault="00E21367" w:rsidP="002A0E87">
    <w:pPr>
      <w:pStyle w:val="Footer"/>
      <w:tabs>
        <w:tab w:val="clear" w:pos="4153"/>
        <w:tab w:val="clear" w:pos="8306"/>
      </w:tabs>
    </w:pPr>
    <w:r>
      <w:rPr>
        <w:noProof/>
      </w:rPr>
      <mc:AlternateContent>
        <mc:Choice Requires="wps">
          <w:drawing>
            <wp:anchor distT="0" distB="0" distL="114300" distR="114300" simplePos="0" relativeHeight="251655168" behindDoc="0" locked="1" layoutInCell="1" allowOverlap="1" wp14:anchorId="4F248348" wp14:editId="46CD347A">
              <wp:simplePos x="0" y="0"/>
              <wp:positionH relativeFrom="page">
                <wp:posOffset>6012815</wp:posOffset>
              </wp:positionH>
              <wp:positionV relativeFrom="page">
                <wp:posOffset>8950960</wp:posOffset>
              </wp:positionV>
              <wp:extent cx="1363980" cy="1355090"/>
              <wp:effectExtent l="2540" t="0" r="0" b="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E21367" w:rsidTr="006038A9">
                            <w:trPr>
                              <w:trHeight w:val="789"/>
                            </w:trPr>
                            <w:tc>
                              <w:tcPr>
                                <w:tcW w:w="2156" w:type="dxa"/>
                              </w:tcPr>
                              <w:p w:rsidR="00685964" w:rsidRDefault="00696937" w:rsidP="006038A9">
                                <w:pPr>
                                  <w:pStyle w:val="Footer"/>
                                  <w:spacing w:before="40"/>
                                </w:pPr>
                                <w:r>
                                  <w:fldChar w:fldCharType="begin"/>
                                </w:r>
                                <w:r>
                                  <w:instrText xml:space="preserve"> DOCPROPERTY  Subject  \* MERGEFORMAT </w:instrText>
                                </w:r>
                                <w:r>
                                  <w:fldChar w:fldCharType="separate"/>
                                </w:r>
                                <w:r w:rsidR="008044E4">
                                  <w:t>CP1544</w:t>
                                </w:r>
                                <w:r>
                                  <w:fldChar w:fldCharType="end"/>
                                </w:r>
                              </w:p>
                              <w:p w:rsidR="00E21367" w:rsidRPr="005A342F" w:rsidRDefault="00696937" w:rsidP="006038A9">
                                <w:pPr>
                                  <w:pStyle w:val="Footer"/>
                                  <w:spacing w:before="40"/>
                                </w:pPr>
                                <w:r>
                                  <w:fldChar w:fldCharType="begin"/>
                                </w:r>
                                <w:r>
                                  <w:instrText xml:space="preserve"> DOCPROPERTY  Title  \* MERGEFORMAT </w:instrText>
                                </w:r>
                                <w:r>
                                  <w:fldChar w:fldCharType="separate"/>
                                </w:r>
                                <w:r w:rsidR="008044E4">
                                  <w:t>CP Consultation Responses</w:t>
                                </w:r>
                                <w:r>
                                  <w:fldChar w:fldCharType="end"/>
                                </w:r>
                              </w:p>
                            </w:tc>
                          </w:tr>
                          <w:tr w:rsidR="00E21367">
                            <w:trPr>
                              <w:trHeight w:val="340"/>
                            </w:trPr>
                            <w:tc>
                              <w:tcPr>
                                <w:tcW w:w="2156" w:type="dxa"/>
                                <w:vAlign w:val="center"/>
                              </w:tcPr>
                              <w:p w:rsidR="00E21367" w:rsidRPr="006C2760" w:rsidRDefault="00696937" w:rsidP="002C5B1F">
                                <w:pPr>
                                  <w:pStyle w:val="Footer"/>
                                </w:pPr>
                                <w:r>
                                  <w:fldChar w:fldCharType="begin"/>
                                </w:r>
                                <w:r>
                                  <w:instrText xml:space="preserve"> DOCPROPERTY  Date  \* MERGEFORMAT </w:instrText>
                                </w:r>
                                <w:r>
                                  <w:fldChar w:fldCharType="separate"/>
                                </w:r>
                                <w:r w:rsidR="008044E4">
                                  <w:t>6 July 2021</w:t>
                                </w:r>
                                <w:r>
                                  <w:fldChar w:fldCharType="end"/>
                                </w:r>
                              </w:p>
                            </w:tc>
                          </w:tr>
                          <w:tr w:rsidR="00E21367">
                            <w:trPr>
                              <w:trHeight w:val="340"/>
                            </w:trPr>
                            <w:tc>
                              <w:tcPr>
                                <w:tcW w:w="2156" w:type="dxa"/>
                                <w:vAlign w:val="center"/>
                              </w:tcPr>
                              <w:p w:rsidR="00E21367" w:rsidRPr="006C2760" w:rsidRDefault="00E21367" w:rsidP="006C2760">
                                <w:pPr>
                                  <w:pStyle w:val="Footer"/>
                                </w:pPr>
                                <w:r w:rsidRPr="006C2760">
                                  <w:t xml:space="preserve">Version </w:t>
                                </w:r>
                                <w:r w:rsidR="00696937">
                                  <w:fldChar w:fldCharType="begin"/>
                                </w:r>
                                <w:r w:rsidR="00696937">
                                  <w:instrText xml:space="preserve"> DOCPROPERTY  Version  \* MERGEFORMAT </w:instrText>
                                </w:r>
                                <w:r w:rsidR="00696937">
                                  <w:fldChar w:fldCharType="separate"/>
                                </w:r>
                                <w:r w:rsidR="008044E4">
                                  <w:t>1.0</w:t>
                                </w:r>
                                <w:r w:rsidR="00696937">
                                  <w:fldChar w:fldCharType="end"/>
                                </w:r>
                                <w:r>
                                  <w:t xml:space="preserve"> </w:t>
                                </w:r>
                              </w:p>
                            </w:tc>
                          </w:tr>
                          <w:tr w:rsidR="00E21367">
                            <w:trPr>
                              <w:trHeight w:val="340"/>
                            </w:trPr>
                            <w:tc>
                              <w:tcPr>
                                <w:tcW w:w="2156" w:type="dxa"/>
                                <w:tcBorders>
                                  <w:bottom w:val="single" w:sz="4" w:space="0" w:color="008576"/>
                                </w:tcBorders>
                                <w:vAlign w:val="center"/>
                              </w:tcPr>
                              <w:p w:rsidR="00E21367" w:rsidRPr="006C2760" w:rsidRDefault="00E21367" w:rsidP="006C2760">
                                <w:pPr>
                                  <w:pStyle w:val="Footer"/>
                                </w:pPr>
                                <w:r w:rsidRPr="006C2760">
                                  <w:t xml:space="preserve">Page </w:t>
                                </w:r>
                                <w:r>
                                  <w:fldChar w:fldCharType="begin"/>
                                </w:r>
                                <w:r>
                                  <w:instrText xml:space="preserve"> PAGE </w:instrText>
                                </w:r>
                                <w:r>
                                  <w:fldChar w:fldCharType="separate"/>
                                </w:r>
                                <w:r w:rsidR="00696937">
                                  <w:rPr>
                                    <w:noProof/>
                                  </w:rPr>
                                  <w:t>1</w:t>
                                </w:r>
                                <w:r>
                                  <w:rPr>
                                    <w:noProof/>
                                  </w:rPr>
                                  <w:fldChar w:fldCharType="end"/>
                                </w:r>
                                <w:r w:rsidRPr="006C2760">
                                  <w:t xml:space="preserve"> of </w:t>
                                </w:r>
                                <w:r w:rsidR="00A0420E">
                                  <w:rPr>
                                    <w:noProof/>
                                  </w:rPr>
                                  <w:fldChar w:fldCharType="begin"/>
                                </w:r>
                                <w:r w:rsidR="00A0420E">
                                  <w:rPr>
                                    <w:noProof/>
                                  </w:rPr>
                                  <w:instrText xml:space="preserve"> NUMPAGES </w:instrText>
                                </w:r>
                                <w:r w:rsidR="00A0420E">
                                  <w:rPr>
                                    <w:noProof/>
                                  </w:rPr>
                                  <w:fldChar w:fldCharType="separate"/>
                                </w:r>
                                <w:r w:rsidR="00696937">
                                  <w:rPr>
                                    <w:noProof/>
                                  </w:rPr>
                                  <w:t>11</w:t>
                                </w:r>
                                <w:r w:rsidR="00A0420E">
                                  <w:rPr>
                                    <w:noProof/>
                                  </w:rPr>
                                  <w:fldChar w:fldCharType="end"/>
                                </w:r>
                              </w:p>
                            </w:tc>
                          </w:tr>
                          <w:tr w:rsidR="00E21367">
                            <w:trPr>
                              <w:trHeight w:val="340"/>
                            </w:trPr>
                            <w:tc>
                              <w:tcPr>
                                <w:tcW w:w="2156" w:type="dxa"/>
                                <w:tcBorders>
                                  <w:bottom w:val="nil"/>
                                </w:tcBorders>
                                <w:vAlign w:val="center"/>
                              </w:tcPr>
                              <w:p w:rsidR="00E21367" w:rsidRPr="006C2760" w:rsidRDefault="00E21367" w:rsidP="00534E90">
                                <w:pPr>
                                  <w:pStyle w:val="Footer"/>
                                </w:pPr>
                                <w:r w:rsidRPr="006C2760">
                                  <w:t xml:space="preserve">© </w:t>
                                </w:r>
                                <w:r w:rsidR="00534E90">
                                  <w:t xml:space="preserve">Elexon </w:t>
                                </w:r>
                                <w:r w:rsidRPr="006C2760">
                                  <w:t xml:space="preserve">Limited </w:t>
                                </w:r>
                                <w:r>
                                  <w:fldChar w:fldCharType="begin"/>
                                </w:r>
                                <w:r>
                                  <w:instrText xml:space="preserve"> DATE  \@ "yyyy"  \* MERGEFORMAT </w:instrText>
                                </w:r>
                                <w:r>
                                  <w:fldChar w:fldCharType="separate"/>
                                </w:r>
                                <w:r w:rsidR="000F42DE">
                                  <w:rPr>
                                    <w:noProof/>
                                  </w:rPr>
                                  <w:t>2021</w:t>
                                </w:r>
                                <w:r>
                                  <w:rPr>
                                    <w:noProof/>
                                  </w:rPr>
                                  <w:fldChar w:fldCharType="end"/>
                                </w:r>
                              </w:p>
                            </w:tc>
                          </w:tr>
                        </w:tbl>
                        <w:p w:rsidR="00E21367" w:rsidRPr="006C2760" w:rsidRDefault="00E21367" w:rsidP="002A0E87">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48348" id="_x0000_t202" coordsize="21600,21600" o:spt="202" path="m,l,21600r21600,l21600,xe">
              <v:stroke joinstyle="miter"/>
              <v:path gradientshapeok="t" o:connecttype="rect"/>
            </v:shapetype>
            <v:shape id="Text Box 155" o:spid="_x0000_s1028" type="#_x0000_t202" style="position:absolute;margin-left:473.45pt;margin-top:704.8pt;width:107.4pt;height:10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lYswIAALM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hX0&#10;DiNOOmjRAx01uhUj8qPI1GfoVQpm9z0Y6hEUxtbkqvo7UX5XiIt1Q/iO3kgphoaSCuLzzUv32dMJ&#10;RxmQ7fBJVOCI7LWwQGMtOwMI5UCADn16PPXGBFMal4vlIolBVYLOX0SRl9juuSSdn/dS6Q9UdMgI&#10;GZbQfAtPDndKm3BIOpsYb1wUrG0tAVr+4gIMpxtwDk+NzoRh+/mUeMkm3sShEwbLjRN6ee7cFOvQ&#10;WRb+ZZQv8vU6938Zv36YNqyqKDduZm754Z/17sjyiRUndinRssrAmZCU3G3XrUQHAtwu7GeLDpqz&#10;mfsyDFsEyOVVSn4QerdB4hTL+NIJizBykksvdjw/uU2WXpiEefEypTvG6b+nhIYMJ1EQTWw6B/0q&#10;N89+b3Mjacc0bI+WdRmOT0YkNRzc8Mq2VhPWTvKzUpjwz6WAds+Ntow1JJ3oqsftaIcjmAdhK6pH&#10;oLAUQDAgI2w+EBohf2I0wBbJsPqxJ5Ji1H7kMAZm5cyCnIXtLBBewtMMa4wmca2n1bTvJds1gDwN&#10;Ghc3MCo1syQ2MzVFcRww2Aw2l+MWM6vn+b+1Ou/a1W8AAAD//wMAUEsDBBQABgAIAAAAIQBMFIKa&#10;4gAAAA4BAAAPAAAAZHJzL2Rvd25yZXYueG1sTI/BTsMwDIbvSLxDZCRuLOmYAu2aThOCExKiK4cd&#10;0zZrozVOabKtvD3eCW62/k+/P+eb2Q3sbKZgPSpIFgKYwca3FjsFX9XbwzOwEDW2evBoFPyYAJvi&#10;9ibXWesvWJrzLnaMSjBkWkEf45hxHpreOB0WfjRI2cFPTkdap463k75QuRv4UgjJnbZIF3o9mpfe&#10;NMfdySnY7rF8td8f9Wd5KG1VpQLf5VGp+7t5uwYWzRz/YLjqkzoU5FT7E7aBDQrSlUwJpWAlUgns&#10;iiQyeQJW0ySXjwJ4kfP/bxS/AAAA//8DAFBLAQItABQABgAIAAAAIQC2gziS/gAAAOEBAAATAAAA&#10;AAAAAAAAAAAAAAAAAABbQ29udGVudF9UeXBlc10ueG1sUEsBAi0AFAAGAAgAAAAhADj9If/WAAAA&#10;lAEAAAsAAAAAAAAAAAAAAAAALwEAAF9yZWxzLy5yZWxzUEsBAi0AFAAGAAgAAAAhAChreVizAgAA&#10;swUAAA4AAAAAAAAAAAAAAAAALgIAAGRycy9lMm9Eb2MueG1sUEsBAi0AFAAGAAgAAAAhAEwUgpri&#10;AAAADgEAAA8AAAAAAAAAAAAAAAAADQUAAGRycy9kb3ducmV2LnhtbFBLBQYAAAAABAAEAPMAAAAc&#10;BgAAAAA=&#10;" filled="f" stroked="f">
              <v:textbox inset="0,0,0,0">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E21367" w:rsidTr="006038A9">
                      <w:trPr>
                        <w:trHeight w:val="789"/>
                      </w:trPr>
                      <w:tc>
                        <w:tcPr>
                          <w:tcW w:w="2156" w:type="dxa"/>
                        </w:tcPr>
                        <w:p w:rsidR="00685964" w:rsidRDefault="00696937" w:rsidP="006038A9">
                          <w:pPr>
                            <w:pStyle w:val="Footer"/>
                            <w:spacing w:before="40"/>
                          </w:pPr>
                          <w:r>
                            <w:fldChar w:fldCharType="begin"/>
                          </w:r>
                          <w:r>
                            <w:instrText xml:space="preserve"> DOCPROPERTY  Subject  \* MERGEFORMAT </w:instrText>
                          </w:r>
                          <w:r>
                            <w:fldChar w:fldCharType="separate"/>
                          </w:r>
                          <w:r w:rsidR="008044E4">
                            <w:t>CP1544</w:t>
                          </w:r>
                          <w:r>
                            <w:fldChar w:fldCharType="end"/>
                          </w:r>
                        </w:p>
                        <w:p w:rsidR="00E21367" w:rsidRPr="005A342F" w:rsidRDefault="00696937" w:rsidP="006038A9">
                          <w:pPr>
                            <w:pStyle w:val="Footer"/>
                            <w:spacing w:before="40"/>
                          </w:pPr>
                          <w:r>
                            <w:fldChar w:fldCharType="begin"/>
                          </w:r>
                          <w:r>
                            <w:instrText xml:space="preserve"> DOCPROPERTY  Title  \* MERGEFORMAT </w:instrText>
                          </w:r>
                          <w:r>
                            <w:fldChar w:fldCharType="separate"/>
                          </w:r>
                          <w:r w:rsidR="008044E4">
                            <w:t>CP Consultation Responses</w:t>
                          </w:r>
                          <w:r>
                            <w:fldChar w:fldCharType="end"/>
                          </w:r>
                        </w:p>
                      </w:tc>
                    </w:tr>
                    <w:tr w:rsidR="00E21367">
                      <w:trPr>
                        <w:trHeight w:val="340"/>
                      </w:trPr>
                      <w:tc>
                        <w:tcPr>
                          <w:tcW w:w="2156" w:type="dxa"/>
                          <w:vAlign w:val="center"/>
                        </w:tcPr>
                        <w:p w:rsidR="00E21367" w:rsidRPr="006C2760" w:rsidRDefault="00696937" w:rsidP="002C5B1F">
                          <w:pPr>
                            <w:pStyle w:val="Footer"/>
                          </w:pPr>
                          <w:r>
                            <w:fldChar w:fldCharType="begin"/>
                          </w:r>
                          <w:r>
                            <w:instrText xml:space="preserve"> DOCPROPERTY  Date  \* MERGEFORMAT </w:instrText>
                          </w:r>
                          <w:r>
                            <w:fldChar w:fldCharType="separate"/>
                          </w:r>
                          <w:r w:rsidR="008044E4">
                            <w:t>6 July 2021</w:t>
                          </w:r>
                          <w:r>
                            <w:fldChar w:fldCharType="end"/>
                          </w:r>
                        </w:p>
                      </w:tc>
                    </w:tr>
                    <w:tr w:rsidR="00E21367">
                      <w:trPr>
                        <w:trHeight w:val="340"/>
                      </w:trPr>
                      <w:tc>
                        <w:tcPr>
                          <w:tcW w:w="2156" w:type="dxa"/>
                          <w:vAlign w:val="center"/>
                        </w:tcPr>
                        <w:p w:rsidR="00E21367" w:rsidRPr="006C2760" w:rsidRDefault="00E21367" w:rsidP="006C2760">
                          <w:pPr>
                            <w:pStyle w:val="Footer"/>
                          </w:pPr>
                          <w:r w:rsidRPr="006C2760">
                            <w:t xml:space="preserve">Version </w:t>
                          </w:r>
                          <w:r w:rsidR="00696937">
                            <w:fldChar w:fldCharType="begin"/>
                          </w:r>
                          <w:r w:rsidR="00696937">
                            <w:instrText xml:space="preserve"> DOCPROPERTY  Version  \* MERGEFORMAT </w:instrText>
                          </w:r>
                          <w:r w:rsidR="00696937">
                            <w:fldChar w:fldCharType="separate"/>
                          </w:r>
                          <w:r w:rsidR="008044E4">
                            <w:t>1.0</w:t>
                          </w:r>
                          <w:r w:rsidR="00696937">
                            <w:fldChar w:fldCharType="end"/>
                          </w:r>
                          <w:r>
                            <w:t xml:space="preserve"> </w:t>
                          </w:r>
                        </w:p>
                      </w:tc>
                    </w:tr>
                    <w:tr w:rsidR="00E21367">
                      <w:trPr>
                        <w:trHeight w:val="340"/>
                      </w:trPr>
                      <w:tc>
                        <w:tcPr>
                          <w:tcW w:w="2156" w:type="dxa"/>
                          <w:tcBorders>
                            <w:bottom w:val="single" w:sz="4" w:space="0" w:color="008576"/>
                          </w:tcBorders>
                          <w:vAlign w:val="center"/>
                        </w:tcPr>
                        <w:p w:rsidR="00E21367" w:rsidRPr="006C2760" w:rsidRDefault="00E21367" w:rsidP="006C2760">
                          <w:pPr>
                            <w:pStyle w:val="Footer"/>
                          </w:pPr>
                          <w:r w:rsidRPr="006C2760">
                            <w:t xml:space="preserve">Page </w:t>
                          </w:r>
                          <w:r>
                            <w:fldChar w:fldCharType="begin"/>
                          </w:r>
                          <w:r>
                            <w:instrText xml:space="preserve"> PAGE </w:instrText>
                          </w:r>
                          <w:r>
                            <w:fldChar w:fldCharType="separate"/>
                          </w:r>
                          <w:r w:rsidR="00696937">
                            <w:rPr>
                              <w:noProof/>
                            </w:rPr>
                            <w:t>1</w:t>
                          </w:r>
                          <w:r>
                            <w:rPr>
                              <w:noProof/>
                            </w:rPr>
                            <w:fldChar w:fldCharType="end"/>
                          </w:r>
                          <w:r w:rsidRPr="006C2760">
                            <w:t xml:space="preserve"> of </w:t>
                          </w:r>
                          <w:r w:rsidR="00A0420E">
                            <w:rPr>
                              <w:noProof/>
                            </w:rPr>
                            <w:fldChar w:fldCharType="begin"/>
                          </w:r>
                          <w:r w:rsidR="00A0420E">
                            <w:rPr>
                              <w:noProof/>
                            </w:rPr>
                            <w:instrText xml:space="preserve"> NUMPAGES </w:instrText>
                          </w:r>
                          <w:r w:rsidR="00A0420E">
                            <w:rPr>
                              <w:noProof/>
                            </w:rPr>
                            <w:fldChar w:fldCharType="separate"/>
                          </w:r>
                          <w:r w:rsidR="00696937">
                            <w:rPr>
                              <w:noProof/>
                            </w:rPr>
                            <w:t>11</w:t>
                          </w:r>
                          <w:r w:rsidR="00A0420E">
                            <w:rPr>
                              <w:noProof/>
                            </w:rPr>
                            <w:fldChar w:fldCharType="end"/>
                          </w:r>
                        </w:p>
                      </w:tc>
                    </w:tr>
                    <w:tr w:rsidR="00E21367">
                      <w:trPr>
                        <w:trHeight w:val="340"/>
                      </w:trPr>
                      <w:tc>
                        <w:tcPr>
                          <w:tcW w:w="2156" w:type="dxa"/>
                          <w:tcBorders>
                            <w:bottom w:val="nil"/>
                          </w:tcBorders>
                          <w:vAlign w:val="center"/>
                        </w:tcPr>
                        <w:p w:rsidR="00E21367" w:rsidRPr="006C2760" w:rsidRDefault="00E21367" w:rsidP="00534E90">
                          <w:pPr>
                            <w:pStyle w:val="Footer"/>
                          </w:pPr>
                          <w:r w:rsidRPr="006C2760">
                            <w:t xml:space="preserve">© </w:t>
                          </w:r>
                          <w:r w:rsidR="00534E90">
                            <w:t xml:space="preserve">Elexon </w:t>
                          </w:r>
                          <w:r w:rsidRPr="006C2760">
                            <w:t xml:space="preserve">Limited </w:t>
                          </w:r>
                          <w:r>
                            <w:fldChar w:fldCharType="begin"/>
                          </w:r>
                          <w:r>
                            <w:instrText xml:space="preserve"> DATE  \@ "yyyy"  \* MERGEFORMAT </w:instrText>
                          </w:r>
                          <w:r>
                            <w:fldChar w:fldCharType="separate"/>
                          </w:r>
                          <w:r w:rsidR="000F42DE">
                            <w:rPr>
                              <w:noProof/>
                            </w:rPr>
                            <w:t>2021</w:t>
                          </w:r>
                          <w:r>
                            <w:rPr>
                              <w:noProof/>
                            </w:rPr>
                            <w:fldChar w:fldCharType="end"/>
                          </w:r>
                        </w:p>
                      </w:tc>
                    </w:tr>
                  </w:tbl>
                  <w:p w:rsidR="00E21367" w:rsidRPr="006C2760" w:rsidRDefault="00E21367" w:rsidP="002A0E87">
                    <w:pPr>
                      <w:pStyle w:val="Footer"/>
                      <w:spacing w:line="240" w:lineRule="auto"/>
                      <w:rPr>
                        <w:sz w:val="2"/>
                        <w:szCs w:val="2"/>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3A0" w:rsidRDefault="00E353A0">
      <w:r>
        <w:separator/>
      </w:r>
    </w:p>
  </w:footnote>
  <w:footnote w:type="continuationSeparator" w:id="0">
    <w:p w:rsidR="00E353A0" w:rsidRDefault="00E35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67" w:rsidRPr="00485CBA" w:rsidRDefault="00E21367" w:rsidP="00485CBA">
    <w:pPr>
      <w:pStyle w:val="Header"/>
      <w:tabs>
        <w:tab w:val="clear" w:pos="4153"/>
        <w:tab w:val="clear" w:pos="8306"/>
        <w:tab w:val="left" w:pos="66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28" w:rsidRDefault="005D3828" w:rsidP="00B906F3">
    <w:pPr>
      <w:pStyle w:val="BodyText"/>
    </w:pPr>
    <w:r>
      <w:rPr>
        <w:noProof/>
      </w:rPr>
      <mc:AlternateContent>
        <mc:Choice Requires="wps">
          <w:drawing>
            <wp:anchor distT="0" distB="0" distL="114300" distR="114300" simplePos="0" relativeHeight="251662336" behindDoc="0" locked="0" layoutInCell="1" allowOverlap="1" wp14:anchorId="126DD810" wp14:editId="1B0697A9">
              <wp:simplePos x="0" y="0"/>
              <wp:positionH relativeFrom="column">
                <wp:posOffset>-453390</wp:posOffset>
              </wp:positionH>
              <wp:positionV relativeFrom="paragraph">
                <wp:posOffset>65405</wp:posOffset>
              </wp:positionV>
              <wp:extent cx="7075805" cy="807720"/>
              <wp:effectExtent l="0" t="0" r="0" b="0"/>
              <wp:wrapNone/>
              <wp:docPr id="28" name="Round Diagonal Corner Rectangle 28"/>
              <wp:cNvGraphicFramePr/>
              <a:graphic xmlns:a="http://schemas.openxmlformats.org/drawingml/2006/main">
                <a:graphicData uri="http://schemas.microsoft.com/office/word/2010/wordprocessingShape">
                  <wps:wsp>
                    <wps:cNvSpPr/>
                    <wps:spPr>
                      <a:xfrm flipH="1">
                        <a:off x="0" y="0"/>
                        <a:ext cx="7075805" cy="807720"/>
                      </a:xfrm>
                      <a:prstGeom prst="round2DiagRect">
                        <a:avLst>
                          <a:gd name="adj1" fmla="val 41431"/>
                          <a:gd name="adj2" fmla="val 0"/>
                        </a:avLst>
                      </a:prstGeom>
                      <a:solidFill>
                        <a:srgbClr val="008DA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06F3" w:rsidRPr="00ED5D6E" w:rsidRDefault="00B906F3" w:rsidP="00B906F3">
                          <w:pPr>
                            <w:spacing w:line="240" w:lineRule="auto"/>
                            <w:rPr>
                              <w:sz w:val="48"/>
                              <w:szCs w:val="48"/>
                            </w:rPr>
                          </w:pPr>
                          <w:r w:rsidRPr="00ED5D6E">
                            <w:rPr>
                              <w:sz w:val="48"/>
                              <w:szCs w:val="48"/>
                            </w:rPr>
                            <w:t>CP Consultation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D810" id="Round Diagonal Corner Rectangle 28" o:spid="_x0000_s1027" style="position:absolute;margin-left:-35.7pt;margin-top:5.15pt;width:557.15pt;height:6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5805,807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ex5QIAABoGAAAOAAAAZHJzL2Uyb0RvYy54bWysVEtvGjEQvlfqf7B8b3bZQqEoS4RAaStF&#10;SZSkytl4bXDl9bi2YaG/PmPvI7TNqSoHY+/MfDPzzePy6lhrchDOKzAlHV3klAjDoVJmW9LvT9cf&#10;ZpT4wEzFNBhR0pPw9Grx/t1lY+eigB3oSjiCIMbPG1vSXQh2nmWe70TN/AVYYVAowdUs4NNts8qx&#10;BtFrnRV5/ilrwFXWARfe49d1K6SLhC+l4OFOSi8C0SXF2EI6XTo38cwWl2y+dczuFO/CYP8QRc2U&#10;QacD1JoFRvZO/QVVK+7AgwwXHOoMpFRcpBwwm1H+RzaPO2ZFygXJ8Xagyf8/WH57uHdEVSUtsFKG&#10;1VijB9ibiqwV24JhmqzAGazRA3LJzFYLgppIW2P9HK0f7b3rXh6vkYOjdDWRWtmv2BGJFcyTHBPp&#10;p4F0cQyE48dpPp3M8gklHGWzfDotUlWyFifiWefDFwE1iZeSuhheEcOLISV8drjxIdFfdTmw6seI&#10;EllrrOYBkxiPxh9HXbXPdIpznd5vh4YR9J4jtAetqmuldXq47WalHUFoTCifrZeJEzT5TU0b0iAH&#10;xTTPU5wGIgDShYra4F8ksaUt3cJJiwivzYOQWBWkp0iGaR7E4JFxLkxoufU7Vok2kEmOv5hkjCNO&#10;ULTonCFgRJbof8DuAHrNFqTHbmE6/Wgq0jgNxm1Gg5u3jAeL5BlMGIxrZcC9lZnGrDrPrX5PUktN&#10;ZCkcN8fUsUkzftlAdcIudtCOt7f8WmGr3DAf7pnDDsDJxx0V7vCQGrAk0N0o2YH79db3qI9jhlJK&#10;GtwPJfU/98wJSvQ3gwP4eTQex4WSHuNJ7FriziWbc4nZ1yvAVsGexOjSNeoH3V+lg/oZV9kyekUR&#10;Mxx9l5QH1z9Wod1buAy5WC6TGi4Ry8KNebS8n7XYs0/HZ+ZsNy8BJ+0W+l3C5qm9W45fdWOFDCz3&#10;AaQKUfjKa/fABZRaqVuWccOdv5PW60pfvAAAAP//AwBQSwMEFAAGAAgAAAAhAA4LT9zfAAAACwEA&#10;AA8AAABkcnMvZG93bnJldi54bWxMj8FuwjAMhu+T9g6RJ+0GCQFW6JqibhLnCTZpHEPjNdWapGoC&#10;dHv6mdO42fo//f5cbEbXsTMOsQ1ewWwqgKGvg2l9o+DjfTtZAYtJe6O74FHBD0bYlPd3hc5NuPgd&#10;nvepYVTiY64V2JT6nPNYW3Q6TkOPnrKvMDidaB0abgZ9oXLXcSnEE3e69XTB6h5fLdbf+5NTsA1v&#10;h+Uq2k9RvaDcZZXk469U6vFhrJ6BJRzTPwxXfVKHkpyO4eRNZJ2CSTZbEEqBmAO7AmIh18CONM2z&#10;JfCy4Lc/lH8AAAD//wMAUEsBAi0AFAAGAAgAAAAhALaDOJL+AAAA4QEAABMAAAAAAAAAAAAAAAAA&#10;AAAAAFtDb250ZW50X1R5cGVzXS54bWxQSwECLQAUAAYACAAAACEAOP0h/9YAAACUAQAACwAAAAAA&#10;AAAAAAAAAAAvAQAAX3JlbHMvLnJlbHNQSwECLQAUAAYACAAAACEAMt13seUCAAAaBgAADgAAAAAA&#10;AAAAAAAAAAAuAgAAZHJzL2Uyb0RvYy54bWxQSwECLQAUAAYACAAAACEADgtP3N8AAAALAQAADwAA&#10;AAAAAAAAAAAAAAA/BQAAZHJzL2Rvd25yZXYueG1sUEsFBgAAAAAEAAQA8wAAAEsGAAAAAA==&#10;" adj="-11796480,,5400" path="m334646,l7075805,r,l7075805,473074v,184820,-149826,334646,-334646,334646l,807720r,l,334646c,149826,149826,,334646,xe" fillcolor="#008da8" stroked="f" strokeweight="1pt">
              <v:stroke joinstyle="miter"/>
              <v:formulas/>
              <v:path arrowok="t" o:connecttype="custom" o:connectlocs="334646,0;7075805,0;7075805,0;7075805,473074;6741159,807720;0,807720;0,807720;0,334646;334646,0" o:connectangles="0,0,0,0,0,0,0,0,0" textboxrect="0,0,7075805,807720"/>
              <v:textbox>
                <w:txbxContent>
                  <w:p w:rsidR="00B906F3" w:rsidRPr="00ED5D6E" w:rsidRDefault="00B906F3" w:rsidP="00B906F3">
                    <w:pPr>
                      <w:spacing w:line="240" w:lineRule="auto"/>
                      <w:rPr>
                        <w:sz w:val="48"/>
                        <w:szCs w:val="48"/>
                      </w:rPr>
                    </w:pPr>
                    <w:r w:rsidRPr="00ED5D6E">
                      <w:rPr>
                        <w:sz w:val="48"/>
                        <w:szCs w:val="48"/>
                      </w:rPr>
                      <w:t>CP Consultation Responses</w:t>
                    </w:r>
                  </w:p>
                </w:txbxContent>
              </v:textbox>
            </v:shape>
          </w:pict>
        </mc:Fallback>
      </mc:AlternateContent>
    </w:r>
  </w:p>
  <w:p w:rsidR="00B906F3" w:rsidRDefault="00B906F3" w:rsidP="00B906F3">
    <w:pPr>
      <w:pStyle w:val="BodyText"/>
    </w:pPr>
  </w:p>
  <w:p w:rsidR="00E21367" w:rsidRPr="00CB2820" w:rsidRDefault="006D5FDE" w:rsidP="00B906F3">
    <w:pPr>
      <w:pStyle w:val="BodyText"/>
    </w:pPr>
    <w:r>
      <w:rPr>
        <w:noProof/>
      </w:rPr>
      <w:drawing>
        <wp:anchor distT="0" distB="0" distL="114300" distR="114300" simplePos="0" relativeHeight="251664384" behindDoc="0" locked="0" layoutInCell="1" allowOverlap="1" wp14:anchorId="66F4EA8F" wp14:editId="5CD76AAE">
          <wp:simplePos x="0" y="0"/>
          <wp:positionH relativeFrom="column">
            <wp:posOffset>5292725</wp:posOffset>
          </wp:positionH>
          <wp:positionV relativeFrom="paragraph">
            <wp:posOffset>431800</wp:posOffset>
          </wp:positionV>
          <wp:extent cx="1335600" cy="31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hi_res_rgb - 2500 x 588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600" cy="31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1" w15:restartNumberingAfterBreak="0">
    <w:nsid w:val="FFFFFF88"/>
    <w:multiLevelType w:val="singleLevel"/>
    <w:tmpl w:val="7076EFFA"/>
    <w:lvl w:ilvl="0">
      <w:start w:val="1"/>
      <w:numFmt w:val="decimal"/>
      <w:pStyle w:val="ListNumber"/>
      <w:lvlText w:val="%1."/>
      <w:lvlJc w:val="left"/>
      <w:pPr>
        <w:tabs>
          <w:tab w:val="num" w:pos="567"/>
        </w:tabs>
        <w:ind w:left="567" w:hanging="567"/>
      </w:pPr>
      <w:rPr>
        <w:rFonts w:ascii="Tahoma" w:hAnsi="Tahoma" w:hint="default"/>
        <w:b/>
        <w:i w:val="0"/>
        <w:color w:val="9A4D96"/>
        <w:sz w:val="24"/>
      </w:rPr>
    </w:lvl>
  </w:abstractNum>
  <w:abstractNum w:abstractNumId="2" w15:restartNumberingAfterBreak="0">
    <w:nsid w:val="04277EFF"/>
    <w:multiLevelType w:val="hybridMultilevel"/>
    <w:tmpl w:val="AB402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5" w15:restartNumberingAfterBreak="0">
    <w:nsid w:val="12503D17"/>
    <w:multiLevelType w:val="hybridMultilevel"/>
    <w:tmpl w:val="DD48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013EF"/>
    <w:multiLevelType w:val="hybridMultilevel"/>
    <w:tmpl w:val="C3146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DA019E"/>
    <w:multiLevelType w:val="hybridMultilevel"/>
    <w:tmpl w:val="5B40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A0BF9"/>
    <w:multiLevelType w:val="hybridMultilevel"/>
    <w:tmpl w:val="22A4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54FA8"/>
    <w:multiLevelType w:val="hybridMultilevel"/>
    <w:tmpl w:val="F97A4C16"/>
    <w:lvl w:ilvl="0" w:tplc="260A9E8C">
      <w:start w:val="1"/>
      <w:numFmt w:val="lowerLetter"/>
      <w:pStyle w:val="List"/>
      <w:lvlText w:val="%1."/>
      <w:lvlJc w:val="left"/>
      <w:pPr>
        <w:tabs>
          <w:tab w:val="num" w:pos="340"/>
        </w:tabs>
        <w:ind w:left="340" w:hanging="340"/>
      </w:pPr>
      <w:rPr>
        <w:rFonts w:ascii="Tahoma" w:hAnsi="Tahoma"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2A27FD5"/>
    <w:multiLevelType w:val="hybridMultilevel"/>
    <w:tmpl w:val="06E82A84"/>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73B5F"/>
    <w:multiLevelType w:val="hybridMultilevel"/>
    <w:tmpl w:val="BA8C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03933"/>
    <w:multiLevelType w:val="hybridMultilevel"/>
    <w:tmpl w:val="3A24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18" w15:restartNumberingAfterBreak="0">
    <w:nsid w:val="5E1B7C4A"/>
    <w:multiLevelType w:val="multilevel"/>
    <w:tmpl w:val="D772E546"/>
    <w:lvl w:ilvl="0">
      <w:start w:val="1"/>
      <w:numFmt w:val="upperLetter"/>
      <w:pStyle w:val="ListNumber2"/>
      <w:lvlText w:val="%1"/>
      <w:lvlJc w:val="left"/>
      <w:pPr>
        <w:tabs>
          <w:tab w:val="num" w:pos="397"/>
        </w:tabs>
        <w:ind w:left="397" w:hanging="397"/>
      </w:pPr>
      <w:rPr>
        <w:rFonts w:ascii="Tahoma" w:hAnsi="Tahoma" w:hint="default"/>
        <w:b/>
        <w:i w:val="0"/>
        <w:color w:val="9A4D96"/>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EFB047E"/>
    <w:multiLevelType w:val="hybridMultilevel"/>
    <w:tmpl w:val="D80AB038"/>
    <w:lvl w:ilvl="0" w:tplc="A02C551E">
      <w:start w:val="1"/>
      <w:numFmt w:val="bullet"/>
      <w:pStyle w:val="ListContinue2"/>
      <w:lvlText w:val=""/>
      <w:lvlJc w:val="left"/>
      <w:pPr>
        <w:tabs>
          <w:tab w:val="num" w:pos="284"/>
        </w:tabs>
        <w:ind w:left="284" w:hanging="284"/>
      </w:pPr>
      <w:rPr>
        <w:rFonts w:ascii="Symbol" w:hAnsi="Symbol" w:hint="default"/>
        <w:color w:val="00857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76321F"/>
    <w:multiLevelType w:val="hybridMultilevel"/>
    <w:tmpl w:val="081ED59C"/>
    <w:lvl w:ilvl="0" w:tplc="B914B3B0">
      <w:start w:val="1"/>
      <w:numFmt w:val="bullet"/>
      <w:pStyle w:val="ListContinue"/>
      <w:lvlText w:val=""/>
      <w:lvlJc w:val="left"/>
      <w:pPr>
        <w:tabs>
          <w:tab w:val="num" w:pos="2835"/>
        </w:tabs>
        <w:ind w:left="2835" w:hanging="2835"/>
      </w:pPr>
      <w:rPr>
        <w:rFonts w:ascii="Symbol" w:hAnsi="Symbol" w:hint="default"/>
        <w:b w:val="0"/>
        <w:i w:val="0"/>
        <w:color w:val="9A4D9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320EA0"/>
    <w:multiLevelType w:val="hybridMultilevel"/>
    <w:tmpl w:val="ADC6067C"/>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75F9E"/>
    <w:multiLevelType w:val="hybridMultilevel"/>
    <w:tmpl w:val="F2E24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6"/>
  </w:num>
  <w:num w:numId="5">
    <w:abstractNumId w:val="20"/>
  </w:num>
  <w:num w:numId="6">
    <w:abstractNumId w:val="22"/>
  </w:num>
  <w:num w:numId="7">
    <w:abstractNumId w:val="21"/>
  </w:num>
  <w:num w:numId="8">
    <w:abstractNumId w:val="11"/>
  </w:num>
  <w:num w:numId="9">
    <w:abstractNumId w:val="7"/>
  </w:num>
  <w:num w:numId="10">
    <w:abstractNumId w:val="19"/>
  </w:num>
  <w:num w:numId="11">
    <w:abstractNumId w:val="17"/>
  </w:num>
  <w:num w:numId="12">
    <w:abstractNumId w:val="4"/>
  </w:num>
  <w:num w:numId="13">
    <w:abstractNumId w:val="3"/>
  </w:num>
  <w:num w:numId="14">
    <w:abstractNumId w:val="18"/>
  </w:num>
  <w:num w:numId="15">
    <w:abstractNumId w:val="13"/>
  </w:num>
  <w:num w:numId="16">
    <w:abstractNumId w:val="5"/>
  </w:num>
  <w:num w:numId="17">
    <w:abstractNumId w:val="16"/>
  </w:num>
  <w:num w:numId="18">
    <w:abstractNumId w:val="2"/>
  </w:num>
  <w:num w:numId="19">
    <w:abstractNumId w:val="23"/>
  </w:num>
  <w:num w:numId="20">
    <w:abstractNumId w:val="14"/>
  </w:num>
  <w:num w:numId="21">
    <w:abstractNumId w:val="15"/>
  </w:num>
  <w:num w:numId="22">
    <w:abstractNumId w:val="9"/>
  </w:num>
  <w:num w:numId="23">
    <w:abstractNumId w:val="24"/>
  </w:num>
  <w:num w:numId="24">
    <w:abstractNumId w:val="12"/>
  </w:num>
  <w:num w:numId="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style="mso-position-horizontal-relative:page;mso-position-vertical-relative:page" fillcolor="#9a4d9e" stroke="f">
      <v:fill color="#9a4d9e"/>
      <v:stroke on="f"/>
      <v:textbox inset="1.5mm,1mm,1.5mm,1mm"/>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A0"/>
    <w:rsid w:val="0000369D"/>
    <w:rsid w:val="00003B9E"/>
    <w:rsid w:val="000128B3"/>
    <w:rsid w:val="0001303D"/>
    <w:rsid w:val="000146B2"/>
    <w:rsid w:val="00016A1B"/>
    <w:rsid w:val="00016D3D"/>
    <w:rsid w:val="000205A9"/>
    <w:rsid w:val="00024161"/>
    <w:rsid w:val="00026907"/>
    <w:rsid w:val="00026ACB"/>
    <w:rsid w:val="00033152"/>
    <w:rsid w:val="00034ADF"/>
    <w:rsid w:val="00035A42"/>
    <w:rsid w:val="0003754D"/>
    <w:rsid w:val="0003791C"/>
    <w:rsid w:val="000423EB"/>
    <w:rsid w:val="00044E00"/>
    <w:rsid w:val="000464BE"/>
    <w:rsid w:val="00046C87"/>
    <w:rsid w:val="00052E12"/>
    <w:rsid w:val="00055017"/>
    <w:rsid w:val="000560B6"/>
    <w:rsid w:val="000567BF"/>
    <w:rsid w:val="00057438"/>
    <w:rsid w:val="00057D51"/>
    <w:rsid w:val="00057D88"/>
    <w:rsid w:val="0006572D"/>
    <w:rsid w:val="00070774"/>
    <w:rsid w:val="0007158B"/>
    <w:rsid w:val="00071E04"/>
    <w:rsid w:val="00072A2C"/>
    <w:rsid w:val="000834C3"/>
    <w:rsid w:val="00092E9E"/>
    <w:rsid w:val="00094037"/>
    <w:rsid w:val="00095CFC"/>
    <w:rsid w:val="00097E52"/>
    <w:rsid w:val="000A2B29"/>
    <w:rsid w:val="000A43DF"/>
    <w:rsid w:val="000A5CEA"/>
    <w:rsid w:val="000A7D92"/>
    <w:rsid w:val="000B4A62"/>
    <w:rsid w:val="000B4B15"/>
    <w:rsid w:val="000B7267"/>
    <w:rsid w:val="000B7B30"/>
    <w:rsid w:val="000C0CF8"/>
    <w:rsid w:val="000C1164"/>
    <w:rsid w:val="000C3B1A"/>
    <w:rsid w:val="000C4DEA"/>
    <w:rsid w:val="000C694B"/>
    <w:rsid w:val="000C713E"/>
    <w:rsid w:val="000D13C3"/>
    <w:rsid w:val="000D5D71"/>
    <w:rsid w:val="000D753B"/>
    <w:rsid w:val="000E1526"/>
    <w:rsid w:val="000E392C"/>
    <w:rsid w:val="000E456E"/>
    <w:rsid w:val="000E765F"/>
    <w:rsid w:val="000F3EF1"/>
    <w:rsid w:val="000F42DE"/>
    <w:rsid w:val="000F75D6"/>
    <w:rsid w:val="000F7F25"/>
    <w:rsid w:val="00100247"/>
    <w:rsid w:val="001019C4"/>
    <w:rsid w:val="00105968"/>
    <w:rsid w:val="00110E6C"/>
    <w:rsid w:val="001117B6"/>
    <w:rsid w:val="0012288A"/>
    <w:rsid w:val="00122C8C"/>
    <w:rsid w:val="0012443F"/>
    <w:rsid w:val="00130D14"/>
    <w:rsid w:val="00131B70"/>
    <w:rsid w:val="00132602"/>
    <w:rsid w:val="00134323"/>
    <w:rsid w:val="00137646"/>
    <w:rsid w:val="00140EE9"/>
    <w:rsid w:val="00143E39"/>
    <w:rsid w:val="0014461A"/>
    <w:rsid w:val="00145803"/>
    <w:rsid w:val="0015014D"/>
    <w:rsid w:val="0015130E"/>
    <w:rsid w:val="00152454"/>
    <w:rsid w:val="00153E31"/>
    <w:rsid w:val="001607D5"/>
    <w:rsid w:val="001609F5"/>
    <w:rsid w:val="00172B7D"/>
    <w:rsid w:val="00174A8C"/>
    <w:rsid w:val="00174FC5"/>
    <w:rsid w:val="001758EA"/>
    <w:rsid w:val="00182F36"/>
    <w:rsid w:val="001830CC"/>
    <w:rsid w:val="00183718"/>
    <w:rsid w:val="0018543C"/>
    <w:rsid w:val="001876BF"/>
    <w:rsid w:val="00191F42"/>
    <w:rsid w:val="00195D8E"/>
    <w:rsid w:val="00197BBD"/>
    <w:rsid w:val="001A5A15"/>
    <w:rsid w:val="001A601A"/>
    <w:rsid w:val="001B1B48"/>
    <w:rsid w:val="001B3754"/>
    <w:rsid w:val="001B44B3"/>
    <w:rsid w:val="001C7EAB"/>
    <w:rsid w:val="001D18C0"/>
    <w:rsid w:val="001D304A"/>
    <w:rsid w:val="001D38B0"/>
    <w:rsid w:val="001D3FA4"/>
    <w:rsid w:val="001E42D0"/>
    <w:rsid w:val="001E5862"/>
    <w:rsid w:val="001E7E11"/>
    <w:rsid w:val="001F0661"/>
    <w:rsid w:val="001F2B0E"/>
    <w:rsid w:val="00200E38"/>
    <w:rsid w:val="00206F13"/>
    <w:rsid w:val="002072E1"/>
    <w:rsid w:val="0021347A"/>
    <w:rsid w:val="00215A3F"/>
    <w:rsid w:val="0022429A"/>
    <w:rsid w:val="00225989"/>
    <w:rsid w:val="00230300"/>
    <w:rsid w:val="002343EB"/>
    <w:rsid w:val="0023524E"/>
    <w:rsid w:val="002401FB"/>
    <w:rsid w:val="002402D7"/>
    <w:rsid w:val="0024445E"/>
    <w:rsid w:val="00245A9D"/>
    <w:rsid w:val="00246B22"/>
    <w:rsid w:val="0024742D"/>
    <w:rsid w:val="00250A17"/>
    <w:rsid w:val="002635C9"/>
    <w:rsid w:val="00266094"/>
    <w:rsid w:val="00272423"/>
    <w:rsid w:val="002732BB"/>
    <w:rsid w:val="00275025"/>
    <w:rsid w:val="0027529C"/>
    <w:rsid w:val="002800C7"/>
    <w:rsid w:val="0028129D"/>
    <w:rsid w:val="002837DE"/>
    <w:rsid w:val="00285E8C"/>
    <w:rsid w:val="00290E6B"/>
    <w:rsid w:val="00293E7A"/>
    <w:rsid w:val="00296D45"/>
    <w:rsid w:val="002A0E87"/>
    <w:rsid w:val="002A0F08"/>
    <w:rsid w:val="002A5389"/>
    <w:rsid w:val="002A5727"/>
    <w:rsid w:val="002B2196"/>
    <w:rsid w:val="002B2B3A"/>
    <w:rsid w:val="002B4466"/>
    <w:rsid w:val="002B6A8B"/>
    <w:rsid w:val="002B6C09"/>
    <w:rsid w:val="002C05D3"/>
    <w:rsid w:val="002C07B0"/>
    <w:rsid w:val="002C5887"/>
    <w:rsid w:val="002C59AF"/>
    <w:rsid w:val="002C5B1F"/>
    <w:rsid w:val="002C623F"/>
    <w:rsid w:val="002D11E0"/>
    <w:rsid w:val="002D1D6D"/>
    <w:rsid w:val="002D2567"/>
    <w:rsid w:val="002D3DA4"/>
    <w:rsid w:val="002D633A"/>
    <w:rsid w:val="002D7391"/>
    <w:rsid w:val="002E5F5D"/>
    <w:rsid w:val="002E7696"/>
    <w:rsid w:val="002F2348"/>
    <w:rsid w:val="002F5BA9"/>
    <w:rsid w:val="002F7E78"/>
    <w:rsid w:val="00303F5B"/>
    <w:rsid w:val="00310997"/>
    <w:rsid w:val="0031296C"/>
    <w:rsid w:val="00321FF2"/>
    <w:rsid w:val="00322F49"/>
    <w:rsid w:val="003235A5"/>
    <w:rsid w:val="003235B6"/>
    <w:rsid w:val="00330FF2"/>
    <w:rsid w:val="003410CE"/>
    <w:rsid w:val="003513DC"/>
    <w:rsid w:val="00352608"/>
    <w:rsid w:val="00354D7E"/>
    <w:rsid w:val="00355BE5"/>
    <w:rsid w:val="0036028C"/>
    <w:rsid w:val="003610B3"/>
    <w:rsid w:val="00364764"/>
    <w:rsid w:val="003653F6"/>
    <w:rsid w:val="00367360"/>
    <w:rsid w:val="00367C94"/>
    <w:rsid w:val="00373D01"/>
    <w:rsid w:val="0037446A"/>
    <w:rsid w:val="00376730"/>
    <w:rsid w:val="0038082A"/>
    <w:rsid w:val="00381F4F"/>
    <w:rsid w:val="00385947"/>
    <w:rsid w:val="00386FC3"/>
    <w:rsid w:val="00387B59"/>
    <w:rsid w:val="00390AC9"/>
    <w:rsid w:val="00390B90"/>
    <w:rsid w:val="003947B4"/>
    <w:rsid w:val="00394FEE"/>
    <w:rsid w:val="0039637C"/>
    <w:rsid w:val="0039786D"/>
    <w:rsid w:val="003B1730"/>
    <w:rsid w:val="003B4966"/>
    <w:rsid w:val="003B5CF3"/>
    <w:rsid w:val="003C2D03"/>
    <w:rsid w:val="003C339B"/>
    <w:rsid w:val="003C7070"/>
    <w:rsid w:val="003C7274"/>
    <w:rsid w:val="003D0E97"/>
    <w:rsid w:val="003D637A"/>
    <w:rsid w:val="003E094C"/>
    <w:rsid w:val="003F2100"/>
    <w:rsid w:val="003F4DE3"/>
    <w:rsid w:val="003F56B9"/>
    <w:rsid w:val="003F619C"/>
    <w:rsid w:val="00412F0E"/>
    <w:rsid w:val="00413D8C"/>
    <w:rsid w:val="0041520B"/>
    <w:rsid w:val="00422094"/>
    <w:rsid w:val="00422756"/>
    <w:rsid w:val="00425C07"/>
    <w:rsid w:val="004314DC"/>
    <w:rsid w:val="00431BAF"/>
    <w:rsid w:val="00433608"/>
    <w:rsid w:val="00434B53"/>
    <w:rsid w:val="004419BB"/>
    <w:rsid w:val="00442AA8"/>
    <w:rsid w:val="004436CD"/>
    <w:rsid w:val="00444072"/>
    <w:rsid w:val="004455AF"/>
    <w:rsid w:val="00446889"/>
    <w:rsid w:val="00447A7F"/>
    <w:rsid w:val="0045286D"/>
    <w:rsid w:val="00455CB3"/>
    <w:rsid w:val="0046230F"/>
    <w:rsid w:val="00464023"/>
    <w:rsid w:val="00467962"/>
    <w:rsid w:val="00467976"/>
    <w:rsid w:val="00470C9E"/>
    <w:rsid w:val="00472276"/>
    <w:rsid w:val="00476159"/>
    <w:rsid w:val="00480169"/>
    <w:rsid w:val="004830C5"/>
    <w:rsid w:val="00485CBA"/>
    <w:rsid w:val="00485FCF"/>
    <w:rsid w:val="004861C2"/>
    <w:rsid w:val="004872F1"/>
    <w:rsid w:val="00493E79"/>
    <w:rsid w:val="00496953"/>
    <w:rsid w:val="004A1470"/>
    <w:rsid w:val="004A2DEF"/>
    <w:rsid w:val="004A3988"/>
    <w:rsid w:val="004A41A5"/>
    <w:rsid w:val="004A4455"/>
    <w:rsid w:val="004A45E3"/>
    <w:rsid w:val="004A4C64"/>
    <w:rsid w:val="004B083C"/>
    <w:rsid w:val="004B0F74"/>
    <w:rsid w:val="004B0FC1"/>
    <w:rsid w:val="004B1024"/>
    <w:rsid w:val="004B6704"/>
    <w:rsid w:val="004B7073"/>
    <w:rsid w:val="004B7C6B"/>
    <w:rsid w:val="004C0A1E"/>
    <w:rsid w:val="004C259F"/>
    <w:rsid w:val="004C4675"/>
    <w:rsid w:val="004C497D"/>
    <w:rsid w:val="004C5609"/>
    <w:rsid w:val="004C6158"/>
    <w:rsid w:val="004D3FDC"/>
    <w:rsid w:val="004D4A2A"/>
    <w:rsid w:val="004D7AD9"/>
    <w:rsid w:val="004E0685"/>
    <w:rsid w:val="004E08A0"/>
    <w:rsid w:val="004E205A"/>
    <w:rsid w:val="004E3643"/>
    <w:rsid w:val="004E638D"/>
    <w:rsid w:val="004E63C2"/>
    <w:rsid w:val="004E6CBB"/>
    <w:rsid w:val="004E7C1D"/>
    <w:rsid w:val="004F0942"/>
    <w:rsid w:val="004F46E8"/>
    <w:rsid w:val="004F5201"/>
    <w:rsid w:val="005018AE"/>
    <w:rsid w:val="00503025"/>
    <w:rsid w:val="00503F18"/>
    <w:rsid w:val="00512992"/>
    <w:rsid w:val="005145B4"/>
    <w:rsid w:val="00522368"/>
    <w:rsid w:val="005259B4"/>
    <w:rsid w:val="00526E7D"/>
    <w:rsid w:val="0052788F"/>
    <w:rsid w:val="00527F58"/>
    <w:rsid w:val="00531CC0"/>
    <w:rsid w:val="0053337C"/>
    <w:rsid w:val="00534E90"/>
    <w:rsid w:val="005352E6"/>
    <w:rsid w:val="005446FB"/>
    <w:rsid w:val="00545684"/>
    <w:rsid w:val="00545848"/>
    <w:rsid w:val="00547484"/>
    <w:rsid w:val="00550B18"/>
    <w:rsid w:val="00557B3E"/>
    <w:rsid w:val="00561557"/>
    <w:rsid w:val="00562DB1"/>
    <w:rsid w:val="00572083"/>
    <w:rsid w:val="0057218C"/>
    <w:rsid w:val="00582734"/>
    <w:rsid w:val="0058273F"/>
    <w:rsid w:val="0059111F"/>
    <w:rsid w:val="0059397B"/>
    <w:rsid w:val="00594074"/>
    <w:rsid w:val="00594F8E"/>
    <w:rsid w:val="005A17D4"/>
    <w:rsid w:val="005A32DF"/>
    <w:rsid w:val="005A342F"/>
    <w:rsid w:val="005A349E"/>
    <w:rsid w:val="005B39DD"/>
    <w:rsid w:val="005B50D5"/>
    <w:rsid w:val="005B5927"/>
    <w:rsid w:val="005B6241"/>
    <w:rsid w:val="005B77A3"/>
    <w:rsid w:val="005C3150"/>
    <w:rsid w:val="005C4FCE"/>
    <w:rsid w:val="005C79B7"/>
    <w:rsid w:val="005D0362"/>
    <w:rsid w:val="005D3071"/>
    <w:rsid w:val="005D3828"/>
    <w:rsid w:val="005D43A6"/>
    <w:rsid w:val="005D441F"/>
    <w:rsid w:val="005D66D5"/>
    <w:rsid w:val="005E12D6"/>
    <w:rsid w:val="005E3B44"/>
    <w:rsid w:val="005E3B76"/>
    <w:rsid w:val="005E54DF"/>
    <w:rsid w:val="005E5B17"/>
    <w:rsid w:val="005E7E3E"/>
    <w:rsid w:val="005F4BD1"/>
    <w:rsid w:val="00602133"/>
    <w:rsid w:val="006038A9"/>
    <w:rsid w:val="006043B4"/>
    <w:rsid w:val="0061072B"/>
    <w:rsid w:val="00610CDD"/>
    <w:rsid w:val="00613F51"/>
    <w:rsid w:val="006140A9"/>
    <w:rsid w:val="006144B8"/>
    <w:rsid w:val="0061575B"/>
    <w:rsid w:val="00620483"/>
    <w:rsid w:val="00627C95"/>
    <w:rsid w:val="00630B50"/>
    <w:rsid w:val="00631E6C"/>
    <w:rsid w:val="00636543"/>
    <w:rsid w:val="00636D79"/>
    <w:rsid w:val="00641E43"/>
    <w:rsid w:val="00643F00"/>
    <w:rsid w:val="00644CD3"/>
    <w:rsid w:val="00645BBD"/>
    <w:rsid w:val="00646330"/>
    <w:rsid w:val="00647483"/>
    <w:rsid w:val="00651D48"/>
    <w:rsid w:val="00652780"/>
    <w:rsid w:val="00653CE7"/>
    <w:rsid w:val="00653CEA"/>
    <w:rsid w:val="006554A4"/>
    <w:rsid w:val="00655999"/>
    <w:rsid w:val="0065611B"/>
    <w:rsid w:val="00656D6B"/>
    <w:rsid w:val="006672FD"/>
    <w:rsid w:val="00667927"/>
    <w:rsid w:val="006718CE"/>
    <w:rsid w:val="00673F47"/>
    <w:rsid w:val="00676227"/>
    <w:rsid w:val="00677587"/>
    <w:rsid w:val="00677C79"/>
    <w:rsid w:val="00682F3F"/>
    <w:rsid w:val="00684238"/>
    <w:rsid w:val="00685446"/>
    <w:rsid w:val="00685964"/>
    <w:rsid w:val="00691C00"/>
    <w:rsid w:val="00696937"/>
    <w:rsid w:val="00696FFD"/>
    <w:rsid w:val="006A16AB"/>
    <w:rsid w:val="006A2EBE"/>
    <w:rsid w:val="006A6DC6"/>
    <w:rsid w:val="006B1B74"/>
    <w:rsid w:val="006B26F0"/>
    <w:rsid w:val="006B4E29"/>
    <w:rsid w:val="006B6755"/>
    <w:rsid w:val="006C2760"/>
    <w:rsid w:val="006C6043"/>
    <w:rsid w:val="006D0039"/>
    <w:rsid w:val="006D1203"/>
    <w:rsid w:val="006D216F"/>
    <w:rsid w:val="006D2985"/>
    <w:rsid w:val="006D30E7"/>
    <w:rsid w:val="006D4BEF"/>
    <w:rsid w:val="006D5B2C"/>
    <w:rsid w:val="006D5FDE"/>
    <w:rsid w:val="006E4226"/>
    <w:rsid w:val="006E7CC5"/>
    <w:rsid w:val="006F1409"/>
    <w:rsid w:val="006F6792"/>
    <w:rsid w:val="006F6855"/>
    <w:rsid w:val="00700781"/>
    <w:rsid w:val="0070164B"/>
    <w:rsid w:val="00703E00"/>
    <w:rsid w:val="007057E7"/>
    <w:rsid w:val="0071266E"/>
    <w:rsid w:val="007144F8"/>
    <w:rsid w:val="00715659"/>
    <w:rsid w:val="00720926"/>
    <w:rsid w:val="00720A77"/>
    <w:rsid w:val="00723178"/>
    <w:rsid w:val="0073039A"/>
    <w:rsid w:val="00735BEF"/>
    <w:rsid w:val="0073760B"/>
    <w:rsid w:val="0074190F"/>
    <w:rsid w:val="00741CD1"/>
    <w:rsid w:val="00743410"/>
    <w:rsid w:val="0074611D"/>
    <w:rsid w:val="00753463"/>
    <w:rsid w:val="00754E30"/>
    <w:rsid w:val="007643F6"/>
    <w:rsid w:val="0076575A"/>
    <w:rsid w:val="007667C8"/>
    <w:rsid w:val="00766AE9"/>
    <w:rsid w:val="00767D01"/>
    <w:rsid w:val="0077022B"/>
    <w:rsid w:val="00773FB7"/>
    <w:rsid w:val="00774BCF"/>
    <w:rsid w:val="00775BAF"/>
    <w:rsid w:val="00776DB8"/>
    <w:rsid w:val="00777DEF"/>
    <w:rsid w:val="007863CA"/>
    <w:rsid w:val="00791F90"/>
    <w:rsid w:val="0079270D"/>
    <w:rsid w:val="00794C50"/>
    <w:rsid w:val="00795497"/>
    <w:rsid w:val="007954E3"/>
    <w:rsid w:val="00796AD6"/>
    <w:rsid w:val="00797179"/>
    <w:rsid w:val="007A114F"/>
    <w:rsid w:val="007A2696"/>
    <w:rsid w:val="007A3C86"/>
    <w:rsid w:val="007B2BBD"/>
    <w:rsid w:val="007B3C75"/>
    <w:rsid w:val="007B4449"/>
    <w:rsid w:val="007B7F8A"/>
    <w:rsid w:val="007C0769"/>
    <w:rsid w:val="007C1010"/>
    <w:rsid w:val="007C17E7"/>
    <w:rsid w:val="007C33C5"/>
    <w:rsid w:val="007C371F"/>
    <w:rsid w:val="007D4C0D"/>
    <w:rsid w:val="007D5385"/>
    <w:rsid w:val="007D6117"/>
    <w:rsid w:val="007E0233"/>
    <w:rsid w:val="007E2EA9"/>
    <w:rsid w:val="007E4F53"/>
    <w:rsid w:val="007E5453"/>
    <w:rsid w:val="007F4598"/>
    <w:rsid w:val="00800351"/>
    <w:rsid w:val="008009D6"/>
    <w:rsid w:val="00801A70"/>
    <w:rsid w:val="008044E4"/>
    <w:rsid w:val="00804551"/>
    <w:rsid w:val="00813A50"/>
    <w:rsid w:val="008144D5"/>
    <w:rsid w:val="0081638F"/>
    <w:rsid w:val="00816517"/>
    <w:rsid w:val="00822490"/>
    <w:rsid w:val="00822567"/>
    <w:rsid w:val="0083053F"/>
    <w:rsid w:val="00831027"/>
    <w:rsid w:val="00832766"/>
    <w:rsid w:val="00834ABB"/>
    <w:rsid w:val="00842EAB"/>
    <w:rsid w:val="00843EA5"/>
    <w:rsid w:val="00843F5A"/>
    <w:rsid w:val="00844672"/>
    <w:rsid w:val="00845751"/>
    <w:rsid w:val="00845BA1"/>
    <w:rsid w:val="00847094"/>
    <w:rsid w:val="00852815"/>
    <w:rsid w:val="0085634C"/>
    <w:rsid w:val="008564EE"/>
    <w:rsid w:val="008569D7"/>
    <w:rsid w:val="00857E0C"/>
    <w:rsid w:val="0086179E"/>
    <w:rsid w:val="008631C0"/>
    <w:rsid w:val="00863C21"/>
    <w:rsid w:val="008709E1"/>
    <w:rsid w:val="00871201"/>
    <w:rsid w:val="00871D49"/>
    <w:rsid w:val="00875B6A"/>
    <w:rsid w:val="008768C5"/>
    <w:rsid w:val="00880570"/>
    <w:rsid w:val="00880BD3"/>
    <w:rsid w:val="00880E8A"/>
    <w:rsid w:val="00881A1A"/>
    <w:rsid w:val="00883173"/>
    <w:rsid w:val="008831EF"/>
    <w:rsid w:val="008839BC"/>
    <w:rsid w:val="00887320"/>
    <w:rsid w:val="00891356"/>
    <w:rsid w:val="0089448D"/>
    <w:rsid w:val="00896C5A"/>
    <w:rsid w:val="008A3AD1"/>
    <w:rsid w:val="008A720B"/>
    <w:rsid w:val="008A7313"/>
    <w:rsid w:val="008B026C"/>
    <w:rsid w:val="008B69BD"/>
    <w:rsid w:val="008C0D45"/>
    <w:rsid w:val="008C232B"/>
    <w:rsid w:val="008C34D6"/>
    <w:rsid w:val="008C40F7"/>
    <w:rsid w:val="008C68FF"/>
    <w:rsid w:val="008C7FC9"/>
    <w:rsid w:val="008D255C"/>
    <w:rsid w:val="008D2F5F"/>
    <w:rsid w:val="008D3C56"/>
    <w:rsid w:val="008D7EE6"/>
    <w:rsid w:val="008E11DE"/>
    <w:rsid w:val="008E27D7"/>
    <w:rsid w:val="008E3467"/>
    <w:rsid w:val="008E3E0D"/>
    <w:rsid w:val="008E4FCB"/>
    <w:rsid w:val="008E6E54"/>
    <w:rsid w:val="008F3091"/>
    <w:rsid w:val="008F5247"/>
    <w:rsid w:val="008F6BED"/>
    <w:rsid w:val="008F726B"/>
    <w:rsid w:val="00900E27"/>
    <w:rsid w:val="00902AF0"/>
    <w:rsid w:val="00915299"/>
    <w:rsid w:val="0091717F"/>
    <w:rsid w:val="00924845"/>
    <w:rsid w:val="0092674F"/>
    <w:rsid w:val="00927D71"/>
    <w:rsid w:val="00927E9B"/>
    <w:rsid w:val="009319F9"/>
    <w:rsid w:val="00934241"/>
    <w:rsid w:val="00934830"/>
    <w:rsid w:val="00943407"/>
    <w:rsid w:val="00950353"/>
    <w:rsid w:val="00952D27"/>
    <w:rsid w:val="00953570"/>
    <w:rsid w:val="009545CA"/>
    <w:rsid w:val="00955B2C"/>
    <w:rsid w:val="00956A0F"/>
    <w:rsid w:val="00961040"/>
    <w:rsid w:val="0096132C"/>
    <w:rsid w:val="009626DA"/>
    <w:rsid w:val="00963C15"/>
    <w:rsid w:val="00966388"/>
    <w:rsid w:val="00966FA1"/>
    <w:rsid w:val="0096737C"/>
    <w:rsid w:val="00970B0C"/>
    <w:rsid w:val="00982B4F"/>
    <w:rsid w:val="00983669"/>
    <w:rsid w:val="00985C67"/>
    <w:rsid w:val="0098652E"/>
    <w:rsid w:val="0098702C"/>
    <w:rsid w:val="00992AAC"/>
    <w:rsid w:val="009939BE"/>
    <w:rsid w:val="00994DED"/>
    <w:rsid w:val="00995357"/>
    <w:rsid w:val="009A0357"/>
    <w:rsid w:val="009A0AA2"/>
    <w:rsid w:val="009A54E2"/>
    <w:rsid w:val="009B019C"/>
    <w:rsid w:val="009B5AD0"/>
    <w:rsid w:val="009C3337"/>
    <w:rsid w:val="009C48F3"/>
    <w:rsid w:val="009C66DE"/>
    <w:rsid w:val="009D1C3D"/>
    <w:rsid w:val="009D452F"/>
    <w:rsid w:val="009E2F2F"/>
    <w:rsid w:val="009E32BE"/>
    <w:rsid w:val="009E4ABE"/>
    <w:rsid w:val="009E5C82"/>
    <w:rsid w:val="009E601F"/>
    <w:rsid w:val="009E6A73"/>
    <w:rsid w:val="009E7663"/>
    <w:rsid w:val="009F57CB"/>
    <w:rsid w:val="009F631F"/>
    <w:rsid w:val="009F6CFC"/>
    <w:rsid w:val="00A010B5"/>
    <w:rsid w:val="00A017A0"/>
    <w:rsid w:val="00A02E99"/>
    <w:rsid w:val="00A03039"/>
    <w:rsid w:val="00A031C3"/>
    <w:rsid w:val="00A03C57"/>
    <w:rsid w:val="00A041CB"/>
    <w:rsid w:val="00A0420E"/>
    <w:rsid w:val="00A0662E"/>
    <w:rsid w:val="00A0748E"/>
    <w:rsid w:val="00A07FB2"/>
    <w:rsid w:val="00A10CFF"/>
    <w:rsid w:val="00A13842"/>
    <w:rsid w:val="00A14A66"/>
    <w:rsid w:val="00A17359"/>
    <w:rsid w:val="00A178F7"/>
    <w:rsid w:val="00A203D8"/>
    <w:rsid w:val="00A20D06"/>
    <w:rsid w:val="00A234DE"/>
    <w:rsid w:val="00A25394"/>
    <w:rsid w:val="00A26117"/>
    <w:rsid w:val="00A26275"/>
    <w:rsid w:val="00A27BC9"/>
    <w:rsid w:val="00A33CA3"/>
    <w:rsid w:val="00A35601"/>
    <w:rsid w:val="00A36D96"/>
    <w:rsid w:val="00A373D1"/>
    <w:rsid w:val="00A379B0"/>
    <w:rsid w:val="00A43901"/>
    <w:rsid w:val="00A44AEF"/>
    <w:rsid w:val="00A4682A"/>
    <w:rsid w:val="00A52504"/>
    <w:rsid w:val="00A53996"/>
    <w:rsid w:val="00A563A0"/>
    <w:rsid w:val="00A5696E"/>
    <w:rsid w:val="00A572E8"/>
    <w:rsid w:val="00A61418"/>
    <w:rsid w:val="00A63BEC"/>
    <w:rsid w:val="00A655B6"/>
    <w:rsid w:val="00A672BD"/>
    <w:rsid w:val="00A67DD6"/>
    <w:rsid w:val="00A702F6"/>
    <w:rsid w:val="00A746FE"/>
    <w:rsid w:val="00A802DE"/>
    <w:rsid w:val="00A816AC"/>
    <w:rsid w:val="00A86563"/>
    <w:rsid w:val="00A91204"/>
    <w:rsid w:val="00A917E2"/>
    <w:rsid w:val="00A941C4"/>
    <w:rsid w:val="00A96BFF"/>
    <w:rsid w:val="00A97663"/>
    <w:rsid w:val="00AA01B6"/>
    <w:rsid w:val="00AA0EE9"/>
    <w:rsid w:val="00AA2EB8"/>
    <w:rsid w:val="00AA32B2"/>
    <w:rsid w:val="00AA3628"/>
    <w:rsid w:val="00AA45A4"/>
    <w:rsid w:val="00AA6F0A"/>
    <w:rsid w:val="00AB0F9A"/>
    <w:rsid w:val="00AC1EDC"/>
    <w:rsid w:val="00AC4EE4"/>
    <w:rsid w:val="00AC577B"/>
    <w:rsid w:val="00AC67B7"/>
    <w:rsid w:val="00AC74A6"/>
    <w:rsid w:val="00AC7FA8"/>
    <w:rsid w:val="00AD706B"/>
    <w:rsid w:val="00AD7344"/>
    <w:rsid w:val="00AD7687"/>
    <w:rsid w:val="00AE2BC5"/>
    <w:rsid w:val="00AE37D1"/>
    <w:rsid w:val="00AE3E41"/>
    <w:rsid w:val="00AE753D"/>
    <w:rsid w:val="00AF0CF4"/>
    <w:rsid w:val="00AF4485"/>
    <w:rsid w:val="00AF462D"/>
    <w:rsid w:val="00AF6717"/>
    <w:rsid w:val="00B00AF9"/>
    <w:rsid w:val="00B14A96"/>
    <w:rsid w:val="00B211C5"/>
    <w:rsid w:val="00B2340B"/>
    <w:rsid w:val="00B248FC"/>
    <w:rsid w:val="00B267C4"/>
    <w:rsid w:val="00B32213"/>
    <w:rsid w:val="00B339C4"/>
    <w:rsid w:val="00B36DB3"/>
    <w:rsid w:val="00B42EF0"/>
    <w:rsid w:val="00B4692B"/>
    <w:rsid w:val="00B51942"/>
    <w:rsid w:val="00B534A3"/>
    <w:rsid w:val="00B541CF"/>
    <w:rsid w:val="00B61A8C"/>
    <w:rsid w:val="00B62F07"/>
    <w:rsid w:val="00B72B08"/>
    <w:rsid w:val="00B74487"/>
    <w:rsid w:val="00B76CF9"/>
    <w:rsid w:val="00B7784F"/>
    <w:rsid w:val="00B81CB6"/>
    <w:rsid w:val="00B8285E"/>
    <w:rsid w:val="00B83F02"/>
    <w:rsid w:val="00B84663"/>
    <w:rsid w:val="00B87CA4"/>
    <w:rsid w:val="00B90305"/>
    <w:rsid w:val="00B906F3"/>
    <w:rsid w:val="00B960FA"/>
    <w:rsid w:val="00B965FB"/>
    <w:rsid w:val="00B967B5"/>
    <w:rsid w:val="00B96CDA"/>
    <w:rsid w:val="00BA1011"/>
    <w:rsid w:val="00BA5D14"/>
    <w:rsid w:val="00BB125E"/>
    <w:rsid w:val="00BB1854"/>
    <w:rsid w:val="00BB2595"/>
    <w:rsid w:val="00BB4CCA"/>
    <w:rsid w:val="00BC3085"/>
    <w:rsid w:val="00BC5F0B"/>
    <w:rsid w:val="00BD0550"/>
    <w:rsid w:val="00BD2322"/>
    <w:rsid w:val="00BD2C81"/>
    <w:rsid w:val="00BD305E"/>
    <w:rsid w:val="00BD5585"/>
    <w:rsid w:val="00BE2F01"/>
    <w:rsid w:val="00BE400B"/>
    <w:rsid w:val="00BE415D"/>
    <w:rsid w:val="00BF1537"/>
    <w:rsid w:val="00BF704D"/>
    <w:rsid w:val="00C027D4"/>
    <w:rsid w:val="00C03AAE"/>
    <w:rsid w:val="00C064DE"/>
    <w:rsid w:val="00C13F5B"/>
    <w:rsid w:val="00C14D85"/>
    <w:rsid w:val="00C150FD"/>
    <w:rsid w:val="00C21265"/>
    <w:rsid w:val="00C2289A"/>
    <w:rsid w:val="00C2653E"/>
    <w:rsid w:val="00C2792F"/>
    <w:rsid w:val="00C32A4C"/>
    <w:rsid w:val="00C348A1"/>
    <w:rsid w:val="00C35D9A"/>
    <w:rsid w:val="00C3649F"/>
    <w:rsid w:val="00C37A59"/>
    <w:rsid w:val="00C4009C"/>
    <w:rsid w:val="00C42037"/>
    <w:rsid w:val="00C4590F"/>
    <w:rsid w:val="00C51964"/>
    <w:rsid w:val="00C51B71"/>
    <w:rsid w:val="00C52669"/>
    <w:rsid w:val="00C5467A"/>
    <w:rsid w:val="00C55CA5"/>
    <w:rsid w:val="00C55EAA"/>
    <w:rsid w:val="00C63BB3"/>
    <w:rsid w:val="00C70462"/>
    <w:rsid w:val="00C724E2"/>
    <w:rsid w:val="00C7276D"/>
    <w:rsid w:val="00C74C9D"/>
    <w:rsid w:val="00C74F51"/>
    <w:rsid w:val="00C76297"/>
    <w:rsid w:val="00C81D31"/>
    <w:rsid w:val="00C82CCE"/>
    <w:rsid w:val="00C90336"/>
    <w:rsid w:val="00C91324"/>
    <w:rsid w:val="00C94D91"/>
    <w:rsid w:val="00C95175"/>
    <w:rsid w:val="00CA483C"/>
    <w:rsid w:val="00CA50C6"/>
    <w:rsid w:val="00CA547B"/>
    <w:rsid w:val="00CA69AE"/>
    <w:rsid w:val="00CA6BFF"/>
    <w:rsid w:val="00CA6D91"/>
    <w:rsid w:val="00CA7E59"/>
    <w:rsid w:val="00CB0353"/>
    <w:rsid w:val="00CB2820"/>
    <w:rsid w:val="00CB31E4"/>
    <w:rsid w:val="00CB722A"/>
    <w:rsid w:val="00CC05F4"/>
    <w:rsid w:val="00CC0FEE"/>
    <w:rsid w:val="00CC469E"/>
    <w:rsid w:val="00CC4EC6"/>
    <w:rsid w:val="00CC52D1"/>
    <w:rsid w:val="00CD4AA4"/>
    <w:rsid w:val="00CD66BB"/>
    <w:rsid w:val="00CD6BAE"/>
    <w:rsid w:val="00CD7B6D"/>
    <w:rsid w:val="00CE0F24"/>
    <w:rsid w:val="00CE1BAD"/>
    <w:rsid w:val="00CE5433"/>
    <w:rsid w:val="00CE5881"/>
    <w:rsid w:val="00CF1890"/>
    <w:rsid w:val="00CF28C5"/>
    <w:rsid w:val="00CF3959"/>
    <w:rsid w:val="00CF59FF"/>
    <w:rsid w:val="00D01438"/>
    <w:rsid w:val="00D019B8"/>
    <w:rsid w:val="00D03614"/>
    <w:rsid w:val="00D03D73"/>
    <w:rsid w:val="00D0616E"/>
    <w:rsid w:val="00D06374"/>
    <w:rsid w:val="00D07940"/>
    <w:rsid w:val="00D10E55"/>
    <w:rsid w:val="00D13DF9"/>
    <w:rsid w:val="00D21CA1"/>
    <w:rsid w:val="00D223BC"/>
    <w:rsid w:val="00D231DD"/>
    <w:rsid w:val="00D23430"/>
    <w:rsid w:val="00D2493F"/>
    <w:rsid w:val="00D26E45"/>
    <w:rsid w:val="00D27014"/>
    <w:rsid w:val="00D27676"/>
    <w:rsid w:val="00D30563"/>
    <w:rsid w:val="00D416AC"/>
    <w:rsid w:val="00D42C5D"/>
    <w:rsid w:val="00D447C5"/>
    <w:rsid w:val="00D45606"/>
    <w:rsid w:val="00D45E4C"/>
    <w:rsid w:val="00D4650C"/>
    <w:rsid w:val="00D4770A"/>
    <w:rsid w:val="00D47AA7"/>
    <w:rsid w:val="00D575C4"/>
    <w:rsid w:val="00D62DD3"/>
    <w:rsid w:val="00D63628"/>
    <w:rsid w:val="00D65536"/>
    <w:rsid w:val="00D65C43"/>
    <w:rsid w:val="00D67434"/>
    <w:rsid w:val="00D6797A"/>
    <w:rsid w:val="00D70724"/>
    <w:rsid w:val="00D70BCA"/>
    <w:rsid w:val="00D713A2"/>
    <w:rsid w:val="00D72559"/>
    <w:rsid w:val="00D7255C"/>
    <w:rsid w:val="00D7518D"/>
    <w:rsid w:val="00D77F75"/>
    <w:rsid w:val="00D814C5"/>
    <w:rsid w:val="00D835C7"/>
    <w:rsid w:val="00D866AE"/>
    <w:rsid w:val="00D86908"/>
    <w:rsid w:val="00D878EC"/>
    <w:rsid w:val="00D9355D"/>
    <w:rsid w:val="00D977C7"/>
    <w:rsid w:val="00DA03C2"/>
    <w:rsid w:val="00DA21D8"/>
    <w:rsid w:val="00DA4EB1"/>
    <w:rsid w:val="00DA5B2C"/>
    <w:rsid w:val="00DA7A85"/>
    <w:rsid w:val="00DA7DE6"/>
    <w:rsid w:val="00DB0179"/>
    <w:rsid w:val="00DB1916"/>
    <w:rsid w:val="00DB3C33"/>
    <w:rsid w:val="00DB536D"/>
    <w:rsid w:val="00DB7F9A"/>
    <w:rsid w:val="00DC13A3"/>
    <w:rsid w:val="00DC27CD"/>
    <w:rsid w:val="00DD00CD"/>
    <w:rsid w:val="00DD40F9"/>
    <w:rsid w:val="00DE3C19"/>
    <w:rsid w:val="00DE5BBB"/>
    <w:rsid w:val="00DE6F33"/>
    <w:rsid w:val="00DE6F49"/>
    <w:rsid w:val="00DF4B47"/>
    <w:rsid w:val="00E00576"/>
    <w:rsid w:val="00E006E0"/>
    <w:rsid w:val="00E0196B"/>
    <w:rsid w:val="00E02041"/>
    <w:rsid w:val="00E0392C"/>
    <w:rsid w:val="00E03960"/>
    <w:rsid w:val="00E04728"/>
    <w:rsid w:val="00E10DA3"/>
    <w:rsid w:val="00E13CCD"/>
    <w:rsid w:val="00E21367"/>
    <w:rsid w:val="00E2262F"/>
    <w:rsid w:val="00E25E51"/>
    <w:rsid w:val="00E32522"/>
    <w:rsid w:val="00E3421A"/>
    <w:rsid w:val="00E353A0"/>
    <w:rsid w:val="00E35A46"/>
    <w:rsid w:val="00E4324D"/>
    <w:rsid w:val="00E4393F"/>
    <w:rsid w:val="00E53756"/>
    <w:rsid w:val="00E569A8"/>
    <w:rsid w:val="00E57570"/>
    <w:rsid w:val="00E64063"/>
    <w:rsid w:val="00E64169"/>
    <w:rsid w:val="00E648FD"/>
    <w:rsid w:val="00E661A1"/>
    <w:rsid w:val="00E6786E"/>
    <w:rsid w:val="00E71C66"/>
    <w:rsid w:val="00E753A4"/>
    <w:rsid w:val="00E76FA8"/>
    <w:rsid w:val="00E84E75"/>
    <w:rsid w:val="00E87B1E"/>
    <w:rsid w:val="00E90BC8"/>
    <w:rsid w:val="00E9343F"/>
    <w:rsid w:val="00E93D30"/>
    <w:rsid w:val="00E947E2"/>
    <w:rsid w:val="00E9537B"/>
    <w:rsid w:val="00EA2CCE"/>
    <w:rsid w:val="00EA36D6"/>
    <w:rsid w:val="00EA6C04"/>
    <w:rsid w:val="00EB2DB4"/>
    <w:rsid w:val="00EB4570"/>
    <w:rsid w:val="00EC0512"/>
    <w:rsid w:val="00EC15BD"/>
    <w:rsid w:val="00EC3E00"/>
    <w:rsid w:val="00EC6017"/>
    <w:rsid w:val="00ED3028"/>
    <w:rsid w:val="00ED4FB6"/>
    <w:rsid w:val="00ED522C"/>
    <w:rsid w:val="00ED5D6E"/>
    <w:rsid w:val="00EE064B"/>
    <w:rsid w:val="00EE0A55"/>
    <w:rsid w:val="00EE2738"/>
    <w:rsid w:val="00EE435E"/>
    <w:rsid w:val="00EE43BB"/>
    <w:rsid w:val="00EE4858"/>
    <w:rsid w:val="00EE58DA"/>
    <w:rsid w:val="00EE631F"/>
    <w:rsid w:val="00EE7AC3"/>
    <w:rsid w:val="00EF2D94"/>
    <w:rsid w:val="00EF4FEC"/>
    <w:rsid w:val="00EF669C"/>
    <w:rsid w:val="00EF7346"/>
    <w:rsid w:val="00F00BC6"/>
    <w:rsid w:val="00F03382"/>
    <w:rsid w:val="00F05F18"/>
    <w:rsid w:val="00F05FAF"/>
    <w:rsid w:val="00F060EE"/>
    <w:rsid w:val="00F07352"/>
    <w:rsid w:val="00F074E3"/>
    <w:rsid w:val="00F108A5"/>
    <w:rsid w:val="00F1755B"/>
    <w:rsid w:val="00F176E0"/>
    <w:rsid w:val="00F21814"/>
    <w:rsid w:val="00F256CD"/>
    <w:rsid w:val="00F2574C"/>
    <w:rsid w:val="00F25CED"/>
    <w:rsid w:val="00F3408D"/>
    <w:rsid w:val="00F340EE"/>
    <w:rsid w:val="00F34F7B"/>
    <w:rsid w:val="00F4025A"/>
    <w:rsid w:val="00F428FA"/>
    <w:rsid w:val="00F44AE3"/>
    <w:rsid w:val="00F45944"/>
    <w:rsid w:val="00F54615"/>
    <w:rsid w:val="00F57CDB"/>
    <w:rsid w:val="00F64D52"/>
    <w:rsid w:val="00F67DA4"/>
    <w:rsid w:val="00F718AD"/>
    <w:rsid w:val="00F72569"/>
    <w:rsid w:val="00F7668B"/>
    <w:rsid w:val="00F82239"/>
    <w:rsid w:val="00F8351C"/>
    <w:rsid w:val="00F85F38"/>
    <w:rsid w:val="00F87DDE"/>
    <w:rsid w:val="00F91679"/>
    <w:rsid w:val="00F92BF6"/>
    <w:rsid w:val="00F92EC2"/>
    <w:rsid w:val="00F96A68"/>
    <w:rsid w:val="00FA01F8"/>
    <w:rsid w:val="00FA0BDE"/>
    <w:rsid w:val="00FA0D13"/>
    <w:rsid w:val="00FA1126"/>
    <w:rsid w:val="00FA224B"/>
    <w:rsid w:val="00FB17F8"/>
    <w:rsid w:val="00FB4C4D"/>
    <w:rsid w:val="00FB54D6"/>
    <w:rsid w:val="00FC32F0"/>
    <w:rsid w:val="00FE1857"/>
    <w:rsid w:val="00FE21E4"/>
    <w:rsid w:val="00FE4411"/>
    <w:rsid w:val="00FE50BF"/>
    <w:rsid w:val="00FE661B"/>
    <w:rsid w:val="00FF0E26"/>
    <w:rsid w:val="00FF480F"/>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color="#9a4d9e" stroke="f">
      <v:fill color="#9a4d9e"/>
      <v:stroke on="f"/>
      <v:textbox inset="1.5mm,1mm,1.5mm,1mm"/>
      <o:colormru v:ext="edit" colors="#9a4d9e,#dfc1dd,#ab953a,#e7d2ad,#008da8,#7ed0e0,#008576,#cce0da"/>
    </o:shapedefaults>
    <o:shapelayout v:ext="edit">
      <o:idmap v:ext="edit" data="1"/>
    </o:shapelayout>
  </w:shapeDefaults>
  <w:decimalSymbol w:val="."/>
  <w:listSeparator w:val=","/>
  <w14:docId w14:val="7FDB62EF"/>
  <w15:docId w15:val="{BBEBC6B9-F49D-4A99-97EA-EC059308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9" w:qFormat="1"/>
    <w:lsdException w:name="heading 5" w:uiPriority="9"/>
    <w:lsdException w:name="heading 6" w:uiPriority="9"/>
    <w:lsdException w:name="heading 7" w:uiPriority="9"/>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4485"/>
    <w:pPr>
      <w:spacing w:line="300" w:lineRule="atLeast"/>
    </w:pPr>
    <w:rPr>
      <w:rFonts w:ascii="Tahoma" w:hAnsi="Tahoma"/>
      <w:szCs w:val="24"/>
    </w:rPr>
  </w:style>
  <w:style w:type="paragraph" w:styleId="Heading1">
    <w:name w:val="heading 1"/>
    <w:basedOn w:val="Normal"/>
    <w:next w:val="Normal"/>
    <w:link w:val="Heading1Char"/>
    <w:rsid w:val="00ED5D6E"/>
    <w:pPr>
      <w:keepNext/>
      <w:pBdr>
        <w:top w:val="single" w:sz="48" w:space="7" w:color="008DA8"/>
        <w:left w:val="single" w:sz="48" w:space="4" w:color="008DA8"/>
        <w:bottom w:val="single" w:sz="48" w:space="7" w:color="008DA8"/>
        <w:right w:val="single" w:sz="48" w:space="7" w:color="008DA8"/>
      </w:pBdr>
      <w:shd w:val="clear" w:color="auto" w:fill="008DA8"/>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rsid w:val="00DD40F9"/>
    <w:pPr>
      <w:keepNext/>
      <w:spacing w:line="420" w:lineRule="atLeast"/>
      <w:outlineLvl w:val="1"/>
    </w:pPr>
    <w:rPr>
      <w:rFonts w:cs="Arial"/>
      <w:bCs/>
      <w:iCs/>
      <w:color w:val="008576"/>
      <w:sz w:val="36"/>
      <w:szCs w:val="28"/>
    </w:rPr>
  </w:style>
  <w:style w:type="paragraph" w:styleId="Heading3">
    <w:name w:val="heading 3"/>
    <w:basedOn w:val="Normal"/>
    <w:next w:val="Normal"/>
    <w:rsid w:val="00627C95"/>
    <w:pPr>
      <w:keepNext/>
      <w:spacing w:before="240" w:after="60"/>
      <w:outlineLvl w:val="2"/>
    </w:pPr>
    <w:rPr>
      <w:rFonts w:ascii="Arial" w:hAnsi="Arial" w:cs="Arial"/>
      <w:b/>
      <w:bCs/>
      <w:sz w:val="26"/>
      <w:szCs w:val="26"/>
    </w:rPr>
  </w:style>
  <w:style w:type="paragraph" w:styleId="Heading4">
    <w:name w:val="heading 4"/>
    <w:aliases w:val="Heading"/>
    <w:basedOn w:val="Normal"/>
    <w:next w:val="Normal"/>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rsid w:val="00EE064B"/>
    <w:pPr>
      <w:spacing w:after="120"/>
      <w:ind w:firstLine="11"/>
      <w:outlineLvl w:val="4"/>
    </w:pPr>
  </w:style>
  <w:style w:type="paragraph" w:styleId="Heading6">
    <w:name w:val="heading 6"/>
    <w:basedOn w:val="Heading1"/>
    <w:next w:val="Normal"/>
    <w:link w:val="Heading6Char"/>
    <w:rsid w:val="00EE064B"/>
    <w:pPr>
      <w:spacing w:before="120" w:after="120"/>
      <w:ind w:firstLine="11"/>
      <w:outlineLvl w:val="5"/>
    </w:pPr>
  </w:style>
  <w:style w:type="paragraph" w:styleId="Heading7">
    <w:name w:val="heading 7"/>
    <w:basedOn w:val="Heading4"/>
    <w:next w:val="Normal"/>
    <w:rsid w:val="000B4A62"/>
    <w:pPr>
      <w:pBdr>
        <w:top w:val="single" w:sz="4" w:space="6" w:color="008576"/>
      </w:pBdr>
      <w:outlineLvl w:val="6"/>
    </w:pPr>
  </w:style>
  <w:style w:type="paragraph" w:styleId="Heading8">
    <w:name w:val="heading 8"/>
    <w:aliases w:val="Section Header"/>
    <w:basedOn w:val="Heading1"/>
    <w:next w:val="Normal"/>
    <w:link w:val="Heading8Char"/>
    <w:qFormat/>
    <w:rsid w:val="00ED5D6E"/>
    <w:pPr>
      <w:pageBreakBefore/>
      <w:pBdr>
        <w:top w:val="single" w:sz="48" w:space="1" w:color="008DA8"/>
        <w:bottom w:val="single" w:sz="48" w:space="1" w:color="008DA8"/>
        <w:right w:val="single" w:sz="48" w:space="4" w:color="008DA8"/>
      </w:pBdr>
      <w:spacing w:after="120" w:line="320" w:lineRule="atLeast"/>
      <w:ind w:right="238" w:firstLine="11"/>
      <w:outlineLvl w:val="7"/>
    </w:pPr>
    <w:rPr>
      <w:color w:val="FFFFFF" w:themeColor="background1"/>
      <w:sz w:val="26"/>
    </w:rPr>
  </w:style>
  <w:style w:type="paragraph" w:styleId="Heading9">
    <w:name w:val="heading 9"/>
    <w:basedOn w:val="Heading8"/>
    <w:next w:val="Normal"/>
    <w:link w:val="Heading9Char"/>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aliases w:val="Elexon Table."/>
    <w:basedOn w:val="TableNormal"/>
    <w:uiPriority w:val="59"/>
    <w:rsid w:val="00B7784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qFormat/>
    <w:rsid w:val="00E21367"/>
    <w:pPr>
      <w:spacing w:after="180"/>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basedOn w:val="DefaultParagraphFon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basedOn w:val="DefaultParagraphFont"/>
    <w:semiHidden/>
    <w:rsid w:val="00627C95"/>
    <w:rPr>
      <w:i/>
      <w:iCs/>
    </w:rPr>
  </w:style>
  <w:style w:type="character" w:styleId="HTMLCode">
    <w:name w:val="HTML Code"/>
    <w:basedOn w:val="DefaultParagraphFont"/>
    <w:semiHidden/>
    <w:rsid w:val="00627C95"/>
    <w:rPr>
      <w:rFonts w:ascii="Courier New" w:hAnsi="Courier New" w:cs="Courier New"/>
      <w:sz w:val="20"/>
      <w:szCs w:val="20"/>
    </w:rPr>
  </w:style>
  <w:style w:type="character" w:styleId="HTMLDefinition">
    <w:name w:val="HTML Definition"/>
    <w:basedOn w:val="DefaultParagraphFont"/>
    <w:semiHidden/>
    <w:rsid w:val="00627C95"/>
    <w:rPr>
      <w:i/>
      <w:iCs/>
    </w:rPr>
  </w:style>
  <w:style w:type="character" w:styleId="HTMLKeyboard">
    <w:name w:val="HTML Keyboard"/>
    <w:basedOn w:val="DefaultParagraphFont"/>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basedOn w:val="DefaultParagraphFont"/>
    <w:semiHidden/>
    <w:rsid w:val="00627C95"/>
    <w:rPr>
      <w:rFonts w:ascii="Courier New" w:hAnsi="Courier New" w:cs="Courier New"/>
    </w:rPr>
  </w:style>
  <w:style w:type="character" w:styleId="HTMLTypewriter">
    <w:name w:val="HTML Typewriter"/>
    <w:basedOn w:val="DefaultParagraphFont"/>
    <w:semiHidden/>
    <w:rsid w:val="00627C95"/>
    <w:rPr>
      <w:rFonts w:ascii="Courier New" w:hAnsi="Courier New" w:cs="Courier New"/>
      <w:sz w:val="20"/>
      <w:szCs w:val="20"/>
    </w:rPr>
  </w:style>
  <w:style w:type="character" w:styleId="HTMLVariable">
    <w:name w:val="HTML Variable"/>
    <w:basedOn w:val="DefaultParagraphFont"/>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basedOn w:val="DefaultParagraphFont"/>
    <w:uiPriority w:val="22"/>
    <w:qFormat/>
    <w:rsid w:val="00627C95"/>
    <w:rPr>
      <w:b/>
      <w:bCs/>
    </w:rPr>
  </w:style>
  <w:style w:type="table" w:styleId="Table3Deffects1">
    <w:name w:val="Table 3D effects 1"/>
    <w:basedOn w:val="TableNormal"/>
    <w:semiHidden/>
    <w:rsid w:val="00627C9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7C9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4"/>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basedOn w:val="DefaultParagraphFont"/>
    <w:link w:val="Heading1"/>
    <w:rsid w:val="00ED5D6E"/>
    <w:rPr>
      <w:rFonts w:ascii="Tahoma" w:hAnsi="Tahoma" w:cs="Arial"/>
      <w:bCs/>
      <w:color w:val="FFFFFF"/>
      <w:kern w:val="32"/>
      <w:sz w:val="28"/>
      <w:szCs w:val="32"/>
      <w:shd w:val="clear" w:color="auto" w:fill="008DA8"/>
    </w:rPr>
  </w:style>
  <w:style w:type="character" w:customStyle="1" w:styleId="Heading5Char">
    <w:name w:val="Heading 5 Char"/>
    <w:basedOn w:val="Heading1Char"/>
    <w:link w:val="Heading5"/>
    <w:rsid w:val="00EE064B"/>
    <w:rPr>
      <w:rFonts w:ascii="Tahoma" w:hAnsi="Tahoma" w:cs="Arial"/>
      <w:bCs/>
      <w:color w:val="FFFFFF"/>
      <w:kern w:val="32"/>
      <w:sz w:val="28"/>
      <w:szCs w:val="32"/>
      <w:shd w:val="clear" w:color="auto" w:fill="65C7C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shd w:val="clear" w:color="auto" w:fill="65C7C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basedOn w:val="DefaultParagraphFont"/>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aliases w:val="Section Header Char"/>
    <w:basedOn w:val="Heading1Char"/>
    <w:link w:val="Heading8"/>
    <w:rsid w:val="00ED5D6E"/>
    <w:rPr>
      <w:rFonts w:ascii="Tahoma" w:hAnsi="Tahoma" w:cs="Arial"/>
      <w:bCs/>
      <w:color w:val="FFFFFF" w:themeColor="background1"/>
      <w:kern w:val="32"/>
      <w:sz w:val="26"/>
      <w:szCs w:val="32"/>
      <w:shd w:val="clear" w:color="auto" w:fill="008DA8"/>
    </w:rPr>
  </w:style>
  <w:style w:type="character" w:customStyle="1" w:styleId="Heading9Char">
    <w:name w:val="Heading 9 Char"/>
    <w:basedOn w:val="Heading8Char"/>
    <w:link w:val="Heading9"/>
    <w:rsid w:val="00DA4EB1"/>
    <w:rPr>
      <w:rFonts w:ascii="Tahoma" w:hAnsi="Tahoma" w:cs="Arial"/>
      <w:bCs/>
      <w:color w:val="FFFFFF"/>
      <w:kern w:val="32"/>
      <w:sz w:val="26"/>
      <w:szCs w:val="32"/>
      <w:shd w:val="clear" w:color="auto" w:fill="9A4D96"/>
      <w:lang w:val="en-GB" w:eastAsia="en-GB" w:bidi="ar-SA"/>
    </w:rPr>
  </w:style>
  <w:style w:type="paragraph" w:customStyle="1" w:styleId="Tabletext">
    <w:name w:val="Table text"/>
    <w:basedOn w:val="Normal"/>
    <w:qFormat/>
    <w:rsid w:val="00330FF2"/>
    <w:pPr>
      <w:spacing w:after="180"/>
      <w:ind w:left="57" w:right="57"/>
    </w:pPr>
  </w:style>
  <w:style w:type="paragraph" w:customStyle="1" w:styleId="Tablesubheading">
    <w:name w:val="Table subheading"/>
    <w:basedOn w:val="Normal"/>
    <w:qFormat/>
    <w:rsid w:val="00153E31"/>
    <w:pPr>
      <w:keepNext/>
      <w:spacing w:line="240" w:lineRule="auto"/>
      <w:ind w:left="57" w:right="57"/>
    </w:pPr>
    <w:rPr>
      <w:b/>
      <w:color w:val="FFFFFF"/>
    </w:rPr>
  </w:style>
  <w:style w:type="paragraph" w:customStyle="1" w:styleId="Tablebodycopy">
    <w:name w:val="Table body copy"/>
    <w:basedOn w:val="Normal"/>
    <w:link w:val="TablebodycopyChar"/>
    <w:rsid w:val="00F256CD"/>
    <w:pPr>
      <w:spacing w:before="40" w:after="40" w:line="220" w:lineRule="atLeast"/>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basedOn w:val="DefaultParagraphFont"/>
    <w:link w:val="Footer"/>
    <w:rsid w:val="00A017A0"/>
    <w:rPr>
      <w:rFonts w:ascii="Tahoma" w:hAnsi="Tahoma"/>
      <w:color w:val="008576"/>
      <w:sz w:val="18"/>
      <w:szCs w:val="24"/>
      <w:lang w:val="en-GB" w:eastAsia="en-GB" w:bidi="ar-SA"/>
    </w:rPr>
  </w:style>
  <w:style w:type="character" w:customStyle="1" w:styleId="BlockTextChar">
    <w:name w:val="Block Text Char"/>
    <w:basedOn w:val="Footer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paragraph" w:styleId="List">
    <w:name w:val="List"/>
    <w:basedOn w:val="Normal"/>
    <w:rsid w:val="005352E6"/>
    <w:pPr>
      <w:numPr>
        <w:numId w:val="15"/>
      </w:numPr>
    </w:pPr>
  </w:style>
  <w:style w:type="character" w:styleId="CommentReference">
    <w:name w:val="annotation reference"/>
    <w:basedOn w:val="DefaultParagraphFont"/>
    <w:semiHidden/>
    <w:rsid w:val="00183718"/>
    <w:rPr>
      <w:sz w:val="16"/>
      <w:szCs w:val="16"/>
    </w:rPr>
  </w:style>
  <w:style w:type="paragraph" w:styleId="CommentText">
    <w:name w:val="annotation text"/>
    <w:basedOn w:val="Normal"/>
    <w:semiHidden/>
    <w:rsid w:val="00183718"/>
    <w:rPr>
      <w:szCs w:val="20"/>
    </w:rPr>
  </w:style>
  <w:style w:type="paragraph" w:styleId="CommentSubject">
    <w:name w:val="annotation subject"/>
    <w:basedOn w:val="CommentText"/>
    <w:next w:val="CommentText"/>
    <w:semiHidden/>
    <w:rsid w:val="00183718"/>
    <w:rPr>
      <w:b/>
      <w:bCs/>
    </w:rPr>
  </w:style>
  <w:style w:type="paragraph" w:customStyle="1" w:styleId="ColumnHeading">
    <w:name w:val="Column Heading"/>
    <w:rsid w:val="00FC32F0"/>
    <w:pPr>
      <w:keepNext/>
      <w:spacing w:before="113" w:after="113"/>
    </w:pPr>
    <w:rPr>
      <w:rFonts w:ascii="Tahoma" w:hAnsi="Tahoma"/>
      <w:b/>
      <w:color w:val="FFFFFF"/>
      <w:szCs w:val="24"/>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basedOn w:val="DefaultParagraphFont"/>
    <w:link w:val="ListNumber"/>
    <w:rsid w:val="00DA4EB1"/>
    <w:rPr>
      <w:rFonts w:ascii="Tahoma" w:hAnsi="Tahoma"/>
      <w:sz w:val="24"/>
      <w:szCs w:val="24"/>
    </w:rPr>
  </w:style>
  <w:style w:type="character" w:customStyle="1" w:styleId="ListNumber2Char">
    <w:name w:val="List Number 2 Char"/>
    <w:basedOn w:val="DefaultParagraphFont"/>
    <w:link w:val="ListNumber2"/>
    <w:rsid w:val="00DA4EB1"/>
    <w:rPr>
      <w:rFonts w:ascii="Tahoma" w:hAnsi="Tahoma"/>
      <w:sz w:val="24"/>
      <w:szCs w:val="24"/>
    </w:rPr>
  </w:style>
  <w:style w:type="paragraph" w:customStyle="1" w:styleId="InthisDoc">
    <w:name w:val="In this Doc"/>
    <w:basedOn w:val="Heading8"/>
    <w:rsid w:val="002072E1"/>
    <w:pPr>
      <w:ind w:left="0" w:firstLine="0"/>
    </w:pPr>
  </w:style>
  <w:style w:type="character" w:styleId="Hyperlink">
    <w:name w:val="Hyperlink"/>
    <w:basedOn w:val="DefaultParagraphFont"/>
    <w:rsid w:val="00D814C5"/>
    <w:rPr>
      <w:rFonts w:ascii="Tahoma" w:hAnsi="Tahoma"/>
      <w:color w:val="008DA8"/>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003B9E"/>
    <w:rPr>
      <w:b/>
      <w:color w:val="FFFFFF"/>
    </w:rPr>
  </w:style>
  <w:style w:type="character" w:customStyle="1" w:styleId="ListBullet2Char">
    <w:name w:val="List Bullet 2 Char"/>
    <w:basedOn w:val="DefaultParagraphFont"/>
    <w:link w:val="ListBullet2"/>
    <w:rsid w:val="007D6117"/>
    <w:rPr>
      <w:rFonts w:ascii="Tahoma" w:hAnsi="Tahoma"/>
      <w:szCs w:val="24"/>
    </w:rPr>
  </w:style>
  <w:style w:type="character" w:customStyle="1" w:styleId="TablebodycopyChar">
    <w:name w:val="Table body copy Char"/>
    <w:basedOn w:val="DefaultParagraphFont"/>
    <w:link w:val="Tablebodycopy"/>
    <w:rsid w:val="002635C9"/>
    <w:rPr>
      <w:rFonts w:ascii="Tahoma" w:hAnsi="Tahoma"/>
      <w:color w:val="008576"/>
      <w:spacing w:val="-8"/>
      <w:szCs w:val="24"/>
      <w:lang w:val="en-GB" w:eastAsia="en-GB" w:bidi="ar-SA"/>
    </w:rPr>
  </w:style>
  <w:style w:type="paragraph" w:customStyle="1" w:styleId="Default">
    <w:name w:val="Default"/>
    <w:rsid w:val="0018543C"/>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C37A59"/>
    <w:rPr>
      <w:szCs w:val="20"/>
    </w:rPr>
  </w:style>
  <w:style w:type="character" w:customStyle="1" w:styleId="FootnoteTextChar">
    <w:name w:val="Footnote Text Char"/>
    <w:basedOn w:val="DefaultParagraphFont"/>
    <w:link w:val="FootnoteText"/>
    <w:uiPriority w:val="99"/>
    <w:semiHidden/>
    <w:rsid w:val="00C37A59"/>
    <w:rPr>
      <w:rFonts w:ascii="Tahoma" w:hAnsi="Tahoma"/>
    </w:rPr>
  </w:style>
  <w:style w:type="character" w:styleId="FootnoteReference">
    <w:name w:val="footnote reference"/>
    <w:basedOn w:val="DefaultParagraphFont"/>
    <w:uiPriority w:val="99"/>
    <w:semiHidden/>
    <w:unhideWhenUsed/>
    <w:rsid w:val="00C37A59"/>
    <w:rPr>
      <w:vertAlign w:val="superscript"/>
    </w:rPr>
  </w:style>
  <w:style w:type="paragraph" w:customStyle="1" w:styleId="TableResponse">
    <w:name w:val="Table Response"/>
    <w:basedOn w:val="Normal"/>
    <w:qFormat/>
    <w:rsid w:val="008839BC"/>
    <w:pPr>
      <w:spacing w:after="40"/>
      <w:ind w:left="113" w:right="113"/>
    </w:pPr>
    <w:rPr>
      <w:color w:val="008DA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048">
      <w:bodyDiv w:val="1"/>
      <w:marLeft w:val="0"/>
      <w:marRight w:val="0"/>
      <w:marTop w:val="0"/>
      <w:marBottom w:val="0"/>
      <w:divBdr>
        <w:top w:val="none" w:sz="0" w:space="0" w:color="auto"/>
        <w:left w:val="none" w:sz="0" w:space="0" w:color="auto"/>
        <w:bottom w:val="none" w:sz="0" w:space="0" w:color="auto"/>
        <w:right w:val="none" w:sz="0" w:space="0" w:color="auto"/>
      </w:divBdr>
    </w:div>
    <w:div w:id="37634342">
      <w:bodyDiv w:val="1"/>
      <w:marLeft w:val="0"/>
      <w:marRight w:val="0"/>
      <w:marTop w:val="0"/>
      <w:marBottom w:val="0"/>
      <w:divBdr>
        <w:top w:val="none" w:sz="0" w:space="0" w:color="auto"/>
        <w:left w:val="none" w:sz="0" w:space="0" w:color="auto"/>
        <w:bottom w:val="none" w:sz="0" w:space="0" w:color="auto"/>
        <w:right w:val="none" w:sz="0" w:space="0" w:color="auto"/>
      </w:divBdr>
    </w:div>
    <w:div w:id="71972588">
      <w:bodyDiv w:val="1"/>
      <w:marLeft w:val="0"/>
      <w:marRight w:val="0"/>
      <w:marTop w:val="0"/>
      <w:marBottom w:val="0"/>
      <w:divBdr>
        <w:top w:val="none" w:sz="0" w:space="0" w:color="auto"/>
        <w:left w:val="none" w:sz="0" w:space="0" w:color="auto"/>
        <w:bottom w:val="none" w:sz="0" w:space="0" w:color="auto"/>
        <w:right w:val="none" w:sz="0" w:space="0" w:color="auto"/>
      </w:divBdr>
    </w:div>
    <w:div w:id="91171838">
      <w:bodyDiv w:val="1"/>
      <w:marLeft w:val="0"/>
      <w:marRight w:val="0"/>
      <w:marTop w:val="0"/>
      <w:marBottom w:val="0"/>
      <w:divBdr>
        <w:top w:val="none" w:sz="0" w:space="0" w:color="auto"/>
        <w:left w:val="none" w:sz="0" w:space="0" w:color="auto"/>
        <w:bottom w:val="none" w:sz="0" w:space="0" w:color="auto"/>
        <w:right w:val="none" w:sz="0" w:space="0" w:color="auto"/>
      </w:divBdr>
    </w:div>
    <w:div w:id="122620126">
      <w:bodyDiv w:val="1"/>
      <w:marLeft w:val="0"/>
      <w:marRight w:val="0"/>
      <w:marTop w:val="0"/>
      <w:marBottom w:val="0"/>
      <w:divBdr>
        <w:top w:val="none" w:sz="0" w:space="0" w:color="auto"/>
        <w:left w:val="none" w:sz="0" w:space="0" w:color="auto"/>
        <w:bottom w:val="none" w:sz="0" w:space="0" w:color="auto"/>
        <w:right w:val="none" w:sz="0" w:space="0" w:color="auto"/>
      </w:divBdr>
    </w:div>
    <w:div w:id="177669638">
      <w:bodyDiv w:val="1"/>
      <w:marLeft w:val="0"/>
      <w:marRight w:val="0"/>
      <w:marTop w:val="0"/>
      <w:marBottom w:val="0"/>
      <w:divBdr>
        <w:top w:val="none" w:sz="0" w:space="0" w:color="auto"/>
        <w:left w:val="none" w:sz="0" w:space="0" w:color="auto"/>
        <w:bottom w:val="none" w:sz="0" w:space="0" w:color="auto"/>
        <w:right w:val="none" w:sz="0" w:space="0" w:color="auto"/>
      </w:divBdr>
    </w:div>
    <w:div w:id="178200468">
      <w:bodyDiv w:val="1"/>
      <w:marLeft w:val="0"/>
      <w:marRight w:val="0"/>
      <w:marTop w:val="0"/>
      <w:marBottom w:val="0"/>
      <w:divBdr>
        <w:top w:val="none" w:sz="0" w:space="0" w:color="auto"/>
        <w:left w:val="none" w:sz="0" w:space="0" w:color="auto"/>
        <w:bottom w:val="none" w:sz="0" w:space="0" w:color="auto"/>
        <w:right w:val="none" w:sz="0" w:space="0" w:color="auto"/>
      </w:divBdr>
    </w:div>
    <w:div w:id="187111963">
      <w:bodyDiv w:val="1"/>
      <w:marLeft w:val="0"/>
      <w:marRight w:val="0"/>
      <w:marTop w:val="0"/>
      <w:marBottom w:val="0"/>
      <w:divBdr>
        <w:top w:val="none" w:sz="0" w:space="0" w:color="auto"/>
        <w:left w:val="none" w:sz="0" w:space="0" w:color="auto"/>
        <w:bottom w:val="none" w:sz="0" w:space="0" w:color="auto"/>
        <w:right w:val="none" w:sz="0" w:space="0" w:color="auto"/>
      </w:divBdr>
    </w:div>
    <w:div w:id="220479116">
      <w:bodyDiv w:val="1"/>
      <w:marLeft w:val="0"/>
      <w:marRight w:val="0"/>
      <w:marTop w:val="0"/>
      <w:marBottom w:val="0"/>
      <w:divBdr>
        <w:top w:val="none" w:sz="0" w:space="0" w:color="auto"/>
        <w:left w:val="none" w:sz="0" w:space="0" w:color="auto"/>
        <w:bottom w:val="none" w:sz="0" w:space="0" w:color="auto"/>
        <w:right w:val="none" w:sz="0" w:space="0" w:color="auto"/>
      </w:divBdr>
    </w:div>
    <w:div w:id="250554179">
      <w:bodyDiv w:val="1"/>
      <w:marLeft w:val="0"/>
      <w:marRight w:val="0"/>
      <w:marTop w:val="0"/>
      <w:marBottom w:val="0"/>
      <w:divBdr>
        <w:top w:val="none" w:sz="0" w:space="0" w:color="auto"/>
        <w:left w:val="none" w:sz="0" w:space="0" w:color="auto"/>
        <w:bottom w:val="none" w:sz="0" w:space="0" w:color="auto"/>
        <w:right w:val="none" w:sz="0" w:space="0" w:color="auto"/>
      </w:divBdr>
    </w:div>
    <w:div w:id="296767700">
      <w:bodyDiv w:val="1"/>
      <w:marLeft w:val="0"/>
      <w:marRight w:val="0"/>
      <w:marTop w:val="0"/>
      <w:marBottom w:val="0"/>
      <w:divBdr>
        <w:top w:val="none" w:sz="0" w:space="0" w:color="auto"/>
        <w:left w:val="none" w:sz="0" w:space="0" w:color="auto"/>
        <w:bottom w:val="none" w:sz="0" w:space="0" w:color="auto"/>
        <w:right w:val="none" w:sz="0" w:space="0" w:color="auto"/>
      </w:divBdr>
    </w:div>
    <w:div w:id="450318574">
      <w:bodyDiv w:val="1"/>
      <w:marLeft w:val="0"/>
      <w:marRight w:val="0"/>
      <w:marTop w:val="0"/>
      <w:marBottom w:val="0"/>
      <w:divBdr>
        <w:top w:val="none" w:sz="0" w:space="0" w:color="auto"/>
        <w:left w:val="none" w:sz="0" w:space="0" w:color="auto"/>
        <w:bottom w:val="none" w:sz="0" w:space="0" w:color="auto"/>
        <w:right w:val="none" w:sz="0" w:space="0" w:color="auto"/>
      </w:divBdr>
    </w:div>
    <w:div w:id="508448994">
      <w:bodyDiv w:val="1"/>
      <w:marLeft w:val="0"/>
      <w:marRight w:val="0"/>
      <w:marTop w:val="0"/>
      <w:marBottom w:val="0"/>
      <w:divBdr>
        <w:top w:val="none" w:sz="0" w:space="0" w:color="auto"/>
        <w:left w:val="none" w:sz="0" w:space="0" w:color="auto"/>
        <w:bottom w:val="none" w:sz="0" w:space="0" w:color="auto"/>
        <w:right w:val="none" w:sz="0" w:space="0" w:color="auto"/>
      </w:divBdr>
    </w:div>
    <w:div w:id="559249558">
      <w:bodyDiv w:val="1"/>
      <w:marLeft w:val="0"/>
      <w:marRight w:val="0"/>
      <w:marTop w:val="0"/>
      <w:marBottom w:val="0"/>
      <w:divBdr>
        <w:top w:val="none" w:sz="0" w:space="0" w:color="auto"/>
        <w:left w:val="none" w:sz="0" w:space="0" w:color="auto"/>
        <w:bottom w:val="none" w:sz="0" w:space="0" w:color="auto"/>
        <w:right w:val="none" w:sz="0" w:space="0" w:color="auto"/>
      </w:divBdr>
    </w:div>
    <w:div w:id="560481067">
      <w:bodyDiv w:val="1"/>
      <w:marLeft w:val="0"/>
      <w:marRight w:val="0"/>
      <w:marTop w:val="0"/>
      <w:marBottom w:val="0"/>
      <w:divBdr>
        <w:top w:val="none" w:sz="0" w:space="0" w:color="auto"/>
        <w:left w:val="none" w:sz="0" w:space="0" w:color="auto"/>
        <w:bottom w:val="none" w:sz="0" w:space="0" w:color="auto"/>
        <w:right w:val="none" w:sz="0" w:space="0" w:color="auto"/>
      </w:divBdr>
    </w:div>
    <w:div w:id="599800646">
      <w:bodyDiv w:val="1"/>
      <w:marLeft w:val="0"/>
      <w:marRight w:val="0"/>
      <w:marTop w:val="0"/>
      <w:marBottom w:val="0"/>
      <w:divBdr>
        <w:top w:val="none" w:sz="0" w:space="0" w:color="auto"/>
        <w:left w:val="none" w:sz="0" w:space="0" w:color="auto"/>
        <w:bottom w:val="none" w:sz="0" w:space="0" w:color="auto"/>
        <w:right w:val="none" w:sz="0" w:space="0" w:color="auto"/>
      </w:divBdr>
    </w:div>
    <w:div w:id="624654809">
      <w:bodyDiv w:val="1"/>
      <w:marLeft w:val="0"/>
      <w:marRight w:val="0"/>
      <w:marTop w:val="0"/>
      <w:marBottom w:val="0"/>
      <w:divBdr>
        <w:top w:val="none" w:sz="0" w:space="0" w:color="auto"/>
        <w:left w:val="none" w:sz="0" w:space="0" w:color="auto"/>
        <w:bottom w:val="none" w:sz="0" w:space="0" w:color="auto"/>
        <w:right w:val="none" w:sz="0" w:space="0" w:color="auto"/>
      </w:divBdr>
    </w:div>
    <w:div w:id="633027984">
      <w:bodyDiv w:val="1"/>
      <w:marLeft w:val="0"/>
      <w:marRight w:val="0"/>
      <w:marTop w:val="0"/>
      <w:marBottom w:val="0"/>
      <w:divBdr>
        <w:top w:val="none" w:sz="0" w:space="0" w:color="auto"/>
        <w:left w:val="none" w:sz="0" w:space="0" w:color="auto"/>
        <w:bottom w:val="none" w:sz="0" w:space="0" w:color="auto"/>
        <w:right w:val="none" w:sz="0" w:space="0" w:color="auto"/>
      </w:divBdr>
    </w:div>
    <w:div w:id="686248243">
      <w:bodyDiv w:val="1"/>
      <w:marLeft w:val="0"/>
      <w:marRight w:val="0"/>
      <w:marTop w:val="0"/>
      <w:marBottom w:val="0"/>
      <w:divBdr>
        <w:top w:val="none" w:sz="0" w:space="0" w:color="auto"/>
        <w:left w:val="none" w:sz="0" w:space="0" w:color="auto"/>
        <w:bottom w:val="none" w:sz="0" w:space="0" w:color="auto"/>
        <w:right w:val="none" w:sz="0" w:space="0" w:color="auto"/>
      </w:divBdr>
    </w:div>
    <w:div w:id="688219916">
      <w:bodyDiv w:val="1"/>
      <w:marLeft w:val="0"/>
      <w:marRight w:val="0"/>
      <w:marTop w:val="0"/>
      <w:marBottom w:val="0"/>
      <w:divBdr>
        <w:top w:val="none" w:sz="0" w:space="0" w:color="auto"/>
        <w:left w:val="none" w:sz="0" w:space="0" w:color="auto"/>
        <w:bottom w:val="none" w:sz="0" w:space="0" w:color="auto"/>
        <w:right w:val="none" w:sz="0" w:space="0" w:color="auto"/>
      </w:divBdr>
    </w:div>
    <w:div w:id="735398385">
      <w:bodyDiv w:val="1"/>
      <w:marLeft w:val="0"/>
      <w:marRight w:val="0"/>
      <w:marTop w:val="0"/>
      <w:marBottom w:val="0"/>
      <w:divBdr>
        <w:top w:val="none" w:sz="0" w:space="0" w:color="auto"/>
        <w:left w:val="none" w:sz="0" w:space="0" w:color="auto"/>
        <w:bottom w:val="none" w:sz="0" w:space="0" w:color="auto"/>
        <w:right w:val="none" w:sz="0" w:space="0" w:color="auto"/>
      </w:divBdr>
    </w:div>
    <w:div w:id="779689361">
      <w:bodyDiv w:val="1"/>
      <w:marLeft w:val="0"/>
      <w:marRight w:val="0"/>
      <w:marTop w:val="0"/>
      <w:marBottom w:val="0"/>
      <w:divBdr>
        <w:top w:val="none" w:sz="0" w:space="0" w:color="auto"/>
        <w:left w:val="none" w:sz="0" w:space="0" w:color="auto"/>
        <w:bottom w:val="none" w:sz="0" w:space="0" w:color="auto"/>
        <w:right w:val="none" w:sz="0" w:space="0" w:color="auto"/>
      </w:divBdr>
    </w:div>
    <w:div w:id="781002350">
      <w:bodyDiv w:val="1"/>
      <w:marLeft w:val="0"/>
      <w:marRight w:val="0"/>
      <w:marTop w:val="0"/>
      <w:marBottom w:val="0"/>
      <w:divBdr>
        <w:top w:val="none" w:sz="0" w:space="0" w:color="auto"/>
        <w:left w:val="none" w:sz="0" w:space="0" w:color="auto"/>
        <w:bottom w:val="none" w:sz="0" w:space="0" w:color="auto"/>
        <w:right w:val="none" w:sz="0" w:space="0" w:color="auto"/>
      </w:divBdr>
    </w:div>
    <w:div w:id="806627450">
      <w:bodyDiv w:val="1"/>
      <w:marLeft w:val="0"/>
      <w:marRight w:val="0"/>
      <w:marTop w:val="0"/>
      <w:marBottom w:val="0"/>
      <w:divBdr>
        <w:top w:val="none" w:sz="0" w:space="0" w:color="auto"/>
        <w:left w:val="none" w:sz="0" w:space="0" w:color="auto"/>
        <w:bottom w:val="none" w:sz="0" w:space="0" w:color="auto"/>
        <w:right w:val="none" w:sz="0" w:space="0" w:color="auto"/>
      </w:divBdr>
    </w:div>
    <w:div w:id="843713372">
      <w:bodyDiv w:val="1"/>
      <w:marLeft w:val="0"/>
      <w:marRight w:val="0"/>
      <w:marTop w:val="0"/>
      <w:marBottom w:val="0"/>
      <w:divBdr>
        <w:top w:val="none" w:sz="0" w:space="0" w:color="auto"/>
        <w:left w:val="none" w:sz="0" w:space="0" w:color="auto"/>
        <w:bottom w:val="none" w:sz="0" w:space="0" w:color="auto"/>
        <w:right w:val="none" w:sz="0" w:space="0" w:color="auto"/>
      </w:divBdr>
    </w:div>
    <w:div w:id="866255986">
      <w:bodyDiv w:val="1"/>
      <w:marLeft w:val="0"/>
      <w:marRight w:val="0"/>
      <w:marTop w:val="0"/>
      <w:marBottom w:val="0"/>
      <w:divBdr>
        <w:top w:val="none" w:sz="0" w:space="0" w:color="auto"/>
        <w:left w:val="none" w:sz="0" w:space="0" w:color="auto"/>
        <w:bottom w:val="none" w:sz="0" w:space="0" w:color="auto"/>
        <w:right w:val="none" w:sz="0" w:space="0" w:color="auto"/>
      </w:divBdr>
    </w:div>
    <w:div w:id="885945372">
      <w:bodyDiv w:val="1"/>
      <w:marLeft w:val="0"/>
      <w:marRight w:val="0"/>
      <w:marTop w:val="0"/>
      <w:marBottom w:val="0"/>
      <w:divBdr>
        <w:top w:val="none" w:sz="0" w:space="0" w:color="auto"/>
        <w:left w:val="none" w:sz="0" w:space="0" w:color="auto"/>
        <w:bottom w:val="none" w:sz="0" w:space="0" w:color="auto"/>
        <w:right w:val="none" w:sz="0" w:space="0" w:color="auto"/>
      </w:divBdr>
    </w:div>
    <w:div w:id="913121803">
      <w:bodyDiv w:val="1"/>
      <w:marLeft w:val="0"/>
      <w:marRight w:val="0"/>
      <w:marTop w:val="0"/>
      <w:marBottom w:val="0"/>
      <w:divBdr>
        <w:top w:val="none" w:sz="0" w:space="0" w:color="auto"/>
        <w:left w:val="none" w:sz="0" w:space="0" w:color="auto"/>
        <w:bottom w:val="none" w:sz="0" w:space="0" w:color="auto"/>
        <w:right w:val="none" w:sz="0" w:space="0" w:color="auto"/>
      </w:divBdr>
    </w:div>
    <w:div w:id="937719489">
      <w:bodyDiv w:val="1"/>
      <w:marLeft w:val="0"/>
      <w:marRight w:val="0"/>
      <w:marTop w:val="0"/>
      <w:marBottom w:val="0"/>
      <w:divBdr>
        <w:top w:val="none" w:sz="0" w:space="0" w:color="auto"/>
        <w:left w:val="none" w:sz="0" w:space="0" w:color="auto"/>
        <w:bottom w:val="none" w:sz="0" w:space="0" w:color="auto"/>
        <w:right w:val="none" w:sz="0" w:space="0" w:color="auto"/>
      </w:divBdr>
    </w:div>
    <w:div w:id="949237103">
      <w:bodyDiv w:val="1"/>
      <w:marLeft w:val="0"/>
      <w:marRight w:val="0"/>
      <w:marTop w:val="0"/>
      <w:marBottom w:val="0"/>
      <w:divBdr>
        <w:top w:val="none" w:sz="0" w:space="0" w:color="auto"/>
        <w:left w:val="none" w:sz="0" w:space="0" w:color="auto"/>
        <w:bottom w:val="none" w:sz="0" w:space="0" w:color="auto"/>
        <w:right w:val="none" w:sz="0" w:space="0" w:color="auto"/>
      </w:divBdr>
    </w:div>
    <w:div w:id="986130763">
      <w:bodyDiv w:val="1"/>
      <w:marLeft w:val="0"/>
      <w:marRight w:val="0"/>
      <w:marTop w:val="0"/>
      <w:marBottom w:val="0"/>
      <w:divBdr>
        <w:top w:val="none" w:sz="0" w:space="0" w:color="auto"/>
        <w:left w:val="none" w:sz="0" w:space="0" w:color="auto"/>
        <w:bottom w:val="none" w:sz="0" w:space="0" w:color="auto"/>
        <w:right w:val="none" w:sz="0" w:space="0" w:color="auto"/>
      </w:divBdr>
    </w:div>
    <w:div w:id="1018117898">
      <w:bodyDiv w:val="1"/>
      <w:marLeft w:val="0"/>
      <w:marRight w:val="0"/>
      <w:marTop w:val="0"/>
      <w:marBottom w:val="0"/>
      <w:divBdr>
        <w:top w:val="none" w:sz="0" w:space="0" w:color="auto"/>
        <w:left w:val="none" w:sz="0" w:space="0" w:color="auto"/>
        <w:bottom w:val="none" w:sz="0" w:space="0" w:color="auto"/>
        <w:right w:val="none" w:sz="0" w:space="0" w:color="auto"/>
      </w:divBdr>
    </w:div>
    <w:div w:id="1022710334">
      <w:bodyDiv w:val="1"/>
      <w:marLeft w:val="0"/>
      <w:marRight w:val="0"/>
      <w:marTop w:val="0"/>
      <w:marBottom w:val="0"/>
      <w:divBdr>
        <w:top w:val="none" w:sz="0" w:space="0" w:color="auto"/>
        <w:left w:val="none" w:sz="0" w:space="0" w:color="auto"/>
        <w:bottom w:val="none" w:sz="0" w:space="0" w:color="auto"/>
        <w:right w:val="none" w:sz="0" w:space="0" w:color="auto"/>
      </w:divBdr>
    </w:div>
    <w:div w:id="1048990855">
      <w:bodyDiv w:val="1"/>
      <w:marLeft w:val="0"/>
      <w:marRight w:val="0"/>
      <w:marTop w:val="0"/>
      <w:marBottom w:val="0"/>
      <w:divBdr>
        <w:top w:val="none" w:sz="0" w:space="0" w:color="auto"/>
        <w:left w:val="none" w:sz="0" w:space="0" w:color="auto"/>
        <w:bottom w:val="none" w:sz="0" w:space="0" w:color="auto"/>
        <w:right w:val="none" w:sz="0" w:space="0" w:color="auto"/>
      </w:divBdr>
    </w:div>
    <w:div w:id="1066564008">
      <w:bodyDiv w:val="1"/>
      <w:marLeft w:val="0"/>
      <w:marRight w:val="0"/>
      <w:marTop w:val="0"/>
      <w:marBottom w:val="0"/>
      <w:divBdr>
        <w:top w:val="none" w:sz="0" w:space="0" w:color="auto"/>
        <w:left w:val="none" w:sz="0" w:space="0" w:color="auto"/>
        <w:bottom w:val="none" w:sz="0" w:space="0" w:color="auto"/>
        <w:right w:val="none" w:sz="0" w:space="0" w:color="auto"/>
      </w:divBdr>
    </w:div>
    <w:div w:id="1107582654">
      <w:bodyDiv w:val="1"/>
      <w:marLeft w:val="0"/>
      <w:marRight w:val="0"/>
      <w:marTop w:val="0"/>
      <w:marBottom w:val="0"/>
      <w:divBdr>
        <w:top w:val="none" w:sz="0" w:space="0" w:color="auto"/>
        <w:left w:val="none" w:sz="0" w:space="0" w:color="auto"/>
        <w:bottom w:val="none" w:sz="0" w:space="0" w:color="auto"/>
        <w:right w:val="none" w:sz="0" w:space="0" w:color="auto"/>
      </w:divBdr>
    </w:div>
    <w:div w:id="1110128432">
      <w:bodyDiv w:val="1"/>
      <w:marLeft w:val="0"/>
      <w:marRight w:val="0"/>
      <w:marTop w:val="0"/>
      <w:marBottom w:val="0"/>
      <w:divBdr>
        <w:top w:val="none" w:sz="0" w:space="0" w:color="auto"/>
        <w:left w:val="none" w:sz="0" w:space="0" w:color="auto"/>
        <w:bottom w:val="none" w:sz="0" w:space="0" w:color="auto"/>
        <w:right w:val="none" w:sz="0" w:space="0" w:color="auto"/>
      </w:divBdr>
    </w:div>
    <w:div w:id="1174414323">
      <w:bodyDiv w:val="1"/>
      <w:marLeft w:val="0"/>
      <w:marRight w:val="0"/>
      <w:marTop w:val="0"/>
      <w:marBottom w:val="0"/>
      <w:divBdr>
        <w:top w:val="none" w:sz="0" w:space="0" w:color="auto"/>
        <w:left w:val="none" w:sz="0" w:space="0" w:color="auto"/>
        <w:bottom w:val="none" w:sz="0" w:space="0" w:color="auto"/>
        <w:right w:val="none" w:sz="0" w:space="0" w:color="auto"/>
      </w:divBdr>
    </w:div>
    <w:div w:id="1196195232">
      <w:bodyDiv w:val="1"/>
      <w:marLeft w:val="0"/>
      <w:marRight w:val="0"/>
      <w:marTop w:val="0"/>
      <w:marBottom w:val="0"/>
      <w:divBdr>
        <w:top w:val="none" w:sz="0" w:space="0" w:color="auto"/>
        <w:left w:val="none" w:sz="0" w:space="0" w:color="auto"/>
        <w:bottom w:val="none" w:sz="0" w:space="0" w:color="auto"/>
        <w:right w:val="none" w:sz="0" w:space="0" w:color="auto"/>
      </w:divBdr>
    </w:div>
    <w:div w:id="1207790671">
      <w:bodyDiv w:val="1"/>
      <w:marLeft w:val="0"/>
      <w:marRight w:val="0"/>
      <w:marTop w:val="0"/>
      <w:marBottom w:val="0"/>
      <w:divBdr>
        <w:top w:val="none" w:sz="0" w:space="0" w:color="auto"/>
        <w:left w:val="none" w:sz="0" w:space="0" w:color="auto"/>
        <w:bottom w:val="none" w:sz="0" w:space="0" w:color="auto"/>
        <w:right w:val="none" w:sz="0" w:space="0" w:color="auto"/>
      </w:divBdr>
    </w:div>
    <w:div w:id="1221987027">
      <w:bodyDiv w:val="1"/>
      <w:marLeft w:val="0"/>
      <w:marRight w:val="0"/>
      <w:marTop w:val="0"/>
      <w:marBottom w:val="0"/>
      <w:divBdr>
        <w:top w:val="none" w:sz="0" w:space="0" w:color="auto"/>
        <w:left w:val="none" w:sz="0" w:space="0" w:color="auto"/>
        <w:bottom w:val="none" w:sz="0" w:space="0" w:color="auto"/>
        <w:right w:val="none" w:sz="0" w:space="0" w:color="auto"/>
      </w:divBdr>
    </w:div>
    <w:div w:id="1285843924">
      <w:bodyDiv w:val="1"/>
      <w:marLeft w:val="0"/>
      <w:marRight w:val="0"/>
      <w:marTop w:val="0"/>
      <w:marBottom w:val="0"/>
      <w:divBdr>
        <w:top w:val="none" w:sz="0" w:space="0" w:color="auto"/>
        <w:left w:val="none" w:sz="0" w:space="0" w:color="auto"/>
        <w:bottom w:val="none" w:sz="0" w:space="0" w:color="auto"/>
        <w:right w:val="none" w:sz="0" w:space="0" w:color="auto"/>
      </w:divBdr>
    </w:div>
    <w:div w:id="1302887208">
      <w:bodyDiv w:val="1"/>
      <w:marLeft w:val="0"/>
      <w:marRight w:val="0"/>
      <w:marTop w:val="0"/>
      <w:marBottom w:val="0"/>
      <w:divBdr>
        <w:top w:val="none" w:sz="0" w:space="0" w:color="auto"/>
        <w:left w:val="none" w:sz="0" w:space="0" w:color="auto"/>
        <w:bottom w:val="none" w:sz="0" w:space="0" w:color="auto"/>
        <w:right w:val="none" w:sz="0" w:space="0" w:color="auto"/>
      </w:divBdr>
    </w:div>
    <w:div w:id="1316228742">
      <w:bodyDiv w:val="1"/>
      <w:marLeft w:val="0"/>
      <w:marRight w:val="0"/>
      <w:marTop w:val="0"/>
      <w:marBottom w:val="0"/>
      <w:divBdr>
        <w:top w:val="none" w:sz="0" w:space="0" w:color="auto"/>
        <w:left w:val="none" w:sz="0" w:space="0" w:color="auto"/>
        <w:bottom w:val="none" w:sz="0" w:space="0" w:color="auto"/>
        <w:right w:val="none" w:sz="0" w:space="0" w:color="auto"/>
      </w:divBdr>
    </w:div>
    <w:div w:id="1328434094">
      <w:bodyDiv w:val="1"/>
      <w:marLeft w:val="0"/>
      <w:marRight w:val="0"/>
      <w:marTop w:val="0"/>
      <w:marBottom w:val="0"/>
      <w:divBdr>
        <w:top w:val="none" w:sz="0" w:space="0" w:color="auto"/>
        <w:left w:val="none" w:sz="0" w:space="0" w:color="auto"/>
        <w:bottom w:val="none" w:sz="0" w:space="0" w:color="auto"/>
        <w:right w:val="none" w:sz="0" w:space="0" w:color="auto"/>
      </w:divBdr>
    </w:div>
    <w:div w:id="1341003283">
      <w:bodyDiv w:val="1"/>
      <w:marLeft w:val="0"/>
      <w:marRight w:val="0"/>
      <w:marTop w:val="0"/>
      <w:marBottom w:val="0"/>
      <w:divBdr>
        <w:top w:val="none" w:sz="0" w:space="0" w:color="auto"/>
        <w:left w:val="none" w:sz="0" w:space="0" w:color="auto"/>
        <w:bottom w:val="none" w:sz="0" w:space="0" w:color="auto"/>
        <w:right w:val="none" w:sz="0" w:space="0" w:color="auto"/>
      </w:divBdr>
    </w:div>
    <w:div w:id="1359619026">
      <w:bodyDiv w:val="1"/>
      <w:marLeft w:val="0"/>
      <w:marRight w:val="0"/>
      <w:marTop w:val="0"/>
      <w:marBottom w:val="0"/>
      <w:divBdr>
        <w:top w:val="none" w:sz="0" w:space="0" w:color="auto"/>
        <w:left w:val="none" w:sz="0" w:space="0" w:color="auto"/>
        <w:bottom w:val="none" w:sz="0" w:space="0" w:color="auto"/>
        <w:right w:val="none" w:sz="0" w:space="0" w:color="auto"/>
      </w:divBdr>
    </w:div>
    <w:div w:id="1367636077">
      <w:bodyDiv w:val="1"/>
      <w:marLeft w:val="0"/>
      <w:marRight w:val="0"/>
      <w:marTop w:val="0"/>
      <w:marBottom w:val="0"/>
      <w:divBdr>
        <w:top w:val="none" w:sz="0" w:space="0" w:color="auto"/>
        <w:left w:val="none" w:sz="0" w:space="0" w:color="auto"/>
        <w:bottom w:val="none" w:sz="0" w:space="0" w:color="auto"/>
        <w:right w:val="none" w:sz="0" w:space="0" w:color="auto"/>
      </w:divBdr>
    </w:div>
    <w:div w:id="1421486488">
      <w:bodyDiv w:val="1"/>
      <w:marLeft w:val="0"/>
      <w:marRight w:val="0"/>
      <w:marTop w:val="0"/>
      <w:marBottom w:val="0"/>
      <w:divBdr>
        <w:top w:val="none" w:sz="0" w:space="0" w:color="auto"/>
        <w:left w:val="none" w:sz="0" w:space="0" w:color="auto"/>
        <w:bottom w:val="none" w:sz="0" w:space="0" w:color="auto"/>
        <w:right w:val="none" w:sz="0" w:space="0" w:color="auto"/>
      </w:divBdr>
    </w:div>
    <w:div w:id="1464883579">
      <w:bodyDiv w:val="1"/>
      <w:marLeft w:val="0"/>
      <w:marRight w:val="0"/>
      <w:marTop w:val="0"/>
      <w:marBottom w:val="0"/>
      <w:divBdr>
        <w:top w:val="none" w:sz="0" w:space="0" w:color="auto"/>
        <w:left w:val="none" w:sz="0" w:space="0" w:color="auto"/>
        <w:bottom w:val="none" w:sz="0" w:space="0" w:color="auto"/>
        <w:right w:val="none" w:sz="0" w:space="0" w:color="auto"/>
      </w:divBdr>
    </w:div>
    <w:div w:id="1484084867">
      <w:bodyDiv w:val="1"/>
      <w:marLeft w:val="0"/>
      <w:marRight w:val="0"/>
      <w:marTop w:val="0"/>
      <w:marBottom w:val="0"/>
      <w:divBdr>
        <w:top w:val="none" w:sz="0" w:space="0" w:color="auto"/>
        <w:left w:val="none" w:sz="0" w:space="0" w:color="auto"/>
        <w:bottom w:val="none" w:sz="0" w:space="0" w:color="auto"/>
        <w:right w:val="none" w:sz="0" w:space="0" w:color="auto"/>
      </w:divBdr>
    </w:div>
    <w:div w:id="1490553953">
      <w:bodyDiv w:val="1"/>
      <w:marLeft w:val="0"/>
      <w:marRight w:val="0"/>
      <w:marTop w:val="0"/>
      <w:marBottom w:val="0"/>
      <w:divBdr>
        <w:top w:val="none" w:sz="0" w:space="0" w:color="auto"/>
        <w:left w:val="none" w:sz="0" w:space="0" w:color="auto"/>
        <w:bottom w:val="none" w:sz="0" w:space="0" w:color="auto"/>
        <w:right w:val="none" w:sz="0" w:space="0" w:color="auto"/>
      </w:divBdr>
    </w:div>
    <w:div w:id="1559511485">
      <w:bodyDiv w:val="1"/>
      <w:marLeft w:val="0"/>
      <w:marRight w:val="0"/>
      <w:marTop w:val="0"/>
      <w:marBottom w:val="0"/>
      <w:divBdr>
        <w:top w:val="none" w:sz="0" w:space="0" w:color="auto"/>
        <w:left w:val="none" w:sz="0" w:space="0" w:color="auto"/>
        <w:bottom w:val="none" w:sz="0" w:space="0" w:color="auto"/>
        <w:right w:val="none" w:sz="0" w:space="0" w:color="auto"/>
      </w:divBdr>
    </w:div>
    <w:div w:id="1576427259">
      <w:bodyDiv w:val="1"/>
      <w:marLeft w:val="0"/>
      <w:marRight w:val="0"/>
      <w:marTop w:val="0"/>
      <w:marBottom w:val="0"/>
      <w:divBdr>
        <w:top w:val="none" w:sz="0" w:space="0" w:color="auto"/>
        <w:left w:val="none" w:sz="0" w:space="0" w:color="auto"/>
        <w:bottom w:val="none" w:sz="0" w:space="0" w:color="auto"/>
        <w:right w:val="none" w:sz="0" w:space="0" w:color="auto"/>
      </w:divBdr>
    </w:div>
    <w:div w:id="1596326547">
      <w:bodyDiv w:val="1"/>
      <w:marLeft w:val="0"/>
      <w:marRight w:val="0"/>
      <w:marTop w:val="0"/>
      <w:marBottom w:val="0"/>
      <w:divBdr>
        <w:top w:val="none" w:sz="0" w:space="0" w:color="auto"/>
        <w:left w:val="none" w:sz="0" w:space="0" w:color="auto"/>
        <w:bottom w:val="none" w:sz="0" w:space="0" w:color="auto"/>
        <w:right w:val="none" w:sz="0" w:space="0" w:color="auto"/>
      </w:divBdr>
    </w:div>
    <w:div w:id="1602101291">
      <w:bodyDiv w:val="1"/>
      <w:marLeft w:val="0"/>
      <w:marRight w:val="0"/>
      <w:marTop w:val="0"/>
      <w:marBottom w:val="0"/>
      <w:divBdr>
        <w:top w:val="none" w:sz="0" w:space="0" w:color="auto"/>
        <w:left w:val="none" w:sz="0" w:space="0" w:color="auto"/>
        <w:bottom w:val="none" w:sz="0" w:space="0" w:color="auto"/>
        <w:right w:val="none" w:sz="0" w:space="0" w:color="auto"/>
      </w:divBdr>
    </w:div>
    <w:div w:id="1656690111">
      <w:bodyDiv w:val="1"/>
      <w:marLeft w:val="0"/>
      <w:marRight w:val="0"/>
      <w:marTop w:val="0"/>
      <w:marBottom w:val="0"/>
      <w:divBdr>
        <w:top w:val="none" w:sz="0" w:space="0" w:color="auto"/>
        <w:left w:val="none" w:sz="0" w:space="0" w:color="auto"/>
        <w:bottom w:val="none" w:sz="0" w:space="0" w:color="auto"/>
        <w:right w:val="none" w:sz="0" w:space="0" w:color="auto"/>
      </w:divBdr>
    </w:div>
    <w:div w:id="1660230583">
      <w:bodyDiv w:val="1"/>
      <w:marLeft w:val="0"/>
      <w:marRight w:val="0"/>
      <w:marTop w:val="0"/>
      <w:marBottom w:val="0"/>
      <w:divBdr>
        <w:top w:val="none" w:sz="0" w:space="0" w:color="auto"/>
        <w:left w:val="none" w:sz="0" w:space="0" w:color="auto"/>
        <w:bottom w:val="none" w:sz="0" w:space="0" w:color="auto"/>
        <w:right w:val="none" w:sz="0" w:space="0" w:color="auto"/>
      </w:divBdr>
    </w:div>
    <w:div w:id="1686715093">
      <w:bodyDiv w:val="1"/>
      <w:marLeft w:val="0"/>
      <w:marRight w:val="0"/>
      <w:marTop w:val="0"/>
      <w:marBottom w:val="0"/>
      <w:divBdr>
        <w:top w:val="none" w:sz="0" w:space="0" w:color="auto"/>
        <w:left w:val="none" w:sz="0" w:space="0" w:color="auto"/>
        <w:bottom w:val="none" w:sz="0" w:space="0" w:color="auto"/>
        <w:right w:val="none" w:sz="0" w:space="0" w:color="auto"/>
      </w:divBdr>
    </w:div>
    <w:div w:id="1689023732">
      <w:bodyDiv w:val="1"/>
      <w:marLeft w:val="0"/>
      <w:marRight w:val="0"/>
      <w:marTop w:val="0"/>
      <w:marBottom w:val="0"/>
      <w:divBdr>
        <w:top w:val="none" w:sz="0" w:space="0" w:color="auto"/>
        <w:left w:val="none" w:sz="0" w:space="0" w:color="auto"/>
        <w:bottom w:val="none" w:sz="0" w:space="0" w:color="auto"/>
        <w:right w:val="none" w:sz="0" w:space="0" w:color="auto"/>
      </w:divBdr>
    </w:div>
    <w:div w:id="1708021623">
      <w:bodyDiv w:val="1"/>
      <w:marLeft w:val="0"/>
      <w:marRight w:val="0"/>
      <w:marTop w:val="0"/>
      <w:marBottom w:val="0"/>
      <w:divBdr>
        <w:top w:val="none" w:sz="0" w:space="0" w:color="auto"/>
        <w:left w:val="none" w:sz="0" w:space="0" w:color="auto"/>
        <w:bottom w:val="none" w:sz="0" w:space="0" w:color="auto"/>
        <w:right w:val="none" w:sz="0" w:space="0" w:color="auto"/>
      </w:divBdr>
    </w:div>
    <w:div w:id="1713378314">
      <w:bodyDiv w:val="1"/>
      <w:marLeft w:val="0"/>
      <w:marRight w:val="0"/>
      <w:marTop w:val="0"/>
      <w:marBottom w:val="0"/>
      <w:divBdr>
        <w:top w:val="none" w:sz="0" w:space="0" w:color="auto"/>
        <w:left w:val="none" w:sz="0" w:space="0" w:color="auto"/>
        <w:bottom w:val="none" w:sz="0" w:space="0" w:color="auto"/>
        <w:right w:val="none" w:sz="0" w:space="0" w:color="auto"/>
      </w:divBdr>
    </w:div>
    <w:div w:id="1719434113">
      <w:bodyDiv w:val="1"/>
      <w:marLeft w:val="0"/>
      <w:marRight w:val="0"/>
      <w:marTop w:val="0"/>
      <w:marBottom w:val="0"/>
      <w:divBdr>
        <w:top w:val="none" w:sz="0" w:space="0" w:color="auto"/>
        <w:left w:val="none" w:sz="0" w:space="0" w:color="auto"/>
        <w:bottom w:val="none" w:sz="0" w:space="0" w:color="auto"/>
        <w:right w:val="none" w:sz="0" w:space="0" w:color="auto"/>
      </w:divBdr>
    </w:div>
    <w:div w:id="1737432599">
      <w:bodyDiv w:val="1"/>
      <w:marLeft w:val="0"/>
      <w:marRight w:val="0"/>
      <w:marTop w:val="0"/>
      <w:marBottom w:val="0"/>
      <w:divBdr>
        <w:top w:val="none" w:sz="0" w:space="0" w:color="auto"/>
        <w:left w:val="none" w:sz="0" w:space="0" w:color="auto"/>
        <w:bottom w:val="none" w:sz="0" w:space="0" w:color="auto"/>
        <w:right w:val="none" w:sz="0" w:space="0" w:color="auto"/>
      </w:divBdr>
    </w:div>
    <w:div w:id="1739207845">
      <w:bodyDiv w:val="1"/>
      <w:marLeft w:val="0"/>
      <w:marRight w:val="0"/>
      <w:marTop w:val="0"/>
      <w:marBottom w:val="0"/>
      <w:divBdr>
        <w:top w:val="none" w:sz="0" w:space="0" w:color="auto"/>
        <w:left w:val="none" w:sz="0" w:space="0" w:color="auto"/>
        <w:bottom w:val="none" w:sz="0" w:space="0" w:color="auto"/>
        <w:right w:val="none" w:sz="0" w:space="0" w:color="auto"/>
      </w:divBdr>
    </w:div>
    <w:div w:id="1763598834">
      <w:bodyDiv w:val="1"/>
      <w:marLeft w:val="0"/>
      <w:marRight w:val="0"/>
      <w:marTop w:val="0"/>
      <w:marBottom w:val="0"/>
      <w:divBdr>
        <w:top w:val="none" w:sz="0" w:space="0" w:color="auto"/>
        <w:left w:val="none" w:sz="0" w:space="0" w:color="auto"/>
        <w:bottom w:val="none" w:sz="0" w:space="0" w:color="auto"/>
        <w:right w:val="none" w:sz="0" w:space="0" w:color="auto"/>
      </w:divBdr>
    </w:div>
    <w:div w:id="1764378073">
      <w:bodyDiv w:val="1"/>
      <w:marLeft w:val="0"/>
      <w:marRight w:val="0"/>
      <w:marTop w:val="0"/>
      <w:marBottom w:val="0"/>
      <w:divBdr>
        <w:top w:val="none" w:sz="0" w:space="0" w:color="auto"/>
        <w:left w:val="none" w:sz="0" w:space="0" w:color="auto"/>
        <w:bottom w:val="none" w:sz="0" w:space="0" w:color="auto"/>
        <w:right w:val="none" w:sz="0" w:space="0" w:color="auto"/>
      </w:divBdr>
    </w:div>
    <w:div w:id="1802917897">
      <w:bodyDiv w:val="1"/>
      <w:marLeft w:val="0"/>
      <w:marRight w:val="0"/>
      <w:marTop w:val="0"/>
      <w:marBottom w:val="0"/>
      <w:divBdr>
        <w:top w:val="none" w:sz="0" w:space="0" w:color="auto"/>
        <w:left w:val="none" w:sz="0" w:space="0" w:color="auto"/>
        <w:bottom w:val="none" w:sz="0" w:space="0" w:color="auto"/>
        <w:right w:val="none" w:sz="0" w:space="0" w:color="auto"/>
      </w:divBdr>
    </w:div>
    <w:div w:id="1832984300">
      <w:bodyDiv w:val="1"/>
      <w:marLeft w:val="0"/>
      <w:marRight w:val="0"/>
      <w:marTop w:val="0"/>
      <w:marBottom w:val="0"/>
      <w:divBdr>
        <w:top w:val="none" w:sz="0" w:space="0" w:color="auto"/>
        <w:left w:val="none" w:sz="0" w:space="0" w:color="auto"/>
        <w:bottom w:val="none" w:sz="0" w:space="0" w:color="auto"/>
        <w:right w:val="none" w:sz="0" w:space="0" w:color="auto"/>
      </w:divBdr>
    </w:div>
    <w:div w:id="1846162309">
      <w:bodyDiv w:val="1"/>
      <w:marLeft w:val="0"/>
      <w:marRight w:val="0"/>
      <w:marTop w:val="0"/>
      <w:marBottom w:val="0"/>
      <w:divBdr>
        <w:top w:val="none" w:sz="0" w:space="0" w:color="auto"/>
        <w:left w:val="none" w:sz="0" w:space="0" w:color="auto"/>
        <w:bottom w:val="none" w:sz="0" w:space="0" w:color="auto"/>
        <w:right w:val="none" w:sz="0" w:space="0" w:color="auto"/>
      </w:divBdr>
    </w:div>
    <w:div w:id="1892155430">
      <w:bodyDiv w:val="1"/>
      <w:marLeft w:val="0"/>
      <w:marRight w:val="0"/>
      <w:marTop w:val="0"/>
      <w:marBottom w:val="0"/>
      <w:divBdr>
        <w:top w:val="none" w:sz="0" w:space="0" w:color="auto"/>
        <w:left w:val="none" w:sz="0" w:space="0" w:color="auto"/>
        <w:bottom w:val="none" w:sz="0" w:space="0" w:color="auto"/>
        <w:right w:val="none" w:sz="0" w:space="0" w:color="auto"/>
      </w:divBdr>
    </w:div>
    <w:div w:id="1905094496">
      <w:bodyDiv w:val="1"/>
      <w:marLeft w:val="0"/>
      <w:marRight w:val="0"/>
      <w:marTop w:val="0"/>
      <w:marBottom w:val="0"/>
      <w:divBdr>
        <w:top w:val="none" w:sz="0" w:space="0" w:color="auto"/>
        <w:left w:val="none" w:sz="0" w:space="0" w:color="auto"/>
        <w:bottom w:val="none" w:sz="0" w:space="0" w:color="auto"/>
        <w:right w:val="none" w:sz="0" w:space="0" w:color="auto"/>
      </w:divBdr>
    </w:div>
    <w:div w:id="1906648386">
      <w:bodyDiv w:val="1"/>
      <w:marLeft w:val="0"/>
      <w:marRight w:val="0"/>
      <w:marTop w:val="0"/>
      <w:marBottom w:val="0"/>
      <w:divBdr>
        <w:top w:val="none" w:sz="0" w:space="0" w:color="auto"/>
        <w:left w:val="none" w:sz="0" w:space="0" w:color="auto"/>
        <w:bottom w:val="none" w:sz="0" w:space="0" w:color="auto"/>
        <w:right w:val="none" w:sz="0" w:space="0" w:color="auto"/>
      </w:divBdr>
    </w:div>
    <w:div w:id="1918972579">
      <w:bodyDiv w:val="1"/>
      <w:marLeft w:val="0"/>
      <w:marRight w:val="0"/>
      <w:marTop w:val="0"/>
      <w:marBottom w:val="0"/>
      <w:divBdr>
        <w:top w:val="none" w:sz="0" w:space="0" w:color="auto"/>
        <w:left w:val="none" w:sz="0" w:space="0" w:color="auto"/>
        <w:bottom w:val="none" w:sz="0" w:space="0" w:color="auto"/>
        <w:right w:val="none" w:sz="0" w:space="0" w:color="auto"/>
      </w:divBdr>
    </w:div>
    <w:div w:id="1920408903">
      <w:bodyDiv w:val="1"/>
      <w:marLeft w:val="0"/>
      <w:marRight w:val="0"/>
      <w:marTop w:val="0"/>
      <w:marBottom w:val="0"/>
      <w:divBdr>
        <w:top w:val="none" w:sz="0" w:space="0" w:color="auto"/>
        <w:left w:val="none" w:sz="0" w:space="0" w:color="auto"/>
        <w:bottom w:val="none" w:sz="0" w:space="0" w:color="auto"/>
        <w:right w:val="none" w:sz="0" w:space="0" w:color="auto"/>
      </w:divBdr>
    </w:div>
    <w:div w:id="1929843640">
      <w:bodyDiv w:val="1"/>
      <w:marLeft w:val="0"/>
      <w:marRight w:val="0"/>
      <w:marTop w:val="0"/>
      <w:marBottom w:val="0"/>
      <w:divBdr>
        <w:top w:val="none" w:sz="0" w:space="0" w:color="auto"/>
        <w:left w:val="none" w:sz="0" w:space="0" w:color="auto"/>
        <w:bottom w:val="none" w:sz="0" w:space="0" w:color="auto"/>
        <w:right w:val="none" w:sz="0" w:space="0" w:color="auto"/>
      </w:divBdr>
    </w:div>
    <w:div w:id="2022850836">
      <w:bodyDiv w:val="1"/>
      <w:marLeft w:val="0"/>
      <w:marRight w:val="0"/>
      <w:marTop w:val="0"/>
      <w:marBottom w:val="0"/>
      <w:divBdr>
        <w:top w:val="none" w:sz="0" w:space="0" w:color="auto"/>
        <w:left w:val="none" w:sz="0" w:space="0" w:color="auto"/>
        <w:bottom w:val="none" w:sz="0" w:space="0" w:color="auto"/>
        <w:right w:val="none" w:sz="0" w:space="0" w:color="auto"/>
      </w:divBdr>
    </w:div>
    <w:div w:id="2076076833">
      <w:bodyDiv w:val="1"/>
      <w:marLeft w:val="0"/>
      <w:marRight w:val="0"/>
      <w:marTop w:val="0"/>
      <w:marBottom w:val="0"/>
      <w:divBdr>
        <w:top w:val="none" w:sz="0" w:space="0" w:color="auto"/>
        <w:left w:val="none" w:sz="0" w:space="0" w:color="auto"/>
        <w:bottom w:val="none" w:sz="0" w:space="0" w:color="auto"/>
        <w:right w:val="none" w:sz="0" w:space="0" w:color="auto"/>
      </w:divBdr>
    </w:div>
    <w:div w:id="2089231481">
      <w:bodyDiv w:val="1"/>
      <w:marLeft w:val="0"/>
      <w:marRight w:val="0"/>
      <w:marTop w:val="0"/>
      <w:marBottom w:val="0"/>
      <w:divBdr>
        <w:top w:val="none" w:sz="0" w:space="0" w:color="auto"/>
        <w:left w:val="none" w:sz="0" w:space="0" w:color="auto"/>
        <w:bottom w:val="none" w:sz="0" w:space="0" w:color="auto"/>
        <w:right w:val="none" w:sz="0" w:space="0" w:color="auto"/>
      </w:divBdr>
    </w:div>
    <w:div w:id="2100515480">
      <w:bodyDiv w:val="1"/>
      <w:marLeft w:val="0"/>
      <w:marRight w:val="0"/>
      <w:marTop w:val="0"/>
      <w:marBottom w:val="0"/>
      <w:divBdr>
        <w:top w:val="none" w:sz="0" w:space="0" w:color="auto"/>
        <w:left w:val="none" w:sz="0" w:space="0" w:color="auto"/>
        <w:bottom w:val="none" w:sz="0" w:space="0" w:color="auto"/>
        <w:right w:val="none" w:sz="0" w:space="0" w:color="auto"/>
      </w:divBdr>
    </w:div>
    <w:div w:id="2119908487">
      <w:bodyDiv w:val="1"/>
      <w:marLeft w:val="0"/>
      <w:marRight w:val="0"/>
      <w:marTop w:val="0"/>
      <w:marBottom w:val="0"/>
      <w:divBdr>
        <w:top w:val="none" w:sz="0" w:space="0" w:color="auto"/>
        <w:left w:val="none" w:sz="0" w:space="0" w:color="auto"/>
        <w:bottom w:val="none" w:sz="0" w:space="0" w:color="auto"/>
        <w:right w:val="none" w:sz="0" w:space="0" w:color="auto"/>
      </w:divBdr>
    </w:div>
    <w:div w:id="21228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ITFS01\ChangeManagement\Templates\Change%20Proposal%20Documents\3%20-%20CP%20Consultation\%5bCP02%20-%20v1.0%5d%20CPXXXX_CPC%20-%20CP%20Consultation%20Responses%20v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1DBA-3029-4C73-AB8F-CFBCFCA7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[CP02 - v1.0] CPXXXX_CPC - CP Consultation Responses vX.X</Template>
  <TotalTime>1734</TotalTime>
  <Pages>11</Pages>
  <Words>1635</Words>
  <Characters>8449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CP1544 CP Consultation Responses</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CP1544 CP Consultation Responses</dc:title>
  <dc:subject>CPXXXX CP Consultation Responses</dc:subject>
  <dc:creator>George Crabtree</dc:creator>
  <cp:keywords>CP1544 CP Consultation Responses</cp:keywords>
  <cp:lastModifiedBy>George Crabtree</cp:lastModifiedBy>
  <cp:revision>3</cp:revision>
  <cp:lastPrinted>2013-05-28T10:14:00Z</cp:lastPrinted>
  <dcterms:created xsi:type="dcterms:W3CDTF">2021-07-06T12:47:00Z</dcterms:created>
  <dcterms:modified xsi:type="dcterms:W3CDTF">2021-07-09T14:45:00Z</dcterms:modified>
  <cp:category>CPXXXX CP Consultation Responses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CP Consultation Responses</vt:lpwstr>
  </property>
  <property fmtid="{D5CDD505-2E9C-101B-9397-08002B2CF9AE}" pid="3" name="Subject">
    <vt:lpwstr>CP1544</vt:lpwstr>
  </property>
  <property fmtid="{D5CDD505-2E9C-101B-9397-08002B2CF9AE}" pid="4" name="Date">
    <vt:lpwstr>6 July 2021</vt:lpwstr>
  </property>
  <property fmtid="{D5CDD505-2E9C-101B-9397-08002B2CF9AE}" pid="5" name="Version">
    <vt:lpwstr>1.0</vt:lpwstr>
  </property>
</Properties>
</file>