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8DE71" w14:textId="77777777" w:rsidR="0054644A" w:rsidRPr="009359EA" w:rsidRDefault="00D53593" w:rsidP="00A95530">
      <w:pPr>
        <w:pStyle w:val="Heading2"/>
        <w:numPr>
          <w:ilvl w:val="0"/>
          <w:numId w:val="0"/>
        </w:numPr>
      </w:pPr>
      <w:bookmarkStart w:id="0" w:name="_Toc379515818"/>
      <w:bookmarkStart w:id="1" w:name="_Toc370135664"/>
      <w:bookmarkStart w:id="2" w:name="_Toc500826820"/>
      <w:bookmarkStart w:id="3" w:name="_Toc528156084"/>
      <w:bookmarkStart w:id="4" w:name="_Toc534018417"/>
      <w:bookmarkStart w:id="5" w:name="_Toc41992484"/>
      <w:bookmarkStart w:id="6" w:name="_Toc382496191"/>
      <w:bookmarkStart w:id="7" w:name="_Toc382729711"/>
      <w:bookmarkStart w:id="8" w:name="_Toc394740163"/>
      <w:bookmarkStart w:id="9" w:name="_Toc394742149"/>
      <w:bookmarkStart w:id="10" w:name="_Toc398005513"/>
      <w:bookmarkStart w:id="11" w:name="_Toc398008686"/>
      <w:bookmarkStart w:id="12" w:name="_Toc398010736"/>
      <w:bookmarkStart w:id="13" w:name="_Toc398012761"/>
      <w:bookmarkStart w:id="14" w:name="_GoBack"/>
      <w:bookmarkEnd w:id="0"/>
      <w:bookmarkEnd w:id="14"/>
      <w:r w:rsidRPr="009359EA">
        <w:t>4.3</w:t>
      </w:r>
      <w:r w:rsidRPr="009359EA">
        <w:tab/>
        <w:t>CP Form</w:t>
      </w:r>
      <w:bookmarkEnd w:id="1"/>
      <w:bookmarkEnd w:id="2"/>
      <w:bookmarkEnd w:id="3"/>
      <w:bookmarkEnd w:id="4"/>
      <w:bookmarkEnd w:id="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14:paraId="3784AC4C" w14:textId="77777777">
        <w:trPr>
          <w:cantSplit/>
        </w:trPr>
        <w:tc>
          <w:tcPr>
            <w:tcW w:w="327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FA35B9" w14:textId="77777777" w:rsidR="0054644A" w:rsidRPr="009359EA" w:rsidRDefault="00D53593">
            <w:pPr>
              <w:suppressAutoHyphens/>
              <w:jc w:val="center"/>
              <w:rPr>
                <w:b/>
              </w:rPr>
            </w:pPr>
            <w:r w:rsidRPr="009359EA">
              <w:rPr>
                <w:b/>
              </w:rPr>
              <w:t>Change Proposal – BSCP40/02</w:t>
            </w:r>
          </w:p>
        </w:tc>
        <w:tc>
          <w:tcPr>
            <w:tcW w:w="1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EBB52D" w14:textId="77777777" w:rsidR="0054644A" w:rsidRPr="009359EA" w:rsidRDefault="00D53593">
            <w:pPr>
              <w:suppressAutoHyphens/>
              <w:spacing w:after="120"/>
              <w:rPr>
                <w:b/>
              </w:rPr>
            </w:pPr>
            <w:r w:rsidRPr="009359EA">
              <w:rPr>
                <w:b/>
              </w:rPr>
              <w:t>CP No:</w:t>
            </w:r>
          </w:p>
          <w:p w14:paraId="45925750" w14:textId="77777777" w:rsidR="0054644A" w:rsidRPr="009359EA" w:rsidRDefault="00D53593">
            <w:pPr>
              <w:suppressAutoHyphens/>
              <w:rPr>
                <w:i/>
              </w:rPr>
            </w:pPr>
            <w:r w:rsidRPr="009359EA">
              <w:rPr>
                <w:i/>
              </w:rPr>
              <w:t xml:space="preserve">Version No: </w:t>
            </w:r>
          </w:p>
          <w:p w14:paraId="1A2C7B58" w14:textId="77777777" w:rsidR="0054644A" w:rsidRPr="009359EA" w:rsidRDefault="00D53593">
            <w:pPr>
              <w:suppressAutoHyphens/>
              <w:spacing w:after="120"/>
              <w:rPr>
                <w:i/>
                <w:sz w:val="20"/>
              </w:rPr>
            </w:pPr>
            <w:r w:rsidRPr="009359EA">
              <w:rPr>
                <w:i/>
                <w:spacing w:val="-3"/>
                <w:sz w:val="20"/>
              </w:rPr>
              <w:t xml:space="preserve">(mandatory by </w:t>
            </w:r>
            <w:proofErr w:type="spellStart"/>
            <w:r w:rsidRPr="009359EA">
              <w:rPr>
                <w:i/>
                <w:spacing w:val="-3"/>
                <w:sz w:val="20"/>
              </w:rPr>
              <w:t>BSCCo</w:t>
            </w:r>
            <w:proofErr w:type="spellEnd"/>
            <w:r w:rsidRPr="009359EA">
              <w:rPr>
                <w:i/>
                <w:spacing w:val="-3"/>
                <w:sz w:val="20"/>
              </w:rPr>
              <w:t>)</w:t>
            </w:r>
          </w:p>
        </w:tc>
      </w:tr>
      <w:tr w:rsidR="0054644A" w:rsidRPr="009359EA" w14:paraId="7BFB3DE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77D2A477" w14:textId="77777777" w:rsidR="0054644A" w:rsidRPr="009359EA" w:rsidRDefault="00D53593">
            <w:pPr>
              <w:suppressAutoHyphens/>
              <w:spacing w:after="240"/>
              <w:jc w:val="both"/>
              <w:rPr>
                <w:b/>
                <w:spacing w:val="-3"/>
              </w:rPr>
            </w:pPr>
            <w:r w:rsidRPr="009359EA">
              <w:rPr>
                <w:b/>
                <w:spacing w:val="-3"/>
              </w:rPr>
              <w:t>Title (mandatory by originator)</w:t>
            </w:r>
          </w:p>
          <w:p w14:paraId="66FC66A9" w14:textId="0BF70CFD" w:rsidR="0054644A" w:rsidRPr="009359EA" w:rsidRDefault="004E039B" w:rsidP="00227246">
            <w:pPr>
              <w:suppressAutoHyphens/>
              <w:spacing w:after="240"/>
              <w:jc w:val="both"/>
              <w:rPr>
                <w:b/>
                <w:spacing w:val="-3"/>
              </w:rPr>
            </w:pPr>
            <w:r>
              <w:t xml:space="preserve">New Site Visit Check Code </w:t>
            </w:r>
            <w:r w:rsidR="00227246">
              <w:t xml:space="preserve">Valid Set </w:t>
            </w:r>
            <w:r w:rsidR="003A21B4">
              <w:t>v</w:t>
            </w:r>
            <w:r w:rsidR="00227246">
              <w:t>alue</w:t>
            </w:r>
          </w:p>
        </w:tc>
      </w:tr>
      <w:tr w:rsidR="0054644A" w:rsidRPr="009359EA" w14:paraId="087C3F3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7083B9CF" w14:textId="77777777" w:rsidR="0054644A" w:rsidRPr="009359EA" w:rsidRDefault="00D53593">
            <w:pPr>
              <w:suppressAutoHyphens/>
              <w:jc w:val="both"/>
              <w:rPr>
                <w:spacing w:val="-3"/>
              </w:rPr>
            </w:pPr>
            <w:r w:rsidRPr="009359EA">
              <w:rPr>
                <w:b/>
                <w:spacing w:val="-3"/>
              </w:rPr>
              <w:t>Description of Problem/Issue</w:t>
            </w:r>
            <w:r w:rsidRPr="009359EA">
              <w:rPr>
                <w:spacing w:val="-3"/>
              </w:rPr>
              <w:t xml:space="preserve"> (mandatory by originator)</w:t>
            </w:r>
          </w:p>
        </w:tc>
      </w:tr>
      <w:tr w:rsidR="0054644A" w:rsidRPr="009359EA" w14:paraId="6C753BB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21914AE4" w14:textId="1FB9FF15" w:rsidR="003500FC" w:rsidRDefault="003500FC" w:rsidP="007C25A1">
            <w:r w:rsidRPr="003500FC">
              <w:t>Distribution Connection and Use of System Agreement (DCUSA)</w:t>
            </w:r>
            <w:r>
              <w:t xml:space="preserve"> Modification </w:t>
            </w:r>
            <w:hyperlink r:id="rId11" w:history="1">
              <w:r w:rsidRPr="00227246">
                <w:rPr>
                  <w:rStyle w:val="Hyperlink"/>
                </w:rPr>
                <w:t>DCP411</w:t>
              </w:r>
            </w:hyperlink>
            <w:r>
              <w:t xml:space="preserve"> ‘</w:t>
            </w:r>
            <w:r w:rsidRPr="003500FC">
              <w:t>Charging De-energised sites</w:t>
            </w:r>
            <w:r>
              <w:t xml:space="preserve">’ seeks to </w:t>
            </w:r>
            <w:r w:rsidR="00D81BA8" w:rsidRPr="00D81BA8">
              <w:t xml:space="preserve">remove the different treatment of </w:t>
            </w:r>
            <w:r w:rsidR="00FD2209">
              <w:t>Distribution Use of System (</w:t>
            </w:r>
            <w:proofErr w:type="spellStart"/>
            <w:r w:rsidR="00D81BA8" w:rsidRPr="00D81BA8">
              <w:t>DUoS</w:t>
            </w:r>
            <w:proofErr w:type="spellEnd"/>
            <w:r w:rsidR="00FD2209">
              <w:t>)</w:t>
            </w:r>
            <w:r w:rsidR="00D81BA8" w:rsidRPr="00D81BA8">
              <w:t xml:space="preserve"> with respect to de-energised sites.</w:t>
            </w:r>
          </w:p>
          <w:p w14:paraId="5DF2CB9E" w14:textId="77777777" w:rsidR="003500FC" w:rsidRDefault="003500FC" w:rsidP="00A15338">
            <w:pPr>
              <w:jc w:val="both"/>
            </w:pPr>
          </w:p>
          <w:p w14:paraId="467A4E7B" w14:textId="48BBE24B" w:rsidR="00082897" w:rsidRDefault="00D81BA8" w:rsidP="007C25A1">
            <w:r>
              <w:t xml:space="preserve">If DCP411 is approved, </w:t>
            </w:r>
            <w:r w:rsidR="00FD2209" w:rsidRPr="00FD2209">
              <w:t>Licensed Distribution System Operator</w:t>
            </w:r>
            <w:r w:rsidR="00FD2209">
              <w:t>s (</w:t>
            </w:r>
            <w:r w:rsidR="00345983">
              <w:t>LDSOs</w:t>
            </w:r>
            <w:r w:rsidR="00FD2209">
              <w:t>)</w:t>
            </w:r>
            <w:r w:rsidR="00345983">
              <w:t xml:space="preserve"> </w:t>
            </w:r>
            <w:r>
              <w:t xml:space="preserve">will </w:t>
            </w:r>
            <w:r w:rsidR="00345983">
              <w:t xml:space="preserve">need to be able to issue a notice to Suppliers advising them that </w:t>
            </w:r>
            <w:proofErr w:type="spellStart"/>
            <w:r w:rsidR="00345983">
              <w:t>DUoS</w:t>
            </w:r>
            <w:proofErr w:type="spellEnd"/>
            <w:r w:rsidR="00345983">
              <w:t xml:space="preserve"> charges will apply to de-energised sites.</w:t>
            </w:r>
            <w:r w:rsidR="006A1BCB">
              <w:t xml:space="preserve"> </w:t>
            </w:r>
          </w:p>
          <w:p w14:paraId="5D21959B" w14:textId="77777777" w:rsidR="00082897" w:rsidRPr="00082897" w:rsidRDefault="001C2224" w:rsidP="00A15338">
            <w:pPr>
              <w:tabs>
                <w:tab w:val="left" w:pos="5233"/>
              </w:tabs>
              <w:jc w:val="both"/>
            </w:pPr>
            <w:r>
              <w:tab/>
            </w:r>
          </w:p>
        </w:tc>
      </w:tr>
      <w:tr w:rsidR="0054644A" w:rsidRPr="009359EA" w14:paraId="53A6BC3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6881B918" w14:textId="77777777" w:rsidR="0054644A" w:rsidRPr="009359EA" w:rsidRDefault="00D53593">
            <w:pPr>
              <w:suppressAutoHyphens/>
              <w:jc w:val="both"/>
              <w:rPr>
                <w:spacing w:val="-3"/>
              </w:rPr>
            </w:pPr>
            <w:r w:rsidRPr="009359EA">
              <w:rPr>
                <w:b/>
                <w:spacing w:val="-3"/>
              </w:rPr>
              <w:t>Proposed Solution (</w:t>
            </w:r>
            <w:r w:rsidRPr="009359EA">
              <w:rPr>
                <w:spacing w:val="-3"/>
              </w:rPr>
              <w:t>mandatory by originator)</w:t>
            </w:r>
          </w:p>
        </w:tc>
      </w:tr>
      <w:tr w:rsidR="0054644A" w:rsidRPr="009359EA" w14:paraId="195032F7"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3E9046ED" w14:textId="781FAD90" w:rsidR="00B475A7" w:rsidRDefault="00D81BA8" w:rsidP="00082897">
            <w:r>
              <w:t xml:space="preserve">Introduce a new </w:t>
            </w:r>
            <w:r w:rsidR="00D02F3D">
              <w:t>Data Item Enumeration (</w:t>
            </w:r>
            <w:r w:rsidR="00B475A7">
              <w:t>valid set item</w:t>
            </w:r>
            <w:r w:rsidR="00D02F3D">
              <w:t>)</w:t>
            </w:r>
            <w:r w:rsidR="00B475A7">
              <w:t xml:space="preserve"> </w:t>
            </w:r>
            <w:r w:rsidR="00D02F3D">
              <w:t>for</w:t>
            </w:r>
            <w:r w:rsidR="00B475A7">
              <w:t xml:space="preserve"> the ‘Site Visit Check Code’ Data Item</w:t>
            </w:r>
            <w:r w:rsidR="0033689B">
              <w:t xml:space="preserve"> (J0024)</w:t>
            </w:r>
            <w:r w:rsidR="00B475A7">
              <w:t>:</w:t>
            </w:r>
          </w:p>
          <w:p w14:paraId="3FFDD8F9" w14:textId="77777777" w:rsidR="00D02F3D" w:rsidRDefault="00D02F3D" w:rsidP="00082897"/>
          <w:tbl>
            <w:tblPr>
              <w:tblW w:w="48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97"/>
              <w:gridCol w:w="6379"/>
            </w:tblGrid>
            <w:tr w:rsidR="00D02F3D" w:rsidRPr="00D02F3D" w14:paraId="72243A91" w14:textId="77777777" w:rsidTr="00227246">
              <w:tc>
                <w:tcPr>
                  <w:tcW w:w="1281" w:type="pct"/>
                  <w:tcBorders>
                    <w:top w:val="single" w:sz="6" w:space="0" w:color="000000"/>
                    <w:left w:val="single" w:sz="6" w:space="0" w:color="000000"/>
                    <w:bottom w:val="single" w:sz="6" w:space="0" w:color="000000"/>
                    <w:right w:val="single" w:sz="6" w:space="0" w:color="000000"/>
                  </w:tcBorders>
                  <w:vAlign w:val="center"/>
                  <w:hideMark/>
                </w:tcPr>
                <w:p w14:paraId="0879B15C" w14:textId="77777777" w:rsidR="00D02F3D" w:rsidRPr="00227246" w:rsidRDefault="00D02F3D" w:rsidP="00227246">
                  <w:pPr>
                    <w:rPr>
                      <w:b/>
                    </w:rPr>
                  </w:pPr>
                  <w:r w:rsidRPr="00227246">
                    <w:rPr>
                      <w:b/>
                    </w:rPr>
                    <w:t>Enumeration Value</w:t>
                  </w:r>
                </w:p>
              </w:tc>
              <w:tc>
                <w:tcPr>
                  <w:tcW w:w="3719" w:type="pct"/>
                  <w:tcBorders>
                    <w:top w:val="single" w:sz="6" w:space="0" w:color="000000"/>
                    <w:left w:val="single" w:sz="6" w:space="0" w:color="000000"/>
                    <w:bottom w:val="single" w:sz="6" w:space="0" w:color="000000"/>
                    <w:right w:val="single" w:sz="6" w:space="0" w:color="000000"/>
                  </w:tcBorders>
                  <w:vAlign w:val="center"/>
                  <w:hideMark/>
                </w:tcPr>
                <w:p w14:paraId="3F95D549" w14:textId="77777777" w:rsidR="00D02F3D" w:rsidRPr="00227246" w:rsidRDefault="00D02F3D" w:rsidP="00227246">
                  <w:pPr>
                    <w:rPr>
                      <w:b/>
                    </w:rPr>
                  </w:pPr>
                  <w:r w:rsidRPr="00227246">
                    <w:rPr>
                      <w:b/>
                    </w:rPr>
                    <w:t>Enumeration Description</w:t>
                  </w:r>
                </w:p>
              </w:tc>
            </w:tr>
            <w:tr w:rsidR="00D02F3D" w:rsidRPr="00D02F3D" w14:paraId="7D1C6D80" w14:textId="77777777" w:rsidTr="00227246">
              <w:tc>
                <w:tcPr>
                  <w:tcW w:w="1281" w:type="pct"/>
                  <w:tcBorders>
                    <w:top w:val="single" w:sz="6" w:space="0" w:color="000000"/>
                    <w:left w:val="single" w:sz="6" w:space="0" w:color="000000"/>
                    <w:bottom w:val="single" w:sz="6" w:space="0" w:color="000000"/>
                    <w:right w:val="single" w:sz="6" w:space="0" w:color="000000"/>
                  </w:tcBorders>
                  <w:vAlign w:val="center"/>
                  <w:hideMark/>
                </w:tcPr>
                <w:p w14:paraId="72E7BFD6" w14:textId="77777777" w:rsidR="00D02F3D" w:rsidRDefault="00D02F3D" w:rsidP="00D02F3D">
                  <w:r>
                    <w:t>90</w:t>
                  </w:r>
                </w:p>
              </w:tc>
              <w:tc>
                <w:tcPr>
                  <w:tcW w:w="3719" w:type="pct"/>
                  <w:tcBorders>
                    <w:top w:val="single" w:sz="6" w:space="0" w:color="000000"/>
                    <w:left w:val="single" w:sz="6" w:space="0" w:color="000000"/>
                    <w:bottom w:val="single" w:sz="6" w:space="0" w:color="000000"/>
                    <w:right w:val="single" w:sz="6" w:space="0" w:color="000000"/>
                  </w:tcBorders>
                  <w:vAlign w:val="center"/>
                  <w:hideMark/>
                </w:tcPr>
                <w:p w14:paraId="3FB77BFD" w14:textId="77777777" w:rsidR="00D02F3D" w:rsidRDefault="00124F08" w:rsidP="00D02F3D">
                  <w:r w:rsidRPr="00C7260E">
                    <w:t xml:space="preserve">De-energised </w:t>
                  </w:r>
                  <w:proofErr w:type="spellStart"/>
                  <w:r w:rsidRPr="00C7260E">
                    <w:t>DUoS</w:t>
                  </w:r>
                  <w:proofErr w:type="spellEnd"/>
                  <w:r w:rsidRPr="00C7260E">
                    <w:t xml:space="preserve"> charges will apply</w:t>
                  </w:r>
                </w:p>
              </w:tc>
            </w:tr>
          </w:tbl>
          <w:p w14:paraId="46A1CA79" w14:textId="77777777" w:rsidR="001C2224" w:rsidRDefault="001C2224" w:rsidP="00A15338">
            <w:pPr>
              <w:pStyle w:val="BodyTextIndent"/>
              <w:spacing w:after="0"/>
              <w:ind w:left="0"/>
            </w:pPr>
          </w:p>
          <w:p w14:paraId="47E17147" w14:textId="77777777" w:rsidR="00A244AA" w:rsidRDefault="00D02F3D" w:rsidP="00227246">
            <w:pPr>
              <w:pStyle w:val="BodyTextIndent"/>
              <w:ind w:left="0"/>
            </w:pPr>
            <w:r>
              <w:t xml:space="preserve">While the J0024 data item is included in </w:t>
            </w:r>
            <w:r w:rsidR="00A244AA">
              <w:t>12 Market Messages (</w:t>
            </w:r>
            <w:r w:rsidR="00871C24" w:rsidRPr="00871C24">
              <w:t>Data Transfer Network</w:t>
            </w:r>
            <w:r w:rsidR="00871C24">
              <w:t xml:space="preserve"> (</w:t>
            </w:r>
            <w:r w:rsidR="00A244AA">
              <w:t>DTN</w:t>
            </w:r>
            <w:r w:rsidR="00871C24">
              <w:t>)</w:t>
            </w:r>
            <w:r w:rsidR="00A244AA">
              <w:t xml:space="preserve"> data flows), </w:t>
            </w:r>
            <w:r>
              <w:t>Enumeration Value 90 would only be used in</w:t>
            </w:r>
            <w:r w:rsidR="00A244AA">
              <w:t xml:space="preserve"> one Scenario Variant</w:t>
            </w:r>
            <w:r w:rsidR="00124F08">
              <w:t xml:space="preserve"> (SV)</w:t>
            </w:r>
            <w:r w:rsidR="00A244AA">
              <w:t xml:space="preserve"> of one Market Message</w:t>
            </w:r>
            <w:r w:rsidR="00124F08">
              <w:t xml:space="preserve"> (MM)</w:t>
            </w:r>
            <w:r w:rsidR="00A244AA">
              <w:t>:</w:t>
            </w:r>
          </w:p>
          <w:p w14:paraId="2EC38B28" w14:textId="77777777" w:rsidR="00124F08" w:rsidRDefault="00A244AA" w:rsidP="00227246">
            <w:pPr>
              <w:pStyle w:val="BodyTextIndent"/>
              <w:numPr>
                <w:ilvl w:val="0"/>
                <w:numId w:val="36"/>
              </w:numPr>
              <w:jc w:val="left"/>
            </w:pPr>
            <w:r w:rsidRPr="00A244AA">
              <w:t>MM00036</w:t>
            </w:r>
            <w:r w:rsidR="00124F08">
              <w:t xml:space="preserve"> (D0139): </w:t>
            </w:r>
            <w:r>
              <w:t>‘</w:t>
            </w:r>
            <w:r w:rsidRPr="00A244AA">
              <w:t>Confirmation or Rejection of Energisation Status Change</w:t>
            </w:r>
            <w:r>
              <w:t>’;</w:t>
            </w:r>
          </w:p>
          <w:p w14:paraId="1EBE599F" w14:textId="77777777" w:rsidR="00B475A7" w:rsidRDefault="00A244AA" w:rsidP="00A15338">
            <w:pPr>
              <w:pStyle w:val="BodyTextIndent"/>
              <w:numPr>
                <w:ilvl w:val="0"/>
                <w:numId w:val="36"/>
              </w:numPr>
              <w:jc w:val="left"/>
            </w:pPr>
            <w:r w:rsidRPr="00A244AA">
              <w:t>SV00037</w:t>
            </w:r>
            <w:r w:rsidR="00124F08">
              <w:t>:</w:t>
            </w:r>
            <w:r>
              <w:t xml:space="preserve"> LDSO -&gt; Supplier</w:t>
            </w:r>
          </w:p>
          <w:p w14:paraId="0780E54F" w14:textId="78010633" w:rsidR="00E14E87" w:rsidRDefault="00124F08" w:rsidP="00082897">
            <w:r>
              <w:t>As the</w:t>
            </w:r>
            <w:r w:rsidR="00E14E87">
              <w:t xml:space="preserve"> J0024 </w:t>
            </w:r>
            <w:r w:rsidR="00CE3491">
              <w:t xml:space="preserve">is a BSC-owned data item in the </w:t>
            </w:r>
            <w:r w:rsidR="00871C24" w:rsidRPr="00871C24">
              <w:t>Energy Market Architecture Repository</w:t>
            </w:r>
            <w:r w:rsidR="00871C24">
              <w:t xml:space="preserve"> (</w:t>
            </w:r>
            <w:r w:rsidR="00CE3491">
              <w:t>EMAR</w:t>
            </w:r>
            <w:r w:rsidR="00871C24">
              <w:t>)</w:t>
            </w:r>
            <w:r w:rsidR="00CE3491">
              <w:t xml:space="preserve"> Data Spec</w:t>
            </w:r>
            <w:r>
              <w:t>ification, any change to it requires approval under BSC Governance.</w:t>
            </w:r>
            <w:r w:rsidR="005733D1">
              <w:t xml:space="preserve"> And, as there is no change to the format of any of the impacted Market Messages, a Retail Energy Code (REC) Change Proposal is not required </w:t>
            </w:r>
          </w:p>
          <w:p w14:paraId="76E9B22E" w14:textId="77777777" w:rsidR="00124F08" w:rsidRDefault="00124F08" w:rsidP="00082897"/>
          <w:p w14:paraId="7E658E89" w14:textId="77777777" w:rsidR="00124F08" w:rsidRDefault="00124F08" w:rsidP="00082897">
            <w:r>
              <w:t>However</w:t>
            </w:r>
            <w:r w:rsidR="005733D1">
              <w:t xml:space="preserve">, </w:t>
            </w:r>
            <w:r w:rsidR="0033689B">
              <w:t xml:space="preserve">the </w:t>
            </w:r>
            <w:r w:rsidR="00871C24" w:rsidRPr="00871C24">
              <w:t>Supplier Volume Allocation</w:t>
            </w:r>
            <w:r w:rsidR="00871C24">
              <w:t xml:space="preserve"> (</w:t>
            </w:r>
            <w:r w:rsidR="0033689B">
              <w:t>SVA</w:t>
            </w:r>
            <w:r w:rsidR="00871C24">
              <w:t>)</w:t>
            </w:r>
            <w:r w:rsidR="0033689B">
              <w:t xml:space="preserve"> Data Catalogue Volume 2 does not specify the Valid Set for the Site Visit Check Code’ Data Item, so no changes are required to any BSC Configurable Items.</w:t>
            </w:r>
          </w:p>
          <w:p w14:paraId="191A197B" w14:textId="77777777" w:rsidR="00082897" w:rsidRPr="00227246" w:rsidRDefault="00082897" w:rsidP="00082897"/>
        </w:tc>
      </w:tr>
      <w:tr w:rsidR="0054644A" w:rsidRPr="009359EA" w14:paraId="43B8F730"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34BFF8CF" w14:textId="77777777" w:rsidR="0054644A" w:rsidRPr="009359EA" w:rsidRDefault="00D53593">
            <w:pPr>
              <w:suppressAutoHyphens/>
              <w:jc w:val="both"/>
              <w:rPr>
                <w:spacing w:val="-3"/>
              </w:rPr>
            </w:pPr>
            <w:r w:rsidRPr="009359EA">
              <w:rPr>
                <w:b/>
                <w:spacing w:val="-3"/>
              </w:rPr>
              <w:t xml:space="preserve">Justification for Change </w:t>
            </w:r>
            <w:r w:rsidRPr="009359EA">
              <w:rPr>
                <w:spacing w:val="-3"/>
              </w:rPr>
              <w:t>(mandatory by originator)</w:t>
            </w:r>
          </w:p>
        </w:tc>
      </w:tr>
      <w:tr w:rsidR="0054644A" w:rsidRPr="009359EA" w14:paraId="68A246D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29EFCC0C" w14:textId="6BF3216A" w:rsidR="00CA0A95" w:rsidRDefault="00227246" w:rsidP="00082897">
            <w:r>
              <w:lastRenderedPageBreak/>
              <w:t xml:space="preserve">LDSOs will need </w:t>
            </w:r>
            <w:proofErr w:type="gramStart"/>
            <w:r>
              <w:t xml:space="preserve">a </w:t>
            </w:r>
            <w:r w:rsidR="00DA588C">
              <w:t xml:space="preserve"> secure</w:t>
            </w:r>
            <w:proofErr w:type="gramEnd"/>
            <w:r w:rsidR="000E343C">
              <w:t>,</w:t>
            </w:r>
            <w:r w:rsidR="00DA588C">
              <w:t xml:space="preserve"> transparent and auditable </w:t>
            </w:r>
            <w:r w:rsidR="000E343C">
              <w:t xml:space="preserve">mechanism to notify Suppliers of the intent to </w:t>
            </w:r>
            <w:r w:rsidR="00CA0A95">
              <w:t xml:space="preserve">apply </w:t>
            </w:r>
            <w:proofErr w:type="spellStart"/>
            <w:r w:rsidR="00CA0A95">
              <w:t>DUoS</w:t>
            </w:r>
            <w:proofErr w:type="spellEnd"/>
            <w:r w:rsidR="00CA0A95">
              <w:t xml:space="preserve"> charges to de-energised sites.</w:t>
            </w:r>
          </w:p>
          <w:p w14:paraId="6F73B981" w14:textId="410806D9" w:rsidR="001C2224" w:rsidRDefault="00CA0A95" w:rsidP="00082897">
            <w:r>
              <w:t>This process will also provide an audit trail for every such notification by a</w:t>
            </w:r>
            <w:r w:rsidR="00F22340">
              <w:t>n</w:t>
            </w:r>
            <w:r>
              <w:t xml:space="preserve"> LDSO. </w:t>
            </w:r>
          </w:p>
          <w:p w14:paraId="393CB2C0" w14:textId="1C12B649" w:rsidR="0054644A" w:rsidRPr="00082897" w:rsidRDefault="0054644A" w:rsidP="00082897"/>
        </w:tc>
      </w:tr>
      <w:tr w:rsidR="0054644A" w:rsidRPr="009359EA" w14:paraId="3810817B"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34839C50" w14:textId="77777777" w:rsidR="0054644A" w:rsidRPr="009359EA" w:rsidRDefault="00D53593">
            <w:pPr>
              <w:suppressAutoHyphens/>
              <w:jc w:val="both"/>
              <w:rPr>
                <w:spacing w:val="-3"/>
              </w:rPr>
            </w:pPr>
            <w:r w:rsidRPr="009359EA">
              <w:rPr>
                <w:b/>
                <w:spacing w:val="-3"/>
              </w:rPr>
              <w:t xml:space="preserve">To which section of the Code does the CP relate, and does the CP facilitate the current provisions of the Code? </w:t>
            </w:r>
            <w:r w:rsidRPr="009359EA">
              <w:rPr>
                <w:spacing w:val="-3"/>
              </w:rPr>
              <w:t>(mandatory by originator)</w:t>
            </w:r>
          </w:p>
        </w:tc>
      </w:tr>
      <w:tr w:rsidR="0054644A" w:rsidRPr="009359EA" w14:paraId="098F035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6C440C0B" w14:textId="14E7BFD3" w:rsidR="0054644A" w:rsidRPr="009359EA" w:rsidRDefault="0033689B">
            <w:pPr>
              <w:suppressAutoHyphens/>
              <w:spacing w:after="240"/>
              <w:jc w:val="both"/>
              <w:rPr>
                <w:b/>
                <w:spacing w:val="-3"/>
              </w:rPr>
            </w:pPr>
            <w:r>
              <w:t>None</w:t>
            </w:r>
          </w:p>
        </w:tc>
      </w:tr>
      <w:tr w:rsidR="0054644A" w:rsidRPr="009359EA" w14:paraId="04EFE20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E7F4E69" w14:textId="77777777" w:rsidR="0054644A" w:rsidRPr="009359EA" w:rsidRDefault="00D53593">
            <w:pPr>
              <w:suppressAutoHyphens/>
              <w:jc w:val="both"/>
              <w:rPr>
                <w:b/>
                <w:spacing w:val="-3"/>
              </w:rPr>
            </w:pPr>
            <w:r w:rsidRPr="009359EA">
              <w:rPr>
                <w:b/>
                <w:spacing w:val="-3"/>
              </w:rPr>
              <w:t xml:space="preserve">Estimated Implementation Costs </w:t>
            </w:r>
            <w:r w:rsidRPr="009359EA">
              <w:rPr>
                <w:spacing w:val="-3"/>
              </w:rPr>
              <w:t xml:space="preserve">(mandatory by </w:t>
            </w:r>
            <w:proofErr w:type="spellStart"/>
            <w:r w:rsidRPr="009359EA">
              <w:rPr>
                <w:spacing w:val="-3"/>
              </w:rPr>
              <w:t>BSCCo</w:t>
            </w:r>
            <w:proofErr w:type="spellEnd"/>
            <w:r w:rsidRPr="009359EA">
              <w:rPr>
                <w:spacing w:val="-3"/>
              </w:rPr>
              <w:t>)</w:t>
            </w:r>
          </w:p>
        </w:tc>
      </w:tr>
      <w:tr w:rsidR="0054644A" w:rsidRPr="009359EA" w14:paraId="09DCDE47"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1BEA56C" w14:textId="77777777" w:rsidR="0054644A" w:rsidRPr="00A15338" w:rsidRDefault="0033689B">
            <w:pPr>
              <w:suppressAutoHyphens/>
              <w:spacing w:after="240"/>
              <w:jc w:val="both"/>
              <w:rPr>
                <w:spacing w:val="-3"/>
              </w:rPr>
            </w:pPr>
            <w:r w:rsidRPr="00A15338">
              <w:rPr>
                <w:spacing w:val="-3"/>
              </w:rPr>
              <w:t>£1,000</w:t>
            </w:r>
          </w:p>
        </w:tc>
      </w:tr>
      <w:tr w:rsidR="0054644A" w:rsidRPr="009359EA" w14:paraId="5C168E59"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79480C8E" w14:textId="77777777" w:rsidR="0054644A" w:rsidRPr="009359EA" w:rsidRDefault="00D53593">
            <w:pPr>
              <w:suppressAutoHyphens/>
              <w:jc w:val="both"/>
              <w:rPr>
                <w:b/>
                <w:spacing w:val="-3"/>
              </w:rPr>
            </w:pPr>
            <w:r w:rsidRPr="009359EA">
              <w:rPr>
                <w:b/>
                <w:spacing w:val="-3"/>
              </w:rPr>
              <w:t>BSC Configurable Items Affected by Proposed Solution(s)</w:t>
            </w:r>
            <w:r w:rsidRPr="009359EA">
              <w:rPr>
                <w:spacing w:val="-3"/>
              </w:rPr>
              <w:t xml:space="preserve"> (mandatory by originator)</w:t>
            </w:r>
          </w:p>
        </w:tc>
      </w:tr>
      <w:tr w:rsidR="0054644A" w:rsidRPr="009359EA" w14:paraId="3FCBFA6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685FD71A" w14:textId="19B6C910" w:rsidR="0054644A" w:rsidRPr="009359EA" w:rsidRDefault="00227246">
            <w:pPr>
              <w:suppressAutoHyphens/>
              <w:spacing w:after="240"/>
              <w:jc w:val="both"/>
              <w:rPr>
                <w:b/>
                <w:spacing w:val="-3"/>
              </w:rPr>
            </w:pPr>
            <w:r>
              <w:t>None</w:t>
            </w:r>
          </w:p>
        </w:tc>
      </w:tr>
      <w:tr w:rsidR="0054644A" w:rsidRPr="009359EA" w14:paraId="0281484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0F531CB7" w14:textId="77777777" w:rsidR="0054644A" w:rsidRPr="009359EA" w:rsidRDefault="00D53593">
            <w:pPr>
              <w:suppressAutoHyphens/>
              <w:jc w:val="both"/>
              <w:rPr>
                <w:spacing w:val="-3"/>
              </w:rPr>
            </w:pPr>
            <w:r w:rsidRPr="009359EA">
              <w:rPr>
                <w:b/>
                <w:spacing w:val="-3"/>
              </w:rPr>
              <w:t xml:space="preserve">Impact on Core Industry Documents or System Operator-Transmission Owner Code </w:t>
            </w:r>
            <w:r w:rsidRPr="009359EA">
              <w:rPr>
                <w:spacing w:val="-3"/>
              </w:rPr>
              <w:t>(mandatory by originator)</w:t>
            </w:r>
          </w:p>
        </w:tc>
      </w:tr>
      <w:tr w:rsidR="0054644A" w:rsidRPr="009359EA" w14:paraId="1BBDCC99"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34BEEE04" w14:textId="47CB27B3" w:rsidR="0054644A" w:rsidRPr="009359EA" w:rsidRDefault="00F22340" w:rsidP="00302E80">
            <w:pPr>
              <w:suppressAutoHyphens/>
              <w:spacing w:after="240"/>
              <w:jc w:val="both"/>
              <w:rPr>
                <w:b/>
                <w:spacing w:val="-3"/>
              </w:rPr>
            </w:pPr>
            <w:r>
              <w:t>Retail Energy Codes (</w:t>
            </w:r>
            <w:r w:rsidR="00227246">
              <w:t>RECs</w:t>
            </w:r>
            <w:r>
              <w:t xml:space="preserve">), </w:t>
            </w:r>
            <w:r w:rsidR="00302E80">
              <w:t>EMAR</w:t>
            </w:r>
            <w:r w:rsidRPr="00F22340">
              <w:t xml:space="preserve"> Data Specification</w:t>
            </w:r>
            <w:r w:rsidR="00227246">
              <w:t xml:space="preserve"> </w:t>
            </w:r>
          </w:p>
        </w:tc>
      </w:tr>
      <w:tr w:rsidR="0054644A" w:rsidRPr="009359EA" w14:paraId="613C23EF"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B5EDC74" w14:textId="77777777" w:rsidR="0054644A" w:rsidRPr="009359EA" w:rsidRDefault="00D53593">
            <w:pPr>
              <w:suppressAutoHyphens/>
              <w:jc w:val="both"/>
              <w:rPr>
                <w:spacing w:val="-3"/>
              </w:rPr>
            </w:pPr>
            <w:r w:rsidRPr="009359EA">
              <w:rPr>
                <w:b/>
                <w:spacing w:val="-3"/>
              </w:rPr>
              <w:t xml:space="preserve">Related Changes and/or BSC Releases </w:t>
            </w:r>
            <w:r w:rsidRPr="009359EA">
              <w:rPr>
                <w:spacing w:val="-3"/>
              </w:rPr>
              <w:t xml:space="preserve">(mandatory by </w:t>
            </w:r>
            <w:proofErr w:type="spellStart"/>
            <w:r w:rsidRPr="009359EA">
              <w:rPr>
                <w:spacing w:val="-3"/>
              </w:rPr>
              <w:t>BSCCo</w:t>
            </w:r>
            <w:proofErr w:type="spellEnd"/>
            <w:r w:rsidRPr="009359EA">
              <w:rPr>
                <w:spacing w:val="-3"/>
              </w:rPr>
              <w:t>)</w:t>
            </w:r>
          </w:p>
        </w:tc>
      </w:tr>
      <w:tr w:rsidR="0054644A" w:rsidRPr="009359EA" w14:paraId="0FFEE9DB"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5B3B60D6" w14:textId="103565AC" w:rsidR="0054644A" w:rsidRPr="009359EA" w:rsidRDefault="00F51FC7">
            <w:pPr>
              <w:suppressAutoHyphens/>
              <w:spacing w:after="240"/>
              <w:jc w:val="both"/>
              <w:rPr>
                <w:b/>
                <w:spacing w:val="-3"/>
              </w:rPr>
            </w:pPr>
            <w:r w:rsidRPr="00F51FC7">
              <w:t>DCUSA change DCP411</w:t>
            </w:r>
          </w:p>
        </w:tc>
      </w:tr>
      <w:tr w:rsidR="0054644A" w:rsidRPr="009359EA" w14:paraId="557981B0"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15E308E" w14:textId="77777777" w:rsidR="0054644A" w:rsidRPr="009359EA" w:rsidRDefault="00D53593">
            <w:pPr>
              <w:suppressAutoHyphens/>
              <w:jc w:val="both"/>
              <w:rPr>
                <w:b/>
                <w:spacing w:val="-3"/>
              </w:rPr>
            </w:pPr>
            <w:r w:rsidRPr="009359EA">
              <w:rPr>
                <w:b/>
                <w:spacing w:val="-3"/>
              </w:rPr>
              <w:t>Requested Implementation Date (mandatory by originator)</w:t>
            </w:r>
          </w:p>
        </w:tc>
      </w:tr>
      <w:tr w:rsidR="0054644A" w:rsidRPr="009359EA" w14:paraId="5E35576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tcBorders>
            <w:tcMar>
              <w:top w:w="57" w:type="dxa"/>
              <w:left w:w="57" w:type="dxa"/>
              <w:bottom w:w="57" w:type="dxa"/>
              <w:right w:w="57" w:type="dxa"/>
            </w:tcMar>
          </w:tcPr>
          <w:p w14:paraId="31712F6E" w14:textId="77777777" w:rsidR="0054644A" w:rsidRPr="009359EA" w:rsidRDefault="00F51FC7">
            <w:pPr>
              <w:suppressAutoHyphens/>
              <w:spacing w:after="240"/>
              <w:jc w:val="both"/>
              <w:rPr>
                <w:b/>
                <w:spacing w:val="-3"/>
              </w:rPr>
            </w:pPr>
            <w:r w:rsidRPr="00F51FC7">
              <w:t>As soon as practicable</w:t>
            </w:r>
            <w:r w:rsidR="00CA0A95">
              <w:t xml:space="preserve">, to align with the </w:t>
            </w:r>
            <w:commentRangeStart w:id="15"/>
            <w:r w:rsidR="00CA0A95">
              <w:t>Implementation Date for DCP411</w:t>
            </w:r>
            <w:commentRangeEnd w:id="15"/>
            <w:r w:rsidR="00F12F5D">
              <w:rPr>
                <w:rStyle w:val="CommentReference"/>
              </w:rPr>
              <w:commentReference w:id="15"/>
            </w:r>
            <w:r w:rsidR="00CA0A95">
              <w:t>, which is not known at the time of raising this CP</w:t>
            </w:r>
            <w:r w:rsidR="001C2224">
              <w:t>.</w:t>
            </w:r>
          </w:p>
        </w:tc>
      </w:tr>
      <w:tr w:rsidR="0054644A" w:rsidRPr="009359EA" w14:paraId="7E46383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3F677026" w14:textId="2F9BE5A9" w:rsidR="0054644A" w:rsidRPr="009359EA" w:rsidRDefault="00D53593">
            <w:pPr>
              <w:suppressAutoHyphens/>
              <w:spacing w:after="240"/>
              <w:jc w:val="both"/>
              <w:rPr>
                <w:b/>
                <w:spacing w:val="-3"/>
              </w:rPr>
            </w:pPr>
            <w:r w:rsidRPr="009359EA">
              <w:rPr>
                <w:b/>
                <w:spacing w:val="-3"/>
              </w:rPr>
              <w:t>Reason:</w:t>
            </w:r>
            <w:r w:rsidR="00F57DE6">
              <w:rPr>
                <w:b/>
                <w:spacing w:val="-3"/>
              </w:rPr>
              <w:t xml:space="preserve"> </w:t>
            </w:r>
            <w:r w:rsidR="00F57DE6" w:rsidRPr="00513024">
              <w:rPr>
                <w:bCs/>
                <w:spacing w:val="-3"/>
              </w:rPr>
              <w:t>I</w:t>
            </w:r>
            <w:r w:rsidR="00D705B4" w:rsidRPr="00513024">
              <w:rPr>
                <w:bCs/>
                <w:spacing w:val="-3"/>
              </w:rPr>
              <w:t>s</w:t>
            </w:r>
            <w:r w:rsidR="00F57DE6" w:rsidRPr="00513024">
              <w:rPr>
                <w:bCs/>
                <w:spacing w:val="-3"/>
              </w:rPr>
              <w:t xml:space="preserve"> </w:t>
            </w:r>
            <w:r w:rsidR="00D705B4" w:rsidRPr="00513024">
              <w:rPr>
                <w:bCs/>
                <w:spacing w:val="-3"/>
              </w:rPr>
              <w:t xml:space="preserve">required as soon as practicable </w:t>
            </w:r>
            <w:r w:rsidR="00513024" w:rsidRPr="00513024">
              <w:rPr>
                <w:bCs/>
                <w:spacing w:val="-3"/>
              </w:rPr>
              <w:t xml:space="preserve">to enable </w:t>
            </w:r>
            <w:r w:rsidR="001C2224">
              <w:rPr>
                <w:bCs/>
                <w:spacing w:val="-3"/>
              </w:rPr>
              <w:t xml:space="preserve">the provision of </w:t>
            </w:r>
            <w:r w:rsidR="00513024" w:rsidRPr="00513024">
              <w:rPr>
                <w:bCs/>
                <w:spacing w:val="-3"/>
              </w:rPr>
              <w:t>secure notices</w:t>
            </w:r>
            <w:r w:rsidR="001C2224">
              <w:rPr>
                <w:bCs/>
                <w:spacing w:val="-3"/>
              </w:rPr>
              <w:t>.</w:t>
            </w:r>
          </w:p>
        </w:tc>
      </w:tr>
      <w:tr w:rsidR="0054644A" w:rsidRPr="009359EA" w14:paraId="3D762B7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66E6C08F" w14:textId="77777777" w:rsidR="0054644A" w:rsidRPr="009359EA" w:rsidRDefault="00D53593">
            <w:pPr>
              <w:suppressAutoHyphens/>
              <w:spacing w:after="240"/>
              <w:jc w:val="both"/>
              <w:rPr>
                <w:b/>
                <w:spacing w:val="-3"/>
              </w:rPr>
            </w:pPr>
            <w:r w:rsidRPr="009359EA">
              <w:rPr>
                <w:b/>
                <w:spacing w:val="-3"/>
              </w:rPr>
              <w:t xml:space="preserve">Version History (mandatory by </w:t>
            </w:r>
            <w:proofErr w:type="spellStart"/>
            <w:r w:rsidRPr="009359EA">
              <w:rPr>
                <w:b/>
                <w:spacing w:val="-3"/>
              </w:rPr>
              <w:t>BSCCo</w:t>
            </w:r>
            <w:proofErr w:type="spellEnd"/>
            <w:r w:rsidRPr="009359EA">
              <w:rPr>
                <w:b/>
                <w:spacing w:val="-3"/>
              </w:rPr>
              <w:t>)</w:t>
            </w:r>
          </w:p>
        </w:tc>
      </w:tr>
      <w:tr w:rsidR="0054644A" w:rsidRPr="009359EA" w14:paraId="07E3B06F"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796DE47E" w14:textId="77777777" w:rsidR="0054644A" w:rsidRPr="009359EA" w:rsidRDefault="00D53593">
            <w:pPr>
              <w:suppressAutoHyphens/>
              <w:spacing w:after="240"/>
              <w:jc w:val="both"/>
              <w:rPr>
                <w:b/>
                <w:i/>
                <w:spacing w:val="-3"/>
                <w:sz w:val="28"/>
                <w:szCs w:val="28"/>
              </w:rPr>
            </w:pPr>
            <w:r w:rsidRPr="009359EA">
              <w:rPr>
                <w:b/>
                <w:i/>
                <w:spacing w:val="-3"/>
                <w:sz w:val="28"/>
                <w:szCs w:val="28"/>
              </w:rPr>
              <w:t>Originator’s Details:</w:t>
            </w:r>
          </w:p>
        </w:tc>
      </w:tr>
      <w:tr w:rsidR="0054644A" w:rsidRPr="009359EA" w14:paraId="6C26441F"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tcBorders>
            <w:tcMar>
              <w:top w:w="57" w:type="dxa"/>
              <w:left w:w="57" w:type="dxa"/>
              <w:bottom w:w="57" w:type="dxa"/>
              <w:right w:w="57" w:type="dxa"/>
            </w:tcMar>
          </w:tcPr>
          <w:p w14:paraId="44F45323" w14:textId="0AC64C8E" w:rsidR="0054644A" w:rsidRPr="009359EA" w:rsidRDefault="00D53593" w:rsidP="00227246">
            <w:pPr>
              <w:tabs>
                <w:tab w:val="right" w:leader="dot" w:pos="8505"/>
              </w:tabs>
              <w:suppressAutoHyphens/>
              <w:spacing w:after="240"/>
              <w:jc w:val="both"/>
              <w:rPr>
                <w:b/>
                <w:i/>
                <w:spacing w:val="-3"/>
              </w:rPr>
            </w:pPr>
            <w:r w:rsidRPr="009359EA">
              <w:rPr>
                <w:b/>
                <w:i/>
                <w:spacing w:val="-3"/>
              </w:rPr>
              <w:t>BCA Name:</w:t>
            </w:r>
            <w:r w:rsidR="0047130E">
              <w:rPr>
                <w:b/>
                <w:i/>
                <w:spacing w:val="-3"/>
              </w:rPr>
              <w:t xml:space="preserve"> </w:t>
            </w:r>
            <w:r w:rsidR="00227246" w:rsidRPr="00A15338">
              <w:rPr>
                <w:bCs/>
                <w:iCs/>
                <w:spacing w:val="-3"/>
              </w:rPr>
              <w:t>Peter Waymont</w:t>
            </w:r>
          </w:p>
        </w:tc>
      </w:tr>
      <w:tr w:rsidR="0054644A" w:rsidRPr="009359EA" w14:paraId="748184C5"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1310545F" w14:textId="77777777" w:rsidR="0054644A" w:rsidRPr="009359EA" w:rsidRDefault="00D53593">
            <w:pPr>
              <w:tabs>
                <w:tab w:val="right" w:leader="dot" w:pos="8505"/>
              </w:tabs>
              <w:suppressAutoHyphens/>
              <w:spacing w:after="240"/>
              <w:jc w:val="both"/>
              <w:rPr>
                <w:b/>
                <w:i/>
                <w:spacing w:val="-3"/>
              </w:rPr>
            </w:pPr>
            <w:r w:rsidRPr="009359EA">
              <w:rPr>
                <w:b/>
                <w:i/>
                <w:spacing w:val="-3"/>
              </w:rPr>
              <w:t>Organisation:</w:t>
            </w:r>
            <w:r w:rsidR="00DF0989">
              <w:rPr>
                <w:b/>
                <w:i/>
                <w:spacing w:val="-3"/>
              </w:rPr>
              <w:t xml:space="preserve"> </w:t>
            </w:r>
            <w:r w:rsidR="00DF0989" w:rsidRPr="00DF0989">
              <w:rPr>
                <w:bCs/>
                <w:iCs/>
                <w:spacing w:val="-3"/>
              </w:rPr>
              <w:t>UK Power Networks</w:t>
            </w:r>
          </w:p>
        </w:tc>
      </w:tr>
      <w:tr w:rsidR="0054644A" w:rsidRPr="009359EA" w14:paraId="5A7A0F2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27CF659D" w14:textId="77777777" w:rsidR="0054644A" w:rsidRPr="009359EA" w:rsidRDefault="00D53593">
            <w:pPr>
              <w:tabs>
                <w:tab w:val="right" w:leader="dot" w:pos="8505"/>
              </w:tabs>
              <w:suppressAutoHyphens/>
              <w:spacing w:after="240"/>
              <w:jc w:val="both"/>
              <w:rPr>
                <w:b/>
                <w:i/>
                <w:spacing w:val="-3"/>
              </w:rPr>
            </w:pPr>
            <w:r w:rsidRPr="009359EA">
              <w:rPr>
                <w:b/>
                <w:i/>
                <w:spacing w:val="-3"/>
              </w:rPr>
              <w:t>Email Address:</w:t>
            </w:r>
            <w:r w:rsidR="00DF0989">
              <w:rPr>
                <w:b/>
                <w:i/>
                <w:spacing w:val="-3"/>
              </w:rPr>
              <w:t xml:space="preserve"> </w:t>
            </w:r>
            <w:r w:rsidR="00E91E8C" w:rsidRPr="00E91E8C">
              <w:rPr>
                <w:bCs/>
                <w:iCs/>
                <w:spacing w:val="-3"/>
              </w:rPr>
              <w:t>peter.waymont@ukpowernetworks.co.uk</w:t>
            </w:r>
          </w:p>
        </w:tc>
      </w:tr>
      <w:tr w:rsidR="0054644A" w:rsidRPr="009359EA" w14:paraId="331811B0"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17A514B5" w14:textId="77777777" w:rsidR="0054644A" w:rsidRPr="009359EA" w:rsidRDefault="00D53593">
            <w:pPr>
              <w:tabs>
                <w:tab w:val="right" w:leader="dot" w:pos="8505"/>
              </w:tabs>
              <w:suppressAutoHyphens/>
              <w:spacing w:after="240"/>
              <w:jc w:val="both"/>
              <w:rPr>
                <w:b/>
                <w:i/>
                <w:spacing w:val="-3"/>
              </w:rPr>
            </w:pPr>
            <w:r w:rsidRPr="009359EA">
              <w:rPr>
                <w:b/>
                <w:i/>
                <w:spacing w:val="-3"/>
              </w:rPr>
              <w:t>Telephone Number:</w:t>
            </w:r>
            <w:r w:rsidR="00E91E8C">
              <w:rPr>
                <w:b/>
                <w:i/>
                <w:spacing w:val="-3"/>
              </w:rPr>
              <w:t xml:space="preserve"> </w:t>
            </w:r>
            <w:r w:rsidR="00E91E8C" w:rsidRPr="00E91E8C">
              <w:rPr>
                <w:bCs/>
                <w:iCs/>
                <w:spacing w:val="-3"/>
              </w:rPr>
              <w:t>07875112757</w:t>
            </w:r>
          </w:p>
        </w:tc>
      </w:tr>
      <w:tr w:rsidR="0054644A" w:rsidRPr="009359EA" w14:paraId="588FBD4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3D6B4DAD" w14:textId="77777777" w:rsidR="0054644A" w:rsidRPr="009359EA" w:rsidRDefault="00D53593">
            <w:pPr>
              <w:tabs>
                <w:tab w:val="right" w:leader="dot" w:pos="8505"/>
              </w:tabs>
              <w:suppressAutoHyphens/>
              <w:spacing w:after="240"/>
              <w:jc w:val="both"/>
              <w:rPr>
                <w:b/>
                <w:i/>
                <w:spacing w:val="-3"/>
              </w:rPr>
            </w:pPr>
            <w:r w:rsidRPr="009359EA">
              <w:rPr>
                <w:b/>
                <w:i/>
                <w:spacing w:val="-3"/>
              </w:rPr>
              <w:t>Date:</w:t>
            </w:r>
            <w:r w:rsidR="00E91E8C">
              <w:rPr>
                <w:b/>
                <w:i/>
                <w:spacing w:val="-3"/>
              </w:rPr>
              <w:t xml:space="preserve"> </w:t>
            </w:r>
            <w:r w:rsidR="00E91E8C" w:rsidRPr="00E91E8C">
              <w:rPr>
                <w:bCs/>
                <w:iCs/>
                <w:spacing w:val="-3"/>
              </w:rPr>
              <w:t>20/10/23</w:t>
            </w:r>
          </w:p>
        </w:tc>
      </w:tr>
      <w:tr w:rsidR="0054644A" w:rsidRPr="009359EA" w14:paraId="3343738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1D5D98C0" w14:textId="110137CA" w:rsidR="0054644A" w:rsidRPr="009359EA" w:rsidRDefault="00D53593">
            <w:pPr>
              <w:suppressAutoHyphens/>
              <w:spacing w:after="240"/>
              <w:jc w:val="both"/>
              <w:rPr>
                <w:b/>
                <w:spacing w:val="-3"/>
              </w:rPr>
            </w:pPr>
            <w:r w:rsidRPr="009359EA">
              <w:rPr>
                <w:spacing w:val="-3"/>
              </w:rPr>
              <w:lastRenderedPageBreak/>
              <w:t xml:space="preserve">Attachments: </w:t>
            </w:r>
            <w:r w:rsidRPr="00F12F5D">
              <w:rPr>
                <w:rFonts w:ascii="Times New Roman Bold" w:hAnsi="Times New Roman Bold"/>
                <w:b/>
                <w:spacing w:val="-3"/>
              </w:rPr>
              <w:t>Y</w:t>
            </w:r>
            <w:r w:rsidRPr="009359EA">
              <w:rPr>
                <w:b/>
                <w:spacing w:val="-3"/>
              </w:rPr>
              <w:t>/</w:t>
            </w:r>
            <w:r w:rsidRPr="00F12F5D">
              <w:rPr>
                <w:rFonts w:ascii="Times New Roman Bold" w:hAnsi="Times New Roman Bold"/>
                <w:b/>
                <w:strike/>
                <w:spacing w:val="-3"/>
              </w:rPr>
              <w:t>N</w:t>
            </w:r>
            <w:r w:rsidRPr="009359EA">
              <w:rPr>
                <w:spacing w:val="-3"/>
              </w:rPr>
              <w:t>*</w:t>
            </w:r>
            <w:r w:rsidRPr="009359EA">
              <w:rPr>
                <w:b/>
                <w:spacing w:val="-3"/>
              </w:rPr>
              <w:t xml:space="preserve">             </w:t>
            </w:r>
            <w:r w:rsidRPr="009359EA">
              <w:rPr>
                <w:spacing w:val="-3"/>
              </w:rPr>
              <w:t xml:space="preserve">(If Yes, No. of Pages attached: </w:t>
            </w:r>
            <w:commentRangeStart w:id="16"/>
            <w:r w:rsidR="00F12F5D" w:rsidRPr="00F12F5D">
              <w:rPr>
                <w:spacing w:val="-3"/>
              </w:rPr>
              <w:t>1</w:t>
            </w:r>
            <w:commentRangeEnd w:id="16"/>
            <w:r w:rsidR="00F12F5D">
              <w:rPr>
                <w:rStyle w:val="CommentReference"/>
              </w:rPr>
              <w:commentReference w:id="16"/>
            </w:r>
            <w:r w:rsidR="00F12F5D" w:rsidRPr="00F12F5D">
              <w:rPr>
                <w:spacing w:val="-3"/>
              </w:rPr>
              <w:t>)</w:t>
            </w:r>
          </w:p>
          <w:p w14:paraId="2AB9C190" w14:textId="77777777" w:rsidR="0054644A" w:rsidRPr="009359EA" w:rsidRDefault="00D53593">
            <w:pPr>
              <w:suppressAutoHyphens/>
              <w:spacing w:after="120"/>
              <w:jc w:val="both"/>
              <w:rPr>
                <w:i/>
                <w:spacing w:val="-3"/>
                <w:sz w:val="20"/>
              </w:rPr>
            </w:pPr>
            <w:r w:rsidRPr="009359EA">
              <w:rPr>
                <w:i/>
                <w:spacing w:val="-3"/>
                <w:sz w:val="20"/>
              </w:rPr>
              <w:t>(delete as appropriate)</w:t>
            </w:r>
          </w:p>
        </w:tc>
      </w:tr>
    </w:tbl>
    <w:p w14:paraId="3DB4B194" w14:textId="77777777" w:rsidR="0054644A" w:rsidRPr="009359EA" w:rsidRDefault="0054644A">
      <w:pPr>
        <w:pStyle w:val="BodyTextIndent"/>
        <w:ind w:left="0"/>
      </w:pPr>
    </w:p>
    <w:p w14:paraId="580D4DEF" w14:textId="77777777" w:rsidR="0054644A" w:rsidRPr="009359EA" w:rsidRDefault="00D53593">
      <w:pPr>
        <w:pStyle w:val="Heading2"/>
        <w:keepNext w:val="0"/>
        <w:numPr>
          <w:ilvl w:val="0"/>
          <w:numId w:val="0"/>
        </w:numPr>
        <w:spacing w:before="0"/>
        <w:ind w:left="851" w:hanging="851"/>
        <w:rPr>
          <w:color w:val="000000"/>
        </w:rPr>
      </w:pPr>
      <w:bookmarkStart w:id="17" w:name="_Toc370135665"/>
      <w:bookmarkStart w:id="18" w:name="_Toc500826821"/>
      <w:bookmarkStart w:id="19" w:name="_Toc528156085"/>
      <w:bookmarkStart w:id="20" w:name="_Toc534018418"/>
      <w:bookmarkStart w:id="21" w:name="_Toc41992485"/>
      <w:bookmarkEnd w:id="6"/>
      <w:bookmarkEnd w:id="7"/>
      <w:bookmarkEnd w:id="8"/>
      <w:bookmarkEnd w:id="9"/>
      <w:bookmarkEnd w:id="10"/>
      <w:bookmarkEnd w:id="11"/>
      <w:bookmarkEnd w:id="12"/>
      <w:bookmarkEnd w:id="13"/>
      <w:r w:rsidRPr="009359EA">
        <w:rPr>
          <w:color w:val="000000"/>
        </w:rPr>
        <w:t>4.4.</w:t>
      </w:r>
      <w:r w:rsidRPr="009359EA">
        <w:rPr>
          <w:color w:val="000000"/>
        </w:rPr>
        <w:tab/>
        <w:t>CP Form Guidelines</w:t>
      </w:r>
      <w:bookmarkEnd w:id="17"/>
      <w:bookmarkEnd w:id="18"/>
      <w:bookmarkEnd w:id="19"/>
      <w:bookmarkEnd w:id="20"/>
      <w:bookmarkEnd w:id="21"/>
    </w:p>
    <w:p w14:paraId="1173BB7E" w14:textId="77777777" w:rsidR="0054644A" w:rsidRPr="009359EA" w:rsidRDefault="00D53593">
      <w:pPr>
        <w:pStyle w:val="BodyTextIndent"/>
        <w:ind w:left="0"/>
      </w:pPr>
      <w:r w:rsidRPr="009359EA">
        <w:t>These guidelines are to be used to assist in the completion of the CP Form, given in Appendix 4.3.  The guidelines state who should complete each item on the form and whether it is mandatory or optional.  They also give a brief description of the information that should be given for each item.  For further guidance please contact your BCA/PACA.</w:t>
      </w:r>
    </w:p>
    <w:p w14:paraId="1FEC994E"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Title</w:t>
      </w:r>
      <w:r w:rsidRPr="009359EA">
        <w:rPr>
          <w:spacing w:val="-3"/>
        </w:rPr>
        <w:t xml:space="preserve"> – mandatory completion by originator – title of CP.</w:t>
      </w:r>
    </w:p>
    <w:p w14:paraId="52C21895"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CP No.</w:t>
      </w:r>
      <w:r w:rsidRPr="009359EA">
        <w:rPr>
          <w:spacing w:val="-3"/>
        </w:rPr>
        <w:t xml:space="preserve"> – </w:t>
      </w:r>
      <w:proofErr w:type="gramStart"/>
      <w:r w:rsidRPr="009359EA">
        <w:rPr>
          <w:spacing w:val="-3"/>
        </w:rPr>
        <w:t>mandatory</w:t>
      </w:r>
      <w:proofErr w:type="gramEnd"/>
      <w:r w:rsidRPr="009359EA">
        <w:rPr>
          <w:spacing w:val="-3"/>
        </w:rPr>
        <w:t xml:space="preserve"> completion by </w:t>
      </w:r>
      <w:proofErr w:type="spellStart"/>
      <w:r w:rsidRPr="009359EA">
        <w:rPr>
          <w:spacing w:val="-3"/>
        </w:rPr>
        <w:t>BSCCo</w:t>
      </w:r>
      <w:proofErr w:type="spellEnd"/>
      <w:r w:rsidRPr="009359EA">
        <w:rPr>
          <w:spacing w:val="-3"/>
        </w:rPr>
        <w:t xml:space="preserve"> – unique number allocated for each individual CP.</w:t>
      </w:r>
    </w:p>
    <w:p w14:paraId="7B35DE66"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No.</w:t>
      </w:r>
      <w:r w:rsidRPr="009359EA">
        <w:rPr>
          <w:spacing w:val="-3"/>
        </w:rPr>
        <w:t xml:space="preserve"> – </w:t>
      </w:r>
      <w:proofErr w:type="gramStart"/>
      <w:r w:rsidRPr="009359EA">
        <w:rPr>
          <w:spacing w:val="-3"/>
        </w:rPr>
        <w:t>mandatory</w:t>
      </w:r>
      <w:proofErr w:type="gramEnd"/>
      <w:r w:rsidRPr="009359EA">
        <w:rPr>
          <w:spacing w:val="-3"/>
        </w:rPr>
        <w:t xml:space="preserve"> completion by originator – when first submitted by the originator, the CP should have a version number of v0.1.  Following discussions with </w:t>
      </w:r>
      <w:proofErr w:type="spellStart"/>
      <w:r w:rsidRPr="009359EA">
        <w:rPr>
          <w:spacing w:val="-3"/>
        </w:rPr>
        <w:t>BSCCo</w:t>
      </w:r>
      <w:proofErr w:type="spellEnd"/>
      <w:r w:rsidRPr="009359EA">
        <w:rPr>
          <w:spacing w:val="-3"/>
        </w:rPr>
        <w:t>, any changes required following those discussions, the CP should be updated to v1.0.  Should any further amendments/additions/deletions be required to the CP during its lifecycle, the version number should be updated to v2.0, v3.0, etc.</w:t>
      </w:r>
    </w:p>
    <w:p w14:paraId="5CA1D9D3"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Description of Problem/Issues</w:t>
      </w:r>
      <w:r w:rsidRPr="009359EA">
        <w:rPr>
          <w:spacing w:val="-3"/>
        </w:rPr>
        <w:t xml:space="preserve"> - mandatory completion by originator - a statement of the issue/problem.</w:t>
      </w:r>
    </w:p>
    <w:p w14:paraId="482E6DB6"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Proposed Solution(s)</w:t>
      </w:r>
      <w:r w:rsidRPr="009359EA">
        <w:rPr>
          <w:spacing w:val="-3"/>
        </w:rPr>
        <w:t xml:space="preserve"> – mandatory completion by originator – this is a single fully defined description of the proposed solution.  For Category 1 BSC Configurable Items redlined changes must be included.</w:t>
      </w:r>
    </w:p>
    <w:p w14:paraId="3833B4D6"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Justification for Change</w:t>
      </w:r>
      <w:r w:rsidRPr="009359EA">
        <w:rPr>
          <w:spacing w:val="-3"/>
        </w:rPr>
        <w:t xml:space="preserve"> – mandatory completion by originator – details of the business case for implementing the proposed change.  This section should also include a brief assessment of the risk associated with leaving the problem/issue unresolved, in terms of materiality and probability of occurrence.</w:t>
      </w:r>
    </w:p>
    <w:p w14:paraId="32AD47CA"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To which section of the Code does the CP relate, and does the CP facilitate the current provisions of the Code? –</w:t>
      </w:r>
      <w:r w:rsidRPr="009359EA">
        <w:rPr>
          <w:spacing w:val="-3"/>
        </w:rPr>
        <w:t xml:space="preserve"> All CPs should be raised in line with BSC section F 3.1.2 ensuring that changes to BSC Configurable Items should continue to facilitate the provisions as detailed in the Code and should not impose new obligations or restrictions of a material nature on Parties and Party Agents (or classes thereof) which are not authorised or envisaged by, or subsidiary to, the rights and obligations of the Parties under the Code. As such the originator should highlight the section of the BSC that their proposed change is derived from and if the proposed CP facilitates the existing arrangements in the BSC.</w:t>
      </w:r>
    </w:p>
    <w:p w14:paraId="3CA7E640"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Estimated Implementation Costs</w:t>
      </w:r>
      <w:r w:rsidRPr="009359EA">
        <w:rPr>
          <w:spacing w:val="-3"/>
        </w:rPr>
        <w:t xml:space="preserve"> – mandatory by </w:t>
      </w:r>
      <w:proofErr w:type="spellStart"/>
      <w:r w:rsidRPr="009359EA">
        <w:rPr>
          <w:spacing w:val="-3"/>
        </w:rPr>
        <w:t>BSCCo</w:t>
      </w:r>
      <w:proofErr w:type="spellEnd"/>
      <w:r w:rsidRPr="009359EA">
        <w:rPr>
          <w:spacing w:val="-3"/>
        </w:rPr>
        <w:t xml:space="preserve"> – These will be broken down into Central System Costs and </w:t>
      </w:r>
      <w:proofErr w:type="spellStart"/>
      <w:r w:rsidRPr="009359EA">
        <w:rPr>
          <w:spacing w:val="-3"/>
        </w:rPr>
        <w:t>BSCCo</w:t>
      </w:r>
      <w:proofErr w:type="spellEnd"/>
      <w:r w:rsidRPr="009359EA">
        <w:rPr>
          <w:spacing w:val="-3"/>
        </w:rPr>
        <w:t xml:space="preserve"> Operational Costs where appropriate.</w:t>
      </w:r>
    </w:p>
    <w:p w14:paraId="1039053D"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Impact on BSC Configurable Item(s)</w:t>
      </w:r>
      <w:r w:rsidRPr="009359EA">
        <w:rPr>
          <w:spacing w:val="-3"/>
        </w:rPr>
        <w:t xml:space="preserve"> – mandatory completion by originator – a list of all BSC Configurable Items potentially affected by proposed solution. Details of how </w:t>
      </w:r>
      <w:r w:rsidRPr="009359EA">
        <w:rPr>
          <w:spacing w:val="-3"/>
        </w:rPr>
        <w:lastRenderedPageBreak/>
        <w:t>each BSC Configurable Item will be affected should be included, if known, and redlining of Category 1 BSC Configurable Items must be completed.</w:t>
      </w:r>
    </w:p>
    <w:p w14:paraId="768A9C6B"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Impact on Core Industry Documents or System Operator – Transmission Owner Code</w:t>
      </w:r>
      <w:r w:rsidRPr="009359EA">
        <w:rPr>
          <w:spacing w:val="-3"/>
        </w:rPr>
        <w:t xml:space="preserve"> – mandatory completion by originator, however, </w:t>
      </w:r>
      <w:proofErr w:type="spellStart"/>
      <w:r w:rsidRPr="009359EA">
        <w:rPr>
          <w:spacing w:val="-3"/>
        </w:rPr>
        <w:t>BSCCo</w:t>
      </w:r>
      <w:proofErr w:type="spellEnd"/>
      <w:r w:rsidRPr="009359EA">
        <w:rPr>
          <w:spacing w:val="-3"/>
        </w:rPr>
        <w:t xml:space="preserve"> can advise if originator is unsure of all the impacts on documents – list of all documents potentially affected by proposed solution.  These documents include any changes that will be needed to the DTC or other </w:t>
      </w:r>
      <w:proofErr w:type="spellStart"/>
      <w:r w:rsidRPr="009359EA">
        <w:rPr>
          <w:spacing w:val="-3"/>
        </w:rPr>
        <w:t>MRASCo</w:t>
      </w:r>
      <w:proofErr w:type="spellEnd"/>
      <w:r w:rsidRPr="009359EA">
        <w:rPr>
          <w:spacing w:val="-3"/>
        </w:rPr>
        <w:t xml:space="preserve"> Products.  Details of how each document will be affected will also need to be included.</w:t>
      </w:r>
    </w:p>
    <w:p w14:paraId="3E9FBBF8"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Requested Implementation Date and Associated Reasons</w:t>
      </w:r>
      <w:r w:rsidRPr="009359EA">
        <w:rPr>
          <w:spacing w:val="-3"/>
        </w:rPr>
        <w:t xml:space="preserve"> – mandatory by originator – identification of any critical milestone date(s) which need to be considered when generating possible solutions, with reasons for these.  If change can be implemented at any time i.e. with no time constraints, this should be stated.  This will be updated to the agreed Implementation Date once the Panel Committee has voted.</w:t>
      </w:r>
    </w:p>
    <w:p w14:paraId="10FADFC1"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History</w:t>
      </w:r>
      <w:r w:rsidRPr="009359EA">
        <w:rPr>
          <w:spacing w:val="-3"/>
        </w:rPr>
        <w:t xml:space="preserve"> – mandatory completion by </w:t>
      </w:r>
      <w:proofErr w:type="spellStart"/>
      <w:r w:rsidRPr="009359EA">
        <w:rPr>
          <w:spacing w:val="-3"/>
        </w:rPr>
        <w:t>BSCCo</w:t>
      </w:r>
      <w:proofErr w:type="spellEnd"/>
      <w:r w:rsidRPr="009359EA">
        <w:rPr>
          <w:spacing w:val="-3"/>
        </w:rPr>
        <w:t xml:space="preserve"> – details of any previous versions of a Draft CP or details of what has changed between CP versions.  If this is the first version then this will be indicated in this section.</w:t>
      </w:r>
    </w:p>
    <w:p w14:paraId="0366AD9C"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Originator’s Details</w:t>
      </w:r>
      <w:r w:rsidRPr="009359EA">
        <w:rPr>
          <w:spacing w:val="-3"/>
        </w:rPr>
        <w:t xml:space="preserve"> – mandatory by originator – the name, organisation, email address and telephone number of the originator and the date on which the originator raised the CP.</w:t>
      </w:r>
    </w:p>
    <w:sectPr w:rsidR="0054644A" w:rsidRPr="009359EA">
      <w:headerReference w:type="default" r:id="rId14"/>
      <w:footerReference w:type="default" r:id="rId15"/>
      <w:endnotePr>
        <w:numFmt w:val="decimal"/>
      </w:endnotePr>
      <w:pgSz w:w="11909" w:h="16834" w:code="9"/>
      <w:pgMar w:top="1418" w:right="1418" w:bottom="1418" w:left="1418" w:header="709" w:footer="709"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Colin Berry" w:date="2023-11-02T14:19:00Z" w:initials="CB">
    <w:p w14:paraId="5B8B7E5C" w14:textId="77777777" w:rsidR="00F12F5D" w:rsidRDefault="00F12F5D">
      <w:pPr>
        <w:pStyle w:val="CommentText"/>
      </w:pPr>
      <w:r>
        <w:rPr>
          <w:rStyle w:val="CommentReference"/>
        </w:rPr>
        <w:annotationRef/>
      </w:r>
      <w:r>
        <w:t>Which should allow sufficient time for LDSOs and Suppliers to implement the necessary changes to their systems.</w:t>
      </w:r>
    </w:p>
  </w:comment>
  <w:comment w:id="16" w:author="Colin Berry" w:date="2023-11-02T14:21:00Z" w:initials="CB">
    <w:p w14:paraId="117B6E5C" w14:textId="77777777" w:rsidR="00F12F5D" w:rsidRDefault="00F12F5D">
      <w:pPr>
        <w:pStyle w:val="CommentText"/>
      </w:pPr>
      <w:r>
        <w:rPr>
          <w:rStyle w:val="CommentReference"/>
        </w:rPr>
        <w:annotationRef/>
      </w:r>
      <w:r>
        <w:t>The specification of the EMDS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B7E5C" w15:done="0"/>
  <w15:commentEx w15:paraId="117B6E5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CA4A" w14:textId="77777777" w:rsidR="000F7762" w:rsidRDefault="000F7762">
      <w:pPr>
        <w:spacing w:line="20" w:lineRule="exact"/>
      </w:pPr>
    </w:p>
  </w:endnote>
  <w:endnote w:type="continuationSeparator" w:id="0">
    <w:p w14:paraId="3B7369C2" w14:textId="77777777" w:rsidR="000F7762" w:rsidRDefault="000F7762">
      <w:r>
        <w:t xml:space="preserve"> </w:t>
      </w:r>
    </w:p>
  </w:endnote>
  <w:endnote w:type="continuationNotice" w:id="1">
    <w:p w14:paraId="6D2A6ED3" w14:textId="77777777" w:rsidR="000F7762" w:rsidRDefault="000F77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3DD6" w14:textId="3E34AC57" w:rsidR="00A34A6C" w:rsidRDefault="00A34A6C">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A103ED">
      <w:rPr>
        <w:rStyle w:val="PageNumber"/>
        <w:rFonts w:ascii="CG Times (W1)" w:hAnsi="CG Times (W1)"/>
        <w:b/>
        <w:noProof/>
      </w:rPr>
      <w:t>4</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A103ED">
      <w:rPr>
        <w:rStyle w:val="PageNumber"/>
        <w:b/>
        <w:noProof/>
      </w:rPr>
      <w:t>4</w:t>
    </w:r>
    <w:r>
      <w:rPr>
        <w:rStyle w:val="PageNumber"/>
        <w:b/>
      </w:rPr>
      <w:fldChar w:fldCharType="end"/>
    </w:r>
    <w:r>
      <w:rPr>
        <w:rStyle w:val="PageNumber"/>
        <w:b/>
      </w:rPr>
      <w:tab/>
    </w:r>
    <w:r w:rsidR="00A103ED">
      <w:fldChar w:fldCharType="begin"/>
    </w:r>
    <w:r w:rsidR="00A103ED">
      <w:instrText xml:space="preserve"> DOCPROPERTY  "Effective Date"  \* MERGEFORMAT </w:instrText>
    </w:r>
    <w:r w:rsidR="00A103ED">
      <w:fldChar w:fldCharType="separate"/>
    </w:r>
    <w:r w:rsidRPr="007C18DF">
      <w:rPr>
        <w:b/>
      </w:rPr>
      <w:t>16 June 2020</w:t>
    </w:r>
    <w:r w:rsidR="00A103ED">
      <w:rPr>
        <w:b/>
      </w:rPr>
      <w:fldChar w:fldCharType="end"/>
    </w:r>
  </w:p>
  <w:p w14:paraId="5C8D00A6" w14:textId="77777777" w:rsidR="00A34A6C" w:rsidRDefault="00A34A6C">
    <w:pPr>
      <w:pStyle w:val="Footer"/>
      <w:tabs>
        <w:tab w:val="clear" w:pos="4320"/>
        <w:tab w:val="clear" w:pos="8640"/>
        <w:tab w:val="clear" w:pos="8784"/>
      </w:tabs>
      <w:jc w:val="center"/>
      <w:rPr>
        <w:b/>
      </w:rPr>
    </w:pPr>
    <w:r>
      <w:rPr>
        <w:rStyle w:val="PageNumber"/>
        <w:b/>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CA0B" w14:textId="77777777" w:rsidR="000F7762" w:rsidRDefault="000F7762">
      <w:r>
        <w:separator/>
      </w:r>
    </w:p>
  </w:footnote>
  <w:footnote w:type="continuationSeparator" w:id="0">
    <w:p w14:paraId="6208687D" w14:textId="77777777" w:rsidR="000F7762" w:rsidRDefault="000F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888C" w14:textId="77777777" w:rsidR="00A34A6C" w:rsidRDefault="00A34A6C">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r w:rsidR="00A103ED">
      <w:fldChar w:fldCharType="begin"/>
    </w:r>
    <w:r w:rsidR="00A103ED">
      <w:instrText xml:space="preserve"> DOCPROPERTY  "Version Number"  \* MERGEFORMAT </w:instrText>
    </w:r>
    <w:r w:rsidR="00A103ED">
      <w:fldChar w:fldCharType="separate"/>
    </w:r>
    <w:r w:rsidR="00A95530">
      <w:rPr>
        <w:b/>
        <w:spacing w:val="-3"/>
        <w:sz w:val="20"/>
      </w:rPr>
      <w:t>Version 21</w:t>
    </w:r>
    <w:r w:rsidRPr="007C18DF">
      <w:rPr>
        <w:b/>
        <w:spacing w:val="-3"/>
        <w:sz w:val="20"/>
      </w:rPr>
      <w:t>.0</w:t>
    </w:r>
    <w:r w:rsidR="00A103ED">
      <w:rPr>
        <w:b/>
        <w:spacing w:val="-3"/>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7"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9"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93904"/>
    <w:multiLevelType w:val="singleLevel"/>
    <w:tmpl w:val="FFFFFFFF"/>
    <w:lvl w:ilvl="0">
      <w:numFmt w:val="decimal"/>
      <w:lvlText w:val="*"/>
      <w:lvlJc w:val="left"/>
    </w:lvl>
  </w:abstractNum>
  <w:abstractNum w:abstractNumId="21"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495F081F"/>
    <w:multiLevelType w:val="hybridMultilevel"/>
    <w:tmpl w:val="8B7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3"/>
  </w:num>
  <w:num w:numId="12">
    <w:abstractNumId w:val="16"/>
  </w:num>
  <w:num w:numId="13">
    <w:abstractNumId w:val="26"/>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1"/>
  </w:num>
  <w:num w:numId="16">
    <w:abstractNumId w:val="21"/>
  </w:num>
  <w:num w:numId="17">
    <w:abstractNumId w:val="27"/>
  </w:num>
  <w:num w:numId="18">
    <w:abstractNumId w:val="30"/>
  </w:num>
  <w:num w:numId="19">
    <w:abstractNumId w:val="15"/>
  </w:num>
  <w:num w:numId="20">
    <w:abstractNumId w:val="22"/>
  </w:num>
  <w:num w:numId="21">
    <w:abstractNumId w:val="29"/>
  </w:num>
  <w:num w:numId="22">
    <w:abstractNumId w:val="28"/>
  </w:num>
  <w:num w:numId="23">
    <w:abstractNumId w:val="18"/>
  </w:num>
  <w:num w:numId="24">
    <w:abstractNumId w:val="19"/>
  </w:num>
  <w:num w:numId="25">
    <w:abstractNumId w:val="9"/>
  </w:num>
  <w:num w:numId="26">
    <w:abstractNumId w:val="12"/>
  </w:num>
  <w:num w:numId="27">
    <w:abstractNumId w:val="14"/>
  </w:num>
  <w:num w:numId="28">
    <w:abstractNumId w:val="9"/>
  </w:num>
  <w:num w:numId="29">
    <w:abstractNumId w:val="11"/>
  </w:num>
  <w:num w:numId="30">
    <w:abstractNumId w:val="34"/>
  </w:num>
  <w:num w:numId="31">
    <w:abstractNumId w:val="20"/>
  </w:num>
  <w:num w:numId="32">
    <w:abstractNumId w:val="32"/>
  </w:num>
  <w:num w:numId="33">
    <w:abstractNumId w:val="17"/>
  </w:num>
  <w:num w:numId="34">
    <w:abstractNumId w:val="25"/>
  </w:num>
  <w:num w:numId="35">
    <w:abstractNumId w:val="13"/>
  </w:num>
  <w:num w:numId="36">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82897"/>
    <w:rsid w:val="0009004E"/>
    <w:rsid w:val="000B0253"/>
    <w:rsid w:val="000E343C"/>
    <w:rsid w:val="000E3C39"/>
    <w:rsid w:val="000F7762"/>
    <w:rsid w:val="00112FED"/>
    <w:rsid w:val="00114C19"/>
    <w:rsid w:val="00124CB5"/>
    <w:rsid w:val="00124F08"/>
    <w:rsid w:val="0013221C"/>
    <w:rsid w:val="00145A55"/>
    <w:rsid w:val="00196473"/>
    <w:rsid w:val="001A7AA8"/>
    <w:rsid w:val="001C2224"/>
    <w:rsid w:val="001D103A"/>
    <w:rsid w:val="0020648A"/>
    <w:rsid w:val="00207C10"/>
    <w:rsid w:val="002152CD"/>
    <w:rsid w:val="00227246"/>
    <w:rsid w:val="002914C6"/>
    <w:rsid w:val="002B1485"/>
    <w:rsid w:val="002D0328"/>
    <w:rsid w:val="002D4304"/>
    <w:rsid w:val="002D7CE2"/>
    <w:rsid w:val="002F5C54"/>
    <w:rsid w:val="002F6A80"/>
    <w:rsid w:val="002F6F0B"/>
    <w:rsid w:val="00302E80"/>
    <w:rsid w:val="00317A3F"/>
    <w:rsid w:val="0033689B"/>
    <w:rsid w:val="00340C84"/>
    <w:rsid w:val="00345983"/>
    <w:rsid w:val="003500FC"/>
    <w:rsid w:val="0039508D"/>
    <w:rsid w:val="003A21B4"/>
    <w:rsid w:val="003B4D68"/>
    <w:rsid w:val="0041182A"/>
    <w:rsid w:val="004343B0"/>
    <w:rsid w:val="00464FFA"/>
    <w:rsid w:val="0047130E"/>
    <w:rsid w:val="00474439"/>
    <w:rsid w:val="004E039B"/>
    <w:rsid w:val="00513024"/>
    <w:rsid w:val="0054168B"/>
    <w:rsid w:val="00543B9C"/>
    <w:rsid w:val="0054644A"/>
    <w:rsid w:val="005733D1"/>
    <w:rsid w:val="005A1016"/>
    <w:rsid w:val="005A48D7"/>
    <w:rsid w:val="005E1A31"/>
    <w:rsid w:val="006062BC"/>
    <w:rsid w:val="00633EAC"/>
    <w:rsid w:val="006530F3"/>
    <w:rsid w:val="006825FF"/>
    <w:rsid w:val="006A1BCB"/>
    <w:rsid w:val="006D48AA"/>
    <w:rsid w:val="006E68DD"/>
    <w:rsid w:val="006F7B44"/>
    <w:rsid w:val="00793536"/>
    <w:rsid w:val="007A023E"/>
    <w:rsid w:val="007A0549"/>
    <w:rsid w:val="007C18DF"/>
    <w:rsid w:val="007C25A1"/>
    <w:rsid w:val="007F220C"/>
    <w:rsid w:val="00811353"/>
    <w:rsid w:val="008318FB"/>
    <w:rsid w:val="00871C24"/>
    <w:rsid w:val="00882291"/>
    <w:rsid w:val="008B6F92"/>
    <w:rsid w:val="00931A54"/>
    <w:rsid w:val="009359EA"/>
    <w:rsid w:val="00952D17"/>
    <w:rsid w:val="009801CC"/>
    <w:rsid w:val="00993E09"/>
    <w:rsid w:val="009A020B"/>
    <w:rsid w:val="009A6A2D"/>
    <w:rsid w:val="009A6B8C"/>
    <w:rsid w:val="009B002E"/>
    <w:rsid w:val="009B66C9"/>
    <w:rsid w:val="00A10311"/>
    <w:rsid w:val="00A103ED"/>
    <w:rsid w:val="00A15338"/>
    <w:rsid w:val="00A244AA"/>
    <w:rsid w:val="00A34A6C"/>
    <w:rsid w:val="00A95530"/>
    <w:rsid w:val="00AA798F"/>
    <w:rsid w:val="00AC5D9E"/>
    <w:rsid w:val="00AC7F78"/>
    <w:rsid w:val="00B10E48"/>
    <w:rsid w:val="00B16C90"/>
    <w:rsid w:val="00B475A7"/>
    <w:rsid w:val="00B74FCA"/>
    <w:rsid w:val="00BB5A79"/>
    <w:rsid w:val="00BD72AF"/>
    <w:rsid w:val="00C4425D"/>
    <w:rsid w:val="00C611A6"/>
    <w:rsid w:val="00CA0A95"/>
    <w:rsid w:val="00CA7E8E"/>
    <w:rsid w:val="00CB3392"/>
    <w:rsid w:val="00CE3491"/>
    <w:rsid w:val="00D02F3D"/>
    <w:rsid w:val="00D32257"/>
    <w:rsid w:val="00D445FC"/>
    <w:rsid w:val="00D53593"/>
    <w:rsid w:val="00D6146E"/>
    <w:rsid w:val="00D65725"/>
    <w:rsid w:val="00D705B4"/>
    <w:rsid w:val="00D81BA8"/>
    <w:rsid w:val="00D87075"/>
    <w:rsid w:val="00DA588C"/>
    <w:rsid w:val="00DC1A95"/>
    <w:rsid w:val="00DF0989"/>
    <w:rsid w:val="00DF36DC"/>
    <w:rsid w:val="00E14E87"/>
    <w:rsid w:val="00E64A9C"/>
    <w:rsid w:val="00E91E8C"/>
    <w:rsid w:val="00EE2877"/>
    <w:rsid w:val="00EF3960"/>
    <w:rsid w:val="00F0511F"/>
    <w:rsid w:val="00F12F5D"/>
    <w:rsid w:val="00F22340"/>
    <w:rsid w:val="00F35A23"/>
    <w:rsid w:val="00F51FC7"/>
    <w:rsid w:val="00F57DE6"/>
    <w:rsid w:val="00F62DAA"/>
    <w:rsid w:val="00F90DFD"/>
    <w:rsid w:val="00FB3FB5"/>
    <w:rsid w:val="00FD2209"/>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A4730"/>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3D"/>
    <w:rPr>
      <w:sz w:val="24"/>
      <w:szCs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7C18DF"/>
    <w:pPr>
      <w:tabs>
        <w:tab w:val="left" w:pos="567"/>
        <w:tab w:val="right" w:pos="9072"/>
      </w:tabs>
      <w:spacing w:before="60" w:after="60"/>
    </w:pPr>
    <w:rPr>
      <w:rFonts w:ascii="Times New Roman Bold" w:hAnsi="Times New Roman Bold"/>
      <w:b/>
    </w:rPr>
  </w:style>
  <w:style w:type="paragraph" w:styleId="TOC2">
    <w:name w:val="toc 2"/>
    <w:basedOn w:val="Normal"/>
    <w:next w:val="Normal"/>
    <w:uiPriority w:val="39"/>
    <w:rsid w:val="007C18DF"/>
    <w:pPr>
      <w:tabs>
        <w:tab w:val="left" w:pos="567"/>
        <w:tab w:val="right" w:pos="9072"/>
      </w:tabs>
      <w:spacing w:before="120"/>
      <w:ind w:left="567" w:hanging="567"/>
    </w:pPr>
    <w:rPr>
      <w:rFonts w:ascii="Times New Roman Bold" w:hAnsi="Times New Roman Bold"/>
      <w:b/>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4498">
      <w:bodyDiv w:val="1"/>
      <w:marLeft w:val="0"/>
      <w:marRight w:val="0"/>
      <w:marTop w:val="0"/>
      <w:marBottom w:val="0"/>
      <w:divBdr>
        <w:top w:val="none" w:sz="0" w:space="0" w:color="auto"/>
        <w:left w:val="none" w:sz="0" w:space="0" w:color="auto"/>
        <w:bottom w:val="none" w:sz="0" w:space="0" w:color="auto"/>
        <w:right w:val="none" w:sz="0" w:space="0" w:color="auto"/>
      </w:divBdr>
    </w:div>
    <w:div w:id="1410034494">
      <w:bodyDiv w:val="1"/>
      <w:marLeft w:val="0"/>
      <w:marRight w:val="0"/>
      <w:marTop w:val="0"/>
      <w:marBottom w:val="0"/>
      <w:divBdr>
        <w:top w:val="none" w:sz="0" w:space="0" w:color="auto"/>
        <w:left w:val="none" w:sz="0" w:space="0" w:color="auto"/>
        <w:bottom w:val="none" w:sz="0" w:space="0" w:color="auto"/>
        <w:right w:val="none" w:sz="0" w:space="0" w:color="auto"/>
      </w:divBdr>
      <w:divsChild>
        <w:div w:id="530070256">
          <w:marLeft w:val="0"/>
          <w:marRight w:val="0"/>
          <w:marTop w:val="0"/>
          <w:marBottom w:val="0"/>
          <w:divBdr>
            <w:top w:val="none" w:sz="0" w:space="0" w:color="auto"/>
            <w:left w:val="none" w:sz="0" w:space="0" w:color="auto"/>
            <w:bottom w:val="none" w:sz="0" w:space="0" w:color="auto"/>
            <w:right w:val="none" w:sz="0" w:space="0" w:color="auto"/>
          </w:divBdr>
        </w:div>
        <w:div w:id="680008311">
          <w:marLeft w:val="0"/>
          <w:marRight w:val="0"/>
          <w:marTop w:val="0"/>
          <w:marBottom w:val="0"/>
          <w:divBdr>
            <w:top w:val="none" w:sz="0" w:space="0" w:color="auto"/>
            <w:left w:val="none" w:sz="0" w:space="0" w:color="auto"/>
            <w:bottom w:val="none" w:sz="0" w:space="0" w:color="auto"/>
            <w:right w:val="none" w:sz="0" w:space="0" w:color="auto"/>
          </w:divBdr>
        </w:div>
      </w:divsChild>
    </w:div>
    <w:div w:id="1503734730">
      <w:bodyDiv w:val="1"/>
      <w:marLeft w:val="0"/>
      <w:marRight w:val="0"/>
      <w:marTop w:val="0"/>
      <w:marBottom w:val="0"/>
      <w:divBdr>
        <w:top w:val="none" w:sz="0" w:space="0" w:color="auto"/>
        <w:left w:val="none" w:sz="0" w:space="0" w:color="auto"/>
        <w:bottom w:val="none" w:sz="0" w:space="0" w:color="auto"/>
        <w:right w:val="none" w:sz="0" w:space="0" w:color="auto"/>
      </w:divBdr>
    </w:div>
    <w:div w:id="17730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usa.co.uk/change/charging-de-energised-sit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22f57-d223-4504-931f-d4f2be842914">
      <Terms xmlns="http://schemas.microsoft.com/office/infopath/2007/PartnerControls"/>
    </lcf76f155ced4ddcb4097134ff3c332f>
    <TaxCatchAll xmlns="e2308805-93bc-4987-b752-e4113f8d19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15" ma:contentTypeDescription="Create a new document." ma:contentTypeScope="" ma:versionID="6537e7eeeb34e5f2932a2aef59b1657a">
  <xsd:schema xmlns:xsd="http://www.w3.org/2001/XMLSchema" xmlns:xs="http://www.w3.org/2001/XMLSchema" xmlns:p="http://schemas.microsoft.com/office/2006/metadata/properties" xmlns:ns2="94222f57-d223-4504-931f-d4f2be842914" xmlns:ns3="e2308805-93bc-4987-b752-e4113f8d19ff" targetNamespace="http://schemas.microsoft.com/office/2006/metadata/properties" ma:root="true" ma:fieldsID="2c9a3cb9bf83eda9f37229f38ae3b0a1" ns2:_="" ns3:_="">
    <xsd:import namespace="94222f57-d223-4504-931f-d4f2be842914"/>
    <xsd:import namespace="e2308805-93bc-4987-b752-e4113f8d1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6ac460-1b41-4d49-ae05-51d014f575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08805-93bc-4987-b752-e4113f8d19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ba511-0533-4a85-85c3-972d51c3e2c7}" ma:internalName="TaxCatchAll" ma:showField="CatchAllData" ma:web="e2308805-93bc-4987-b752-e4113f8d19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9609-60F4-42B3-9D3E-15726B4D64EF}">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e2308805-93bc-4987-b752-e4113f8d19ff"/>
    <ds:schemaRef ds:uri="94222f57-d223-4504-931f-d4f2be84291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D68D8A2-E605-44E5-9BD6-F727DB53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e2308805-93bc-4987-b752-e4113f8d1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FA000-E738-412E-8F35-27204196244C}">
  <ds:schemaRefs>
    <ds:schemaRef ds:uri="http://schemas.microsoft.com/sharepoint/v3/contenttype/forms"/>
  </ds:schemaRefs>
</ds:datastoreItem>
</file>

<file path=customXml/itemProps4.xml><?xml version="1.0" encoding="utf-8"?>
<ds:datastoreItem xmlns:ds="http://schemas.openxmlformats.org/officeDocument/2006/customXml" ds:itemID="{5E045F23-9180-45BA-BB82-1E6D3D3D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1062</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7095</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sets out the detailed process by which Parties can raise Change Proposals (CPs) to amend BSC Configurable Items. It also provides further information on changing the BSC through Modification Proposals, supporting the rules in BSC Section F.</dc:subject>
  <dc:creator>ELEXON</dc:creator>
  <cp:keywords>BSCP40,Change,Management,Modification,Change,Proposal</cp:keywords>
  <cp:lastModifiedBy>Serena Tilbury</cp:lastModifiedBy>
  <cp:revision>3</cp:revision>
  <cp:lastPrinted>2019-03-28T09:06:00Z</cp:lastPrinted>
  <dcterms:created xsi:type="dcterms:W3CDTF">2023-11-28T09:28:00Z</dcterms:created>
  <dcterms:modified xsi:type="dcterms:W3CDTF">2023-11-28T10:47:00Z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16 June 2020</vt:lpwstr>
  </property>
  <property fmtid="{D5CDD505-2E9C-101B-9397-08002B2CF9AE}" pid="3" name="Version Number">
    <vt:lpwstr>Version 20.0</vt:lpwstr>
  </property>
  <property fmtid="{D5CDD505-2E9C-101B-9397-08002B2CF9AE}" pid="4" name="ContentTypeId">
    <vt:lpwstr>0x0101007FC8D8AC803AD04E81581A734F970BC7</vt:lpwstr>
  </property>
  <property fmtid="{D5CDD505-2E9C-101B-9397-08002B2CF9AE}" pid="5" name="MSIP_Label_24fe2fa2-8093-4776-8a20-2d25f8c7acf2_Enabled">
    <vt:lpwstr>true</vt:lpwstr>
  </property>
  <property fmtid="{D5CDD505-2E9C-101B-9397-08002B2CF9AE}" pid="6" name="MSIP_Label_24fe2fa2-8093-4776-8a20-2d25f8c7acf2_SetDate">
    <vt:lpwstr>2023-10-20T06:41:15Z</vt:lpwstr>
  </property>
  <property fmtid="{D5CDD505-2E9C-101B-9397-08002B2CF9AE}" pid="7" name="MSIP_Label_24fe2fa2-8093-4776-8a20-2d25f8c7acf2_Method">
    <vt:lpwstr>Standard</vt:lpwstr>
  </property>
  <property fmtid="{D5CDD505-2E9C-101B-9397-08002B2CF9AE}" pid="8" name="MSIP_Label_24fe2fa2-8093-4776-8a20-2d25f8c7acf2_Name">
    <vt:lpwstr>Internal</vt:lpwstr>
  </property>
  <property fmtid="{D5CDD505-2E9C-101B-9397-08002B2CF9AE}" pid="9" name="MSIP_Label_24fe2fa2-8093-4776-8a20-2d25f8c7acf2_SiteId">
    <vt:lpwstr>887a239c-e092-45fe-92c8-d902c3681567</vt:lpwstr>
  </property>
  <property fmtid="{D5CDD505-2E9C-101B-9397-08002B2CF9AE}" pid="10" name="MSIP_Label_24fe2fa2-8093-4776-8a20-2d25f8c7acf2_ActionId">
    <vt:lpwstr>7e0d4ef1-2b20-4f37-98e0-99d208658a94</vt:lpwstr>
  </property>
  <property fmtid="{D5CDD505-2E9C-101B-9397-08002B2CF9AE}" pid="11" name="MSIP_Label_24fe2fa2-8093-4776-8a20-2d25f8c7acf2_ContentBits">
    <vt:lpwstr>0</vt:lpwstr>
  </property>
</Properties>
</file>