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5" w:rsidRDefault="008E3BF5" w:rsidP="008E3BF5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b/>
          <w:bCs/>
          <w:color w:val="4BACC6"/>
          <w:u w:val="single"/>
        </w:rPr>
        <w:t xml:space="preserve">P375 </w:t>
      </w:r>
      <w:r>
        <w:rPr>
          <w:rFonts w:ascii="Tahoma" w:hAnsi="Tahoma" w:cs="Tahoma"/>
          <w:b/>
          <w:bCs/>
          <w:color w:val="4BACC6"/>
          <w:u w:val="single"/>
        </w:rPr>
        <w:t xml:space="preserve">Meeting </w:t>
      </w:r>
      <w:r w:rsidR="009E64DC">
        <w:rPr>
          <w:rFonts w:ascii="Tahoma" w:hAnsi="Tahoma" w:cs="Tahoma"/>
          <w:b/>
          <w:bCs/>
          <w:color w:val="4BACC6"/>
          <w:u w:val="single"/>
        </w:rPr>
        <w:t>4</w:t>
      </w:r>
      <w:r>
        <w:rPr>
          <w:rFonts w:ascii="Tahoma" w:hAnsi="Tahoma" w:cs="Tahoma"/>
          <w:b/>
          <w:bCs/>
          <w:color w:val="4BACC6"/>
          <w:u w:val="single"/>
        </w:rPr>
        <w:t xml:space="preserve"> </w:t>
      </w:r>
      <w:r>
        <w:rPr>
          <w:rFonts w:ascii="Tahoma" w:hAnsi="Tahoma" w:cs="Tahoma"/>
          <w:b/>
          <w:bCs/>
          <w:color w:val="4BACC6"/>
          <w:u w:val="single"/>
        </w:rPr>
        <w:t>Summary</w:t>
      </w:r>
    </w:p>
    <w:p w:rsidR="009E64DC" w:rsidRDefault="009E64DC" w:rsidP="009E64DC">
      <w:bookmarkStart w:id="0" w:name="_GoBack"/>
      <w:bookmarkEnd w:id="0"/>
      <w:r>
        <w:rPr>
          <w:rFonts w:ascii="Tahoma" w:hAnsi="Tahoma" w:cs="Tahoma"/>
          <w:b/>
          <w:bCs/>
          <w:color w:val="4BACC6"/>
        </w:rPr>
        <w:t> </w:t>
      </w:r>
    </w:p>
    <w:p w:rsidR="009E64DC" w:rsidRDefault="009E64DC" w:rsidP="009E64DC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The Workgroup reviewed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The summary and actions from meeting 3 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The issue and scope of the Modification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The customer registration process</w:t>
      </w:r>
    </w:p>
    <w:p w:rsidR="009E64DC" w:rsidRDefault="009E64DC" w:rsidP="009E64DC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The Workgroup agreed for </w:t>
      </w:r>
      <w:r>
        <w:rPr>
          <w:rFonts w:ascii="Tahoma" w:eastAsia="Times New Roman" w:hAnsi="Tahoma" w:cs="Tahoma"/>
          <w:b/>
          <w:bCs/>
        </w:rPr>
        <w:t>Asset Meters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That there should be a size threshold for appointment of </w:t>
      </w:r>
      <w:r>
        <w:rPr>
          <w:rFonts w:ascii="Tahoma" w:eastAsia="Times New Roman" w:hAnsi="Tahoma" w:cs="Tahoma"/>
          <w:b/>
          <w:bCs/>
        </w:rPr>
        <w:t>MOP</w:t>
      </w:r>
      <w:r>
        <w:rPr>
          <w:rFonts w:ascii="Tahoma" w:eastAsia="Times New Roman" w:hAnsi="Tahoma" w:cs="Tahoma"/>
        </w:rPr>
        <w:t>s: where the capacity of the circuit that is being metered would require</w:t>
      </w:r>
      <w:r>
        <w:rPr>
          <w:rFonts w:ascii="Tahoma" w:eastAsia="Times New Roman" w:hAnsi="Tahoma" w:cs="Tahoma"/>
          <w:b/>
          <w:bCs/>
        </w:rPr>
        <w:t xml:space="preserve"> COP3</w:t>
      </w:r>
      <w:r>
        <w:rPr>
          <w:rFonts w:ascii="Tahoma" w:eastAsia="Times New Roman" w:hAnsi="Tahoma" w:cs="Tahoma"/>
        </w:rPr>
        <w:t xml:space="preserve"> metering (broadly used by I&amp;C sites)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For sites where the capacity of the circuit that is being metered would require</w:t>
      </w:r>
      <w:r>
        <w:rPr>
          <w:rFonts w:ascii="Tahoma" w:eastAsia="Times New Roman" w:hAnsi="Tahoma" w:cs="Tahoma"/>
          <w:b/>
          <w:bCs/>
        </w:rPr>
        <w:t xml:space="preserve"> COP3</w:t>
      </w:r>
      <w:r>
        <w:rPr>
          <w:rFonts w:ascii="Tahoma" w:eastAsia="Times New Roman" w:hAnsi="Tahoma" w:cs="Tahoma"/>
        </w:rPr>
        <w:t xml:space="preserve"> metering and above, the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 xml:space="preserve"> can choose to be the </w:t>
      </w:r>
      <w:r>
        <w:rPr>
          <w:rFonts w:ascii="Tahoma" w:eastAsia="Times New Roman" w:hAnsi="Tahoma" w:cs="Tahoma"/>
          <w:b/>
          <w:bCs/>
        </w:rPr>
        <w:t>MOP</w:t>
      </w:r>
      <w:r>
        <w:rPr>
          <w:rFonts w:ascii="Tahoma" w:eastAsia="Times New Roman" w:hAnsi="Tahoma" w:cs="Tahoma"/>
        </w:rPr>
        <w:t xml:space="preserve"> (by completing BSCP537) or appoint a </w:t>
      </w:r>
      <w:r>
        <w:rPr>
          <w:rFonts w:ascii="Tahoma" w:eastAsia="Times New Roman" w:hAnsi="Tahoma" w:cs="Tahoma"/>
          <w:b/>
          <w:bCs/>
        </w:rPr>
        <w:t>MOP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Where the capacity of the circuit that is being metered is below </w:t>
      </w:r>
      <w:r>
        <w:rPr>
          <w:rFonts w:ascii="Tahoma" w:eastAsia="Times New Roman" w:hAnsi="Tahoma" w:cs="Tahoma"/>
          <w:b/>
          <w:bCs/>
        </w:rPr>
        <w:t>COP3</w:t>
      </w:r>
      <w:r>
        <w:rPr>
          <w:rFonts w:ascii="Tahoma" w:eastAsia="Times New Roman" w:hAnsi="Tahoma" w:cs="Tahoma"/>
        </w:rPr>
        <w:t xml:space="preserve"> a </w:t>
      </w:r>
      <w:r>
        <w:rPr>
          <w:rFonts w:ascii="Tahoma" w:eastAsia="Times New Roman" w:hAnsi="Tahoma" w:cs="Tahoma"/>
          <w:b/>
          <w:bCs/>
        </w:rPr>
        <w:t xml:space="preserve">MOP </w:t>
      </w:r>
      <w:r>
        <w:rPr>
          <w:rFonts w:ascii="Tahoma" w:eastAsia="Times New Roman" w:hAnsi="Tahoma" w:cs="Tahoma"/>
        </w:rPr>
        <w:t xml:space="preserve">need not be appointed, and that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>s can subcontract technical services</w:t>
      </w:r>
    </w:p>
    <w:p w:rsidR="009E64DC" w:rsidRDefault="009E64DC" w:rsidP="009E64DC">
      <w:pPr>
        <w:numPr>
          <w:ilvl w:val="2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In this case any Metering (or Metering System) would need to be </w:t>
      </w:r>
      <w:r>
        <w:rPr>
          <w:rFonts w:ascii="Tahoma" w:eastAsia="Times New Roman" w:hAnsi="Tahoma" w:cs="Tahoma"/>
          <w:b/>
          <w:bCs/>
        </w:rPr>
        <w:t>COP11</w:t>
      </w:r>
      <w:r>
        <w:rPr>
          <w:rFonts w:ascii="Tahoma" w:eastAsia="Times New Roman" w:hAnsi="Tahoma" w:cs="Tahoma"/>
        </w:rPr>
        <w:t xml:space="preserve"> compliant, and there would need to be a qualification process for the use of these technical services set out in a </w:t>
      </w:r>
      <w:r>
        <w:rPr>
          <w:rFonts w:ascii="Tahoma" w:eastAsia="Times New Roman" w:hAnsi="Tahoma" w:cs="Tahoma"/>
          <w:b/>
          <w:bCs/>
        </w:rPr>
        <w:t xml:space="preserve">BSCP </w:t>
      </w:r>
      <w:r>
        <w:rPr>
          <w:rFonts w:ascii="Tahoma" w:eastAsia="Times New Roman" w:hAnsi="Tahoma" w:cs="Tahoma"/>
        </w:rPr>
        <w:t>(to be discussed at a future Workgroup meeting)</w:t>
      </w:r>
    </w:p>
    <w:p w:rsidR="009E64DC" w:rsidRDefault="009E64DC" w:rsidP="009E64DC">
      <w:pPr>
        <w:numPr>
          <w:ilvl w:val="2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That the functionality of this ‘</w:t>
      </w:r>
      <w:r>
        <w:rPr>
          <w:rFonts w:ascii="Tahoma" w:eastAsia="Times New Roman" w:hAnsi="Tahoma" w:cs="Tahoma"/>
          <w:b/>
          <w:bCs/>
        </w:rPr>
        <w:t>Asset Meter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/>
          <w:bCs/>
        </w:rPr>
        <w:t>MOP’</w:t>
      </w:r>
      <w:r>
        <w:rPr>
          <w:rFonts w:ascii="Tahoma" w:eastAsia="Times New Roman" w:hAnsi="Tahoma" w:cs="Tahoma"/>
        </w:rPr>
        <w:t xml:space="preserve"> </w:t>
      </w:r>
      <w:proofErr w:type="gramStart"/>
      <w:r>
        <w:rPr>
          <w:rFonts w:ascii="Tahoma" w:eastAsia="Times New Roman" w:hAnsi="Tahoma" w:cs="Tahoma"/>
        </w:rPr>
        <w:t>should be defined</w:t>
      </w:r>
      <w:proofErr w:type="gramEnd"/>
      <w:r>
        <w:rPr>
          <w:rFonts w:ascii="Tahoma" w:eastAsia="Times New Roman" w:hAnsi="Tahoma" w:cs="Tahoma"/>
        </w:rPr>
        <w:t xml:space="preserve"> in the </w:t>
      </w:r>
      <w:r>
        <w:rPr>
          <w:rFonts w:ascii="Tahoma" w:eastAsia="Times New Roman" w:hAnsi="Tahoma" w:cs="Tahoma"/>
          <w:b/>
          <w:bCs/>
        </w:rPr>
        <w:t>BSC</w:t>
      </w:r>
      <w:r>
        <w:rPr>
          <w:rFonts w:ascii="Tahoma" w:eastAsia="Times New Roman" w:hAnsi="Tahoma" w:cs="Tahoma"/>
        </w:rPr>
        <w:t xml:space="preserve">. This would be different to that as defined by supplier hub, which could be perceived as a barrier to entry (i.e. does not have to be a traditional </w:t>
      </w:r>
      <w:r>
        <w:rPr>
          <w:rFonts w:ascii="Tahoma" w:eastAsia="Times New Roman" w:hAnsi="Tahoma" w:cs="Tahoma"/>
          <w:b/>
          <w:bCs/>
        </w:rPr>
        <w:t>MOP</w:t>
      </w:r>
      <w:r>
        <w:rPr>
          <w:rFonts w:ascii="Tahoma" w:eastAsia="Times New Roman" w:hAnsi="Tahoma" w:cs="Tahoma"/>
        </w:rPr>
        <w:t>)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That the Modification can be future-proofed by including recognised standards (e.g. IEC, CE) in the new </w:t>
      </w:r>
      <w:r>
        <w:rPr>
          <w:rFonts w:ascii="Tahoma" w:eastAsia="Times New Roman" w:hAnsi="Tahoma" w:cs="Tahoma"/>
          <w:b/>
          <w:bCs/>
        </w:rPr>
        <w:t xml:space="preserve">COP11, </w:t>
      </w:r>
      <w:r>
        <w:rPr>
          <w:rFonts w:ascii="Tahoma" w:eastAsia="Times New Roman" w:hAnsi="Tahoma" w:cs="Tahoma"/>
        </w:rPr>
        <w:t>and the</w:t>
      </w:r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 xml:space="preserve">minimum requirements of functionality for the new meters or metering systems being approved in </w:t>
      </w:r>
      <w:r>
        <w:rPr>
          <w:rFonts w:ascii="Tahoma" w:eastAsia="Times New Roman" w:hAnsi="Tahoma" w:cs="Tahoma"/>
          <w:b/>
          <w:bCs/>
        </w:rPr>
        <w:t>BSCP601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That the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 xml:space="preserve"> is ultimately responsible for passing on data into Settlement</w:t>
      </w:r>
    </w:p>
    <w:p w:rsidR="009E64DC" w:rsidRDefault="009E64DC" w:rsidP="009E64DC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ELEXON presented scenarios with a use case that explained the new processes for Settlement (P375 as compared with P344)</w:t>
      </w:r>
    </w:p>
    <w:p w:rsidR="009E64DC" w:rsidRDefault="009E64DC" w:rsidP="009E64DC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ELEXON presented scenarios with a use case for subtracting Asset Metered equipment</w:t>
      </w:r>
    </w:p>
    <w:p w:rsidR="009E64DC" w:rsidRDefault="009E64DC" w:rsidP="009E64DC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The Workgroup agreed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>Zero, one or many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 xml:space="preserve">s can use </w:t>
      </w:r>
      <w:r>
        <w:rPr>
          <w:rFonts w:ascii="Tahoma" w:eastAsia="Times New Roman" w:hAnsi="Tahoma" w:cs="Tahoma"/>
          <w:b/>
          <w:bCs/>
        </w:rPr>
        <w:t>AMSID</w:t>
      </w:r>
      <w:r>
        <w:rPr>
          <w:rFonts w:ascii="Tahoma" w:eastAsia="Times New Roman" w:hAnsi="Tahoma" w:cs="Tahoma"/>
        </w:rPr>
        <w:t>s to meter individual parts of the site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>Zero or one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 xml:space="preserve"> can use the </w:t>
      </w:r>
      <w:r>
        <w:rPr>
          <w:rFonts w:ascii="Tahoma" w:eastAsia="Times New Roman" w:hAnsi="Tahoma" w:cs="Tahoma"/>
          <w:b/>
          <w:bCs/>
        </w:rPr>
        <w:t>Boundary Point MSID Pair(s)</w:t>
      </w:r>
      <w:r>
        <w:rPr>
          <w:rFonts w:ascii="Tahoma" w:eastAsia="Times New Roman" w:hAnsi="Tahoma" w:cs="Tahoma"/>
        </w:rPr>
        <w:t xml:space="preserve">. Their </w:t>
      </w:r>
      <w:r>
        <w:rPr>
          <w:rFonts w:ascii="Tahoma" w:eastAsia="Times New Roman" w:hAnsi="Tahoma" w:cs="Tahoma"/>
          <w:b/>
          <w:bCs/>
          <w:u w:val="single"/>
        </w:rPr>
        <w:t>Secondary BM Unit Demand Volume</w:t>
      </w:r>
      <w:r>
        <w:rPr>
          <w:rFonts w:ascii="Tahoma" w:eastAsia="Times New Roman" w:hAnsi="Tahoma" w:cs="Tahoma"/>
        </w:rPr>
        <w:t xml:space="preserve"> will be calculated using the </w:t>
      </w:r>
      <w:r>
        <w:rPr>
          <w:rFonts w:ascii="Tahoma" w:eastAsia="Times New Roman" w:hAnsi="Tahoma" w:cs="Tahoma"/>
          <w:b/>
          <w:bCs/>
        </w:rPr>
        <w:t>Boundary Point MSID Pair(s)</w:t>
      </w:r>
      <w:r>
        <w:rPr>
          <w:rFonts w:ascii="Tahoma" w:eastAsia="Times New Roman" w:hAnsi="Tahoma" w:cs="Tahoma"/>
        </w:rPr>
        <w:t xml:space="preserve">, less any </w:t>
      </w:r>
      <w:r>
        <w:rPr>
          <w:rFonts w:ascii="Tahoma" w:eastAsia="Times New Roman" w:hAnsi="Tahoma" w:cs="Tahoma"/>
          <w:b/>
          <w:bCs/>
        </w:rPr>
        <w:t>AMSID</w:t>
      </w:r>
      <w:r>
        <w:rPr>
          <w:rFonts w:ascii="Tahoma" w:eastAsia="Times New Roman" w:hAnsi="Tahoma" w:cs="Tahoma"/>
        </w:rPr>
        <w:t xml:space="preserve">s used by other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 xml:space="preserve">s, </w:t>
      </w:r>
      <w:r>
        <w:rPr>
          <w:rFonts w:ascii="Tahoma" w:eastAsia="Times New Roman" w:hAnsi="Tahoma" w:cs="Tahoma"/>
          <w:b/>
          <w:bCs/>
        </w:rPr>
        <w:t>less zero or more other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/>
          <w:bCs/>
        </w:rPr>
        <w:t>AMSID</w:t>
      </w:r>
      <w:r>
        <w:rPr>
          <w:rFonts w:ascii="Tahoma" w:eastAsia="Times New Roman" w:hAnsi="Tahoma" w:cs="Tahoma"/>
        </w:rPr>
        <w:t xml:space="preserve">s (representing assets that no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 xml:space="preserve"> wants in their </w:t>
      </w:r>
      <w:r>
        <w:rPr>
          <w:rFonts w:ascii="Tahoma" w:eastAsia="Times New Roman" w:hAnsi="Tahoma" w:cs="Tahoma"/>
          <w:b/>
          <w:bCs/>
        </w:rPr>
        <w:t>BM Unit</w:t>
      </w:r>
      <w:r>
        <w:rPr>
          <w:rFonts w:ascii="Tahoma" w:eastAsia="Times New Roman" w:hAnsi="Tahoma" w:cs="Tahoma"/>
        </w:rPr>
        <w:t>)</w:t>
      </w:r>
    </w:p>
    <w:p w:rsidR="009E64DC" w:rsidRDefault="009E64DC" w:rsidP="009E64DC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ELEXON presented the most appropriate assurance frameworks for P375, and a risk register for </w:t>
      </w:r>
      <w:r>
        <w:rPr>
          <w:rFonts w:ascii="Tahoma" w:eastAsia="Times New Roman" w:hAnsi="Tahoma" w:cs="Tahoma"/>
          <w:b/>
          <w:bCs/>
        </w:rPr>
        <w:t>VLP</w:t>
      </w:r>
      <w:r>
        <w:rPr>
          <w:rFonts w:ascii="Tahoma" w:eastAsia="Times New Roman" w:hAnsi="Tahoma" w:cs="Tahoma"/>
        </w:rPr>
        <w:t xml:space="preserve">s is in development 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ELEXON invites Workgroup members to add this in the attached document</w:t>
      </w:r>
    </w:p>
    <w:p w:rsidR="009E64DC" w:rsidRDefault="009E64DC" w:rsidP="009E64DC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>ELEXON presented a statistical technique for asset load independence</w:t>
      </w:r>
    </w:p>
    <w:p w:rsidR="009E64DC" w:rsidRDefault="009E64DC" w:rsidP="009E64DC">
      <w:pPr>
        <w:numPr>
          <w:ilvl w:val="1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The Workgroup agreed this can be used as part of a </w:t>
      </w:r>
      <w:r>
        <w:rPr>
          <w:rFonts w:ascii="Tahoma" w:eastAsia="Times New Roman" w:hAnsi="Tahoma" w:cs="Tahoma"/>
          <w:b/>
          <w:bCs/>
        </w:rPr>
        <w:t>PAF</w:t>
      </w:r>
      <w:r>
        <w:rPr>
          <w:rFonts w:ascii="Tahoma" w:eastAsia="Times New Roman" w:hAnsi="Tahoma" w:cs="Tahoma"/>
        </w:rPr>
        <w:t xml:space="preserve"> tool</w:t>
      </w:r>
    </w:p>
    <w:p w:rsidR="009E64DC" w:rsidRDefault="009E64DC" w:rsidP="009E64DC">
      <w:r>
        <w:rPr>
          <w:rFonts w:ascii="Tahoma" w:hAnsi="Tahoma" w:cs="Tahoma"/>
          <w:b/>
          <w:bCs/>
          <w:color w:val="4BACC6"/>
          <w:u w:val="single"/>
        </w:rPr>
        <w:t>Meeting Actions</w:t>
      </w:r>
    </w:p>
    <w:p w:rsidR="009E64DC" w:rsidRDefault="009E64DC" w:rsidP="009E64DC">
      <w:r>
        <w:rPr>
          <w:rFonts w:ascii="Tahoma" w:hAnsi="Tahoma" w:cs="Tahoma"/>
          <w:b/>
          <w:bCs/>
          <w:color w:val="4BACC6"/>
        </w:rPr>
        <w:t> </w:t>
      </w:r>
    </w:p>
    <w:p w:rsidR="009E64DC" w:rsidRDefault="009E64DC" w:rsidP="009E64DC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  <w:lang w:eastAsia="en-GB"/>
        </w:rPr>
        <w:t>ELEXON to consider customer consent model for P375</w:t>
      </w:r>
      <w:r>
        <w:rPr>
          <w:rFonts w:eastAsia="Times New Roman"/>
        </w:rPr>
        <w:t xml:space="preserve"> </w:t>
      </w:r>
    </w:p>
    <w:p w:rsidR="009E64DC" w:rsidRDefault="009E64DC" w:rsidP="009E64DC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  <w:lang w:eastAsia="en-GB"/>
        </w:rPr>
        <w:lastRenderedPageBreak/>
        <w:t>For complex arrangements such as multiple Boundary Points for one site and private wire networks</w:t>
      </w:r>
    </w:p>
    <w:p w:rsidR="009E64DC" w:rsidRDefault="009E64DC" w:rsidP="009E64DC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  <w:lang w:eastAsia="en-GB"/>
        </w:rPr>
        <w:t xml:space="preserve">How </w:t>
      </w:r>
      <w:r>
        <w:rPr>
          <w:rFonts w:ascii="Tahoma" w:eastAsia="Times New Roman" w:hAnsi="Tahoma" w:cs="Tahoma"/>
          <w:b/>
          <w:bCs/>
          <w:lang w:eastAsia="en-GB"/>
        </w:rPr>
        <w:t xml:space="preserve">SVAA </w:t>
      </w:r>
      <w:r>
        <w:rPr>
          <w:rFonts w:ascii="Tahoma" w:eastAsia="Times New Roman" w:hAnsi="Tahoma" w:cs="Tahoma"/>
          <w:lang w:eastAsia="en-GB"/>
        </w:rPr>
        <w:t xml:space="preserve">shares information about other </w:t>
      </w:r>
      <w:r>
        <w:rPr>
          <w:rFonts w:ascii="Tahoma" w:eastAsia="Times New Roman" w:hAnsi="Tahoma" w:cs="Tahoma"/>
          <w:b/>
          <w:bCs/>
          <w:lang w:eastAsia="en-GB"/>
        </w:rPr>
        <w:t>VLP</w:t>
      </w:r>
      <w:r>
        <w:rPr>
          <w:rFonts w:ascii="Tahoma" w:eastAsia="Times New Roman" w:hAnsi="Tahoma" w:cs="Tahoma"/>
          <w:lang w:eastAsia="en-GB"/>
        </w:rPr>
        <w:t xml:space="preserve">s and </w:t>
      </w:r>
      <w:r>
        <w:rPr>
          <w:rFonts w:ascii="Tahoma" w:eastAsia="Times New Roman" w:hAnsi="Tahoma" w:cs="Tahoma"/>
          <w:b/>
          <w:bCs/>
          <w:lang w:eastAsia="en-GB"/>
        </w:rPr>
        <w:t>Suppliers</w:t>
      </w:r>
    </w:p>
    <w:p w:rsidR="009E64DC" w:rsidRDefault="009E64DC" w:rsidP="009E64DC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  <w:lang w:eastAsia="en-GB"/>
        </w:rPr>
        <w:t xml:space="preserve">ELEXON to produce a finalised draft of </w:t>
      </w:r>
      <w:r>
        <w:rPr>
          <w:rFonts w:ascii="Tahoma" w:eastAsia="Times New Roman" w:hAnsi="Tahoma" w:cs="Tahoma"/>
          <w:b/>
          <w:bCs/>
          <w:lang w:eastAsia="en-GB"/>
        </w:rPr>
        <w:t>Business Requirements</w:t>
      </w:r>
      <w:r>
        <w:rPr>
          <w:rFonts w:ascii="Tahoma" w:eastAsia="Times New Roman" w:hAnsi="Tahoma" w:cs="Tahoma"/>
          <w:lang w:eastAsia="en-GB"/>
        </w:rPr>
        <w:t xml:space="preserve"> to be sent out for the Workgroup to review no later than two weeks before the next Workgroup (for final Workgroup review)</w:t>
      </w:r>
    </w:p>
    <w:p w:rsidR="009E64DC" w:rsidRDefault="009E64DC" w:rsidP="009E64DC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ascii="Tahoma" w:eastAsia="Times New Roman" w:hAnsi="Tahoma" w:cs="Tahoma"/>
          <w:lang w:eastAsia="en-GB"/>
        </w:rPr>
        <w:t xml:space="preserve">ELEXON to send a finalised draft of </w:t>
      </w:r>
      <w:r>
        <w:rPr>
          <w:rFonts w:ascii="Tahoma" w:eastAsia="Times New Roman" w:hAnsi="Tahoma" w:cs="Tahoma"/>
          <w:b/>
          <w:bCs/>
          <w:lang w:eastAsia="en-GB"/>
        </w:rPr>
        <w:t>Asset Metering Code of Practice 11</w:t>
      </w:r>
      <w:r>
        <w:rPr>
          <w:rFonts w:ascii="Tahoma" w:eastAsia="Times New Roman" w:hAnsi="Tahoma" w:cs="Tahoma"/>
          <w:lang w:eastAsia="en-GB"/>
        </w:rPr>
        <w:t xml:space="preserve"> for Workgroup to review no later than two weeks before the next Workgroup (for final Workgroup review)</w:t>
      </w:r>
    </w:p>
    <w:p w:rsidR="006A1402" w:rsidRDefault="009E64DC" w:rsidP="009E64DC">
      <w:pPr>
        <w:spacing w:after="200" w:line="276" w:lineRule="auto"/>
        <w:ind w:left="720"/>
        <w:contextualSpacing/>
      </w:pPr>
    </w:p>
    <w:sectPr w:rsidR="006A1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380"/>
    <w:multiLevelType w:val="hybridMultilevel"/>
    <w:tmpl w:val="E1B6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6883"/>
    <w:multiLevelType w:val="hybridMultilevel"/>
    <w:tmpl w:val="5F9A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3C5E"/>
    <w:multiLevelType w:val="hybridMultilevel"/>
    <w:tmpl w:val="6E8C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F5"/>
    <w:rsid w:val="00473380"/>
    <w:rsid w:val="008E3BF5"/>
    <w:rsid w:val="009E64DC"/>
    <w:rsid w:val="009F2005"/>
    <w:rsid w:val="00D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8D25"/>
  <w15:chartTrackingRefBased/>
  <w15:docId w15:val="{DC3E3E5A-584C-4968-B618-825ACE7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Darwen</dc:creator>
  <cp:keywords/>
  <dc:description/>
  <cp:lastModifiedBy>Tom Darwen</cp:lastModifiedBy>
  <cp:revision>3</cp:revision>
  <dcterms:created xsi:type="dcterms:W3CDTF">2019-07-11T15:20:00Z</dcterms:created>
  <dcterms:modified xsi:type="dcterms:W3CDTF">2019-07-11T15:21:00Z</dcterms:modified>
</cp:coreProperties>
</file>