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3D5C" w14:textId="77777777" w:rsidR="00234ADB" w:rsidRDefault="003D3995">
      <w:pPr>
        <w:pageBreakBefore/>
        <w:spacing w:after="240"/>
        <w:ind w:left="2126" w:hanging="2126"/>
        <w:rPr>
          <w:b/>
          <w:sz w:val="24"/>
          <w:szCs w:val="24"/>
        </w:rPr>
      </w:pPr>
      <w:bookmarkStart w:id="0" w:name="_Toc484761343"/>
      <w:r>
        <w:rPr>
          <w:b/>
          <w:sz w:val="24"/>
          <w:szCs w:val="24"/>
        </w:rPr>
        <w:t>BSCP32/4.1</w:t>
      </w:r>
      <w:r>
        <w:rPr>
          <w:b/>
          <w:sz w:val="24"/>
          <w:szCs w:val="24"/>
        </w:rPr>
        <w:tab/>
        <w:t>Application for a Metering Dispensation</w:t>
      </w:r>
      <w:bookmarkEnd w:id="0"/>
    </w:p>
    <w:p w14:paraId="7D33B601" w14:textId="77777777" w:rsidR="00234ADB" w:rsidRDefault="003D3995">
      <w:pPr>
        <w:pStyle w:val="BodyText"/>
        <w:ind w:left="0"/>
        <w:rPr>
          <w:szCs w:val="24"/>
        </w:rPr>
      </w:pPr>
      <w:r>
        <w:rPr>
          <w:szCs w:val="24"/>
        </w:rPr>
        <w:t xml:space="preserve">Part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– Applicant Details</w:t>
      </w:r>
    </w:p>
    <w:tbl>
      <w:tblPr>
        <w:tblW w:w="96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30"/>
      </w:tblGrid>
      <w:tr w:rsidR="00234ADB" w14:paraId="6B77648E" w14:textId="77777777">
        <w:trPr>
          <w:cantSplit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DA3E6C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To: BSCCo</w:t>
            </w:r>
          </w:p>
        </w:tc>
        <w:tc>
          <w:tcPr>
            <w:tcW w:w="46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998B07" w14:textId="5EEF12BF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Sent:</w:t>
            </w:r>
            <w:r>
              <w:rPr>
                <w:sz w:val="24"/>
                <w:szCs w:val="24"/>
              </w:rPr>
              <w:t xml:space="preserve">     _</w:t>
            </w:r>
            <w:r w:rsidR="007F2DF4">
              <w:rPr>
                <w:sz w:val="24"/>
                <w:szCs w:val="24"/>
              </w:rPr>
              <w:t>04</w:t>
            </w:r>
            <w:r w:rsidR="00E67742">
              <w:rPr>
                <w:sz w:val="24"/>
                <w:szCs w:val="24"/>
              </w:rPr>
              <w:t>/0</w:t>
            </w:r>
            <w:r w:rsidR="007F2DF4">
              <w:rPr>
                <w:sz w:val="24"/>
                <w:szCs w:val="24"/>
              </w:rPr>
              <w:t>4</w:t>
            </w:r>
            <w:r w:rsidR="00E67742">
              <w:rPr>
                <w:sz w:val="24"/>
                <w:szCs w:val="24"/>
              </w:rPr>
              <w:t>/2022</w:t>
            </w:r>
          </w:p>
        </w:tc>
      </w:tr>
      <w:tr w:rsidR="00234ADB" w14:paraId="2D83F419" w14:textId="77777777">
        <w:trPr>
          <w:cantSplit/>
        </w:trPr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993B2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From: Requesting Applicant Details</w:t>
            </w:r>
          </w:p>
        </w:tc>
      </w:tr>
      <w:tr w:rsidR="00234ADB" w14:paraId="1935AA8A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83428" w14:textId="45DB7A43" w:rsidR="00234ADB" w:rsidRDefault="003D3995" w:rsidP="001E5C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Sender:  _______________________________________________</w:t>
            </w:r>
          </w:p>
        </w:tc>
      </w:tr>
      <w:tr w:rsidR="00234ADB" w14:paraId="2D82247D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C38F7" w14:textId="71D56151" w:rsidR="00234ADB" w:rsidRDefault="003D3995" w:rsidP="001E5C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  <w:r w:rsidR="00346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</w:t>
            </w:r>
          </w:p>
        </w:tc>
      </w:tr>
      <w:tr w:rsidR="00234ADB" w14:paraId="02F0E94D" w14:textId="77777777">
        <w:trPr>
          <w:cantSplit/>
        </w:trPr>
        <w:tc>
          <w:tcPr>
            <w:tcW w:w="50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BE9132" w14:textId="47D0F718" w:rsidR="00234ADB" w:rsidRDefault="003D3995" w:rsidP="001E5C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   ____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D5176F" w14:textId="1C918D22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Fax. No.______________</w:t>
            </w:r>
          </w:p>
        </w:tc>
      </w:tr>
      <w:tr w:rsidR="00234ADB" w14:paraId="0CAD9866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D8A1" w14:textId="3F658A7C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 Company:</w:t>
            </w:r>
            <w:r w:rsidR="003460EF">
              <w:rPr>
                <w:sz w:val="24"/>
                <w:szCs w:val="24"/>
              </w:rPr>
              <w:t xml:space="preserve"> Statkraft Markets GmbH </w:t>
            </w:r>
            <w:r>
              <w:rPr>
                <w:sz w:val="24"/>
                <w:szCs w:val="24"/>
              </w:rPr>
              <w:t>_______________________________</w:t>
            </w:r>
          </w:p>
        </w:tc>
      </w:tr>
      <w:tr w:rsidR="00234ADB" w14:paraId="1F43ED95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277D" w14:textId="20ED7CEB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3460EF">
              <w:rPr>
                <w:sz w:val="24"/>
                <w:szCs w:val="24"/>
              </w:rPr>
              <w:t xml:space="preserve"> 22 Bishopsgate</w:t>
            </w:r>
          </w:p>
        </w:tc>
      </w:tr>
      <w:tr w:rsidR="00234ADB" w14:paraId="331DFEFA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3AAF" w14:textId="52949F74" w:rsidR="00234ADB" w:rsidRDefault="003460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</w:tr>
      <w:tr w:rsidR="00234ADB" w14:paraId="3B1AFD31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8787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06EEEBF2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0EA7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1D8B6F8D" w14:textId="77777777">
        <w:trPr>
          <w:cantSplit/>
        </w:trPr>
        <w:tc>
          <w:tcPr>
            <w:tcW w:w="50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DE5D23" w14:textId="29573015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  <w:r w:rsidR="003460EF">
              <w:rPr>
                <w:sz w:val="24"/>
                <w:szCs w:val="24"/>
              </w:rPr>
              <w:t>: EC2N 4BQ</w:t>
            </w: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A7C05C" w14:textId="730931CE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Ref: </w:t>
            </w:r>
            <w:r w:rsidR="003460EF">
              <w:rPr>
                <w:sz w:val="24"/>
                <w:szCs w:val="24"/>
              </w:rPr>
              <w:t>STATERA_DISP_MINETY2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234ADB" w14:paraId="73A9A96A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33DE1" w14:textId="1C772D9A" w:rsidR="00234ADB" w:rsidRDefault="003D3995" w:rsidP="001E5C7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Authorised Signatory:</w:t>
            </w:r>
            <w:r>
              <w:rPr>
                <w:sz w:val="24"/>
                <w:szCs w:val="24"/>
              </w:rPr>
              <w:t xml:space="preserve"> ________________________</w:t>
            </w:r>
          </w:p>
        </w:tc>
      </w:tr>
      <w:tr w:rsidR="00234ADB" w14:paraId="76FCA1ED" w14:textId="77777777">
        <w:trPr>
          <w:cantSplit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54F0D" w14:textId="0A5127E6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Authorised Signature:  </w:t>
            </w:r>
            <w:r w:rsidR="003460EF">
              <w:rPr>
                <w:sz w:val="24"/>
                <w:szCs w:val="24"/>
              </w:rPr>
              <w:t>By email</w:t>
            </w: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9630" w14:textId="679D0114" w:rsidR="00234ADB" w:rsidRDefault="003D3995" w:rsidP="001E5C7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Password:__</w:t>
            </w:r>
            <w:r w:rsidR="001E5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</w:tbl>
    <w:p w14:paraId="54DCEFEA" w14:textId="77777777" w:rsidR="00234ADB" w:rsidRDefault="00234ADB">
      <w:pPr>
        <w:pBdr>
          <w:top w:val="single" w:sz="6" w:space="1" w:color="auto"/>
        </w:pBdr>
        <w:rPr>
          <w:sz w:val="24"/>
          <w:szCs w:val="24"/>
        </w:rPr>
      </w:pPr>
    </w:p>
    <w:p w14:paraId="3AECD6B9" w14:textId="77777777" w:rsidR="00234ADB" w:rsidRDefault="003D3995">
      <w:pPr>
        <w:pBdr>
          <w:top w:val="single" w:sz="6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Confidentiality:</w:t>
      </w:r>
    </w:p>
    <w:p w14:paraId="2AF65492" w14:textId="77777777" w:rsidR="00234ADB" w:rsidRDefault="003D3995">
      <w:pPr>
        <w:pBdr>
          <w:top w:val="single" w:sz="6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Does any part of this application form contain confidential information?</w:t>
      </w:r>
    </w:p>
    <w:p w14:paraId="471724F4" w14:textId="63D8C822" w:rsidR="00234ADB" w:rsidRPr="00C14002" w:rsidRDefault="003D3995">
      <w:pPr>
        <w:spacing w:after="24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Request for Confidentiality      </w:t>
      </w:r>
      <w:r w:rsidR="00296738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/*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9232"/>
      </w:tblGrid>
      <w:tr w:rsidR="00234ADB" w14:paraId="4D0FD7D6" w14:textId="77777777">
        <w:tc>
          <w:tcPr>
            <w:tcW w:w="5000" w:type="pct"/>
          </w:tcPr>
          <w:p w14:paraId="5DF17C28" w14:textId="77777777" w:rsidR="00234ADB" w:rsidRDefault="003D3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‘YES’, please state the parts of the application form that are considered confidential, including justification below. Information that is considered confidential:</w:t>
            </w:r>
          </w:p>
          <w:p w14:paraId="1434EA5E" w14:textId="77777777" w:rsidR="00234ADB" w:rsidRDefault="00234ADB">
            <w:pPr>
              <w:spacing w:after="120"/>
              <w:rPr>
                <w:sz w:val="24"/>
                <w:szCs w:val="24"/>
              </w:rPr>
            </w:pPr>
          </w:p>
        </w:tc>
      </w:tr>
      <w:tr w:rsidR="00234ADB" w14:paraId="61900D78" w14:textId="77777777">
        <w:tc>
          <w:tcPr>
            <w:tcW w:w="5000" w:type="pct"/>
          </w:tcPr>
          <w:p w14:paraId="1F9E0B5D" w14:textId="77777777" w:rsidR="00296738" w:rsidRDefault="00296738">
            <w:pPr>
              <w:spacing w:after="120"/>
              <w:rPr>
                <w:sz w:val="24"/>
                <w:szCs w:val="24"/>
              </w:rPr>
            </w:pPr>
          </w:p>
          <w:p w14:paraId="43C5F9AD" w14:textId="4D3905BD" w:rsidR="00234ADB" w:rsidRDefault="003D3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D0846C7" w14:textId="77777777" w:rsidR="00234ADB" w:rsidRDefault="003D3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number, site name, expiry date (if any) and BSC Panel determinations will routinely be made available in the public domain unless the applicant informs BSCCo otherwise at the time of application</w:t>
            </w:r>
          </w:p>
        </w:tc>
      </w:tr>
    </w:tbl>
    <w:p w14:paraId="6E6191E1" w14:textId="77777777" w:rsidR="00234ADB" w:rsidRDefault="00234ADB">
      <w:pPr>
        <w:spacing w:after="240"/>
        <w:ind w:left="2126" w:hanging="2126"/>
        <w:rPr>
          <w:sz w:val="24"/>
          <w:szCs w:val="24"/>
        </w:rPr>
      </w:pPr>
    </w:p>
    <w:p w14:paraId="3026440C" w14:textId="4200EBE7" w:rsidR="00234ADB" w:rsidRDefault="003D3995">
      <w:pPr>
        <w:pageBreakBefore/>
        <w:spacing w:after="240"/>
        <w:ind w:left="2126" w:hanging="21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BSCP32/4.1</w:t>
      </w:r>
      <w:r>
        <w:rPr>
          <w:b/>
          <w:sz w:val="24"/>
          <w:szCs w:val="24"/>
        </w:rPr>
        <w:tab/>
        <w:t>Application for a Metering Dispensation (Cont.)</w:t>
      </w:r>
    </w:p>
    <w:p w14:paraId="470D5BFF" w14:textId="77777777" w:rsidR="00234ADB" w:rsidRDefault="003D3995">
      <w:pPr>
        <w:spacing w:after="240"/>
        <w:ind w:left="2126" w:hanging="2126"/>
        <w:rPr>
          <w:b/>
          <w:sz w:val="24"/>
          <w:szCs w:val="24"/>
        </w:rPr>
      </w:pPr>
      <w:r>
        <w:rPr>
          <w:b/>
          <w:sz w:val="24"/>
          <w:szCs w:val="24"/>
        </w:rPr>
        <w:t>Part B - Affected Party Details</w:t>
      </w:r>
    </w:p>
    <w:p w14:paraId="668F2518" w14:textId="77777777" w:rsidR="00234ADB" w:rsidRDefault="00234ADB">
      <w:pPr>
        <w:pBdr>
          <w:top w:val="single" w:sz="6" w:space="1" w:color="auto"/>
        </w:pBdr>
        <w:tabs>
          <w:tab w:val="left" w:pos="2977"/>
          <w:tab w:val="right" w:leader="dot" w:pos="9072"/>
        </w:tabs>
        <w:rPr>
          <w:b/>
          <w:sz w:val="24"/>
          <w:szCs w:val="24"/>
        </w:rPr>
      </w:pPr>
    </w:p>
    <w:p w14:paraId="1C8EF34C" w14:textId="579A53F1" w:rsidR="00234ADB" w:rsidRDefault="003D3995">
      <w:pPr>
        <w:pBdr>
          <w:top w:val="single" w:sz="6" w:space="1" w:color="auto"/>
        </w:pBdr>
        <w:tabs>
          <w:tab w:val="left" w:pos="2977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Number of Affected parties___</w:t>
      </w:r>
      <w:r w:rsidR="003460EF">
        <w:rPr>
          <w:sz w:val="24"/>
          <w:szCs w:val="24"/>
        </w:rPr>
        <w:t>1</w:t>
      </w:r>
      <w:r>
        <w:rPr>
          <w:sz w:val="24"/>
          <w:szCs w:val="24"/>
        </w:rPr>
        <w:t>__</w:t>
      </w:r>
      <w:r>
        <w:rPr>
          <w:rStyle w:val="FootnoteReference"/>
          <w:sz w:val="24"/>
          <w:szCs w:val="24"/>
        </w:rPr>
        <w:footnoteReference w:id="1"/>
      </w:r>
    </w:p>
    <w:p w14:paraId="33185B77" w14:textId="66E1BE67" w:rsidR="007252FA" w:rsidRDefault="00113619" w:rsidP="00032AB7">
      <w:pPr>
        <w:pBdr>
          <w:top w:val="single" w:sz="6" w:space="1" w:color="auto"/>
        </w:pBdr>
        <w:tabs>
          <w:tab w:val="left" w:pos="2977"/>
          <w:tab w:val="left" w:pos="5205"/>
          <w:tab w:val="left" w:pos="6060"/>
        </w:tabs>
        <w:rPr>
          <w:sz w:val="24"/>
          <w:szCs w:val="24"/>
        </w:rPr>
      </w:pPr>
      <w:r w:rsidRPr="00113619">
        <w:rPr>
          <w:sz w:val="24"/>
          <w:szCs w:val="24"/>
        </w:rPr>
        <w:t>Does this Metering Dispensation affect the metering arrangements for a generator that has applied for/obtained a CFD Agreement?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52FA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697701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60E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7252FA">
        <w:rPr>
          <w:sz w:val="24"/>
          <w:szCs w:val="24"/>
        </w:rPr>
        <w:t>No</w:t>
      </w:r>
    </w:p>
    <w:p w14:paraId="4879A831" w14:textId="77777777" w:rsidR="007252FA" w:rsidRDefault="007252FA">
      <w:pPr>
        <w:pBdr>
          <w:top w:val="single" w:sz="6" w:space="1" w:color="auto"/>
        </w:pBdr>
        <w:tabs>
          <w:tab w:val="left" w:pos="2977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you must contact the Low Carbon Contracts Company and advise them of your Metering Dispensation application</w:t>
      </w:r>
      <w:r w:rsidR="004F7221">
        <w:rPr>
          <w:sz w:val="24"/>
          <w:szCs w:val="24"/>
        </w:rPr>
        <w:t xml:space="preserve"> and include them as an Affected Party</w:t>
      </w:r>
      <w:r>
        <w:rPr>
          <w:sz w:val="24"/>
          <w:szCs w:val="24"/>
        </w:rPr>
        <w:t xml:space="preserve">. </w:t>
      </w:r>
    </w:p>
    <w:p w14:paraId="7E362FF8" w14:textId="7784D9A7" w:rsidR="004F7221" w:rsidRDefault="004F7221" w:rsidP="004F7221">
      <w:pPr>
        <w:pBdr>
          <w:top w:val="single" w:sz="6" w:space="1" w:color="auto"/>
        </w:pBdr>
        <w:tabs>
          <w:tab w:val="left" w:pos="2977"/>
          <w:tab w:val="left" w:pos="520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Have you notified all Affected Parties? </w:t>
      </w:r>
      <w:sdt>
        <w:sdtPr>
          <w:rPr>
            <w:sz w:val="24"/>
            <w:szCs w:val="24"/>
          </w:rPr>
          <w:id w:val="7950323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347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86651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7FDB4AEE" w14:textId="77777777" w:rsidR="00234ADB" w:rsidRDefault="00234ADB">
      <w:pPr>
        <w:spacing w:before="40" w:after="40"/>
        <w:rPr>
          <w:sz w:val="24"/>
          <w:szCs w:val="24"/>
        </w:rPr>
      </w:pPr>
    </w:p>
    <w:tbl>
      <w:tblPr>
        <w:tblW w:w="96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30"/>
      </w:tblGrid>
      <w:tr w:rsidR="00234ADB" w14:paraId="79871CBF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6D2" w14:textId="68153523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at Affected party:</w:t>
            </w:r>
            <w:r w:rsidR="003460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FEF198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02505AEE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4FF" w14:textId="7C53B0CA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  <w:r w:rsidR="00CF3470">
              <w:t xml:space="preserve"> </w:t>
            </w:r>
          </w:p>
          <w:p w14:paraId="34A03CFC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7CDA84E3" w14:textId="77777777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598" w14:textId="71CFD42B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</w:t>
            </w:r>
            <w:r w:rsidR="00CF3470">
              <w:rPr>
                <w:sz w:val="24"/>
                <w:szCs w:val="24"/>
              </w:rPr>
              <w:t xml:space="preserve"> </w:t>
            </w:r>
          </w:p>
          <w:p w14:paraId="718C8DB5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267" w14:textId="21CBC795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</w:t>
            </w:r>
            <w:r w:rsidR="00CF3470">
              <w:rPr>
                <w:sz w:val="24"/>
                <w:szCs w:val="24"/>
              </w:rPr>
              <w:t xml:space="preserve"> </w:t>
            </w:r>
          </w:p>
          <w:p w14:paraId="087147C2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5DD11F97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8E722" w14:textId="5FFD5F8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of Affected party:</w:t>
            </w:r>
            <w:r w:rsidR="00CF3470">
              <w:rPr>
                <w:color w:val="000000" w:themeColor="text1"/>
                <w:sz w:val="24"/>
                <w:szCs w:val="24"/>
              </w:rPr>
              <w:t xml:space="preserve"> Scottish and Southern Electricity Networks</w:t>
            </w:r>
          </w:p>
          <w:p w14:paraId="4A37E821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6AFB9329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B5C962" w14:textId="26A2205E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CF3470">
              <w:rPr>
                <w:sz w:val="24"/>
                <w:szCs w:val="24"/>
              </w:rPr>
              <w:t xml:space="preserve"> 1 </w:t>
            </w:r>
            <w:proofErr w:type="spellStart"/>
            <w:r w:rsidR="00CF3470">
              <w:rPr>
                <w:sz w:val="24"/>
                <w:szCs w:val="24"/>
              </w:rPr>
              <w:t>Forbury</w:t>
            </w:r>
            <w:proofErr w:type="spellEnd"/>
            <w:r w:rsidR="00CF3470">
              <w:rPr>
                <w:sz w:val="24"/>
                <w:szCs w:val="24"/>
              </w:rPr>
              <w:t xml:space="preserve"> Place, 43 </w:t>
            </w:r>
            <w:proofErr w:type="spellStart"/>
            <w:r w:rsidR="00CF3470">
              <w:rPr>
                <w:sz w:val="24"/>
                <w:szCs w:val="24"/>
              </w:rPr>
              <w:t>Forbury</w:t>
            </w:r>
            <w:proofErr w:type="spellEnd"/>
            <w:r w:rsidR="00CF3470">
              <w:rPr>
                <w:sz w:val="24"/>
                <w:szCs w:val="24"/>
              </w:rPr>
              <w:t xml:space="preserve"> Road, Reading</w:t>
            </w:r>
          </w:p>
        </w:tc>
      </w:tr>
      <w:tr w:rsidR="00234ADB" w14:paraId="2C23DFC9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96E93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5C7E7A16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CE873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5F93C240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E9700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6575A3E0" w14:textId="77777777">
        <w:trPr>
          <w:cantSplit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FF6C7" w14:textId="0F9BF184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  <w:r w:rsidR="00CF3470">
              <w:rPr>
                <w:sz w:val="24"/>
                <w:szCs w:val="24"/>
              </w:rPr>
              <w:t xml:space="preserve"> RG1 3JH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0EDB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D1CAAAE" w14:textId="77777777" w:rsidR="00234ADB" w:rsidRDefault="00234ADB">
      <w:pPr>
        <w:tabs>
          <w:tab w:val="left" w:pos="3402"/>
          <w:tab w:val="right" w:leader="dot" w:pos="9072"/>
        </w:tabs>
        <w:spacing w:before="40" w:after="40"/>
        <w:rPr>
          <w:i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30"/>
      </w:tblGrid>
      <w:tr w:rsidR="00234ADB" w14:paraId="127EA589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B09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 at Affected party: </w:t>
            </w:r>
          </w:p>
          <w:p w14:paraId="6C3042C6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7E5AF287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923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</w:p>
          <w:p w14:paraId="0719A851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192FBBF8" w14:textId="77777777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3B6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A99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</w:t>
            </w:r>
          </w:p>
          <w:p w14:paraId="3897233D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7B3CE774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4AE6A5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of Affected party:</w:t>
            </w:r>
          </w:p>
          <w:p w14:paraId="6F7F21B4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0A9BB441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85116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234ADB" w14:paraId="59F99259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ECD60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2AC2182B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03C31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0F2133F0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5E077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26AE0E16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237A9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216D8E02" w14:textId="77777777">
        <w:trPr>
          <w:cantSplit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F249A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1425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2EDAFE8" w14:textId="77777777" w:rsidR="00234ADB" w:rsidRDefault="00234ADB">
      <w:pPr>
        <w:pageBreakBefore/>
        <w:tabs>
          <w:tab w:val="right" w:leader="dot" w:pos="9072"/>
        </w:tabs>
        <w:spacing w:before="40" w:after="40"/>
        <w:rPr>
          <w:sz w:val="24"/>
          <w:szCs w:val="24"/>
        </w:rPr>
      </w:pPr>
    </w:p>
    <w:tbl>
      <w:tblPr>
        <w:tblW w:w="96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30"/>
      </w:tblGrid>
      <w:tr w:rsidR="00234ADB" w14:paraId="2A45573F" w14:textId="77777777">
        <w:trPr>
          <w:cantSplit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20E33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at Affected party:</w:t>
            </w:r>
          </w:p>
          <w:p w14:paraId="5F67C033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58B2E6C1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2E2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address:</w:t>
            </w:r>
          </w:p>
          <w:p w14:paraId="06B13E62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1961325E" w14:textId="77777777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B59F2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</w:t>
            </w:r>
          </w:p>
          <w:p w14:paraId="7FC67EF6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1B2B4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Tel. No.</w:t>
            </w:r>
          </w:p>
          <w:p w14:paraId="45318FA9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35D98DD8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6102C" w14:textId="77777777" w:rsidR="00234ADB" w:rsidRDefault="003D3995">
            <w:pPr>
              <w:spacing w:before="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of Affected party:</w:t>
            </w:r>
          </w:p>
          <w:p w14:paraId="6F374185" w14:textId="77777777" w:rsidR="00234ADB" w:rsidRDefault="00234ADB">
            <w:pPr>
              <w:spacing w:before="60" w:after="240"/>
              <w:rPr>
                <w:sz w:val="24"/>
                <w:szCs w:val="24"/>
              </w:rPr>
            </w:pPr>
          </w:p>
        </w:tc>
      </w:tr>
      <w:tr w:rsidR="00234ADB" w14:paraId="456BDBA7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235B20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234ADB" w14:paraId="1D4A2DDE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6676A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266F233E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E67C1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0FFC6E77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7C9FB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79537D5F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267B42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2763B3E3" w14:textId="77777777">
        <w:trPr>
          <w:cantSplit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DA305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7E234104" w14:textId="77777777">
        <w:trPr>
          <w:cantSplit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8C05D" w14:textId="77777777" w:rsidR="00234ADB" w:rsidRDefault="003D3995">
            <w:pPr>
              <w:spacing w:before="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92C3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29823229" w14:textId="77777777" w:rsidR="00234ADB" w:rsidRDefault="00234ADB">
      <w:pPr>
        <w:spacing w:after="240"/>
        <w:rPr>
          <w:sz w:val="24"/>
          <w:szCs w:val="24"/>
        </w:rPr>
      </w:pPr>
    </w:p>
    <w:p w14:paraId="02CB248B" w14:textId="77777777" w:rsidR="00234ADB" w:rsidRDefault="00234ADB">
      <w:pPr>
        <w:spacing w:after="240"/>
        <w:rPr>
          <w:sz w:val="24"/>
          <w:szCs w:val="24"/>
        </w:rPr>
      </w:pPr>
    </w:p>
    <w:p w14:paraId="46458D36" w14:textId="77777777" w:rsidR="00234ADB" w:rsidRDefault="003D3995">
      <w:pPr>
        <w:pageBreakBefore/>
        <w:spacing w:after="240"/>
        <w:ind w:left="1985" w:hanging="1985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BSCP32/4.1</w:t>
      </w:r>
      <w:r>
        <w:rPr>
          <w:b/>
          <w:sz w:val="24"/>
          <w:szCs w:val="24"/>
        </w:rPr>
        <w:tab/>
        <w:t>Application for a Metering Dispensation (Cont.)</w:t>
      </w:r>
    </w:p>
    <w:p w14:paraId="75472A9B" w14:textId="77777777" w:rsidR="00234ADB" w:rsidRDefault="00234ADB">
      <w:pPr>
        <w:pBdr>
          <w:top w:val="single" w:sz="6" w:space="1" w:color="auto"/>
        </w:pBdr>
        <w:tabs>
          <w:tab w:val="left" w:pos="2977"/>
          <w:tab w:val="right" w:leader="dot" w:pos="9072"/>
        </w:tabs>
        <w:spacing w:before="40" w:after="40"/>
        <w:rPr>
          <w:sz w:val="24"/>
          <w:szCs w:val="24"/>
        </w:rPr>
      </w:pPr>
    </w:p>
    <w:p w14:paraId="463A72EC" w14:textId="77777777" w:rsidR="00234ADB" w:rsidRDefault="003D3995">
      <w:pPr>
        <w:pBdr>
          <w:top w:val="single" w:sz="6" w:space="1" w:color="auto"/>
        </w:pBdr>
        <w:tabs>
          <w:tab w:val="left" w:pos="2977"/>
          <w:tab w:val="right" w:leader="dot" w:pos="9072"/>
        </w:tabs>
        <w:spacing w:before="40" w:after="40"/>
        <w:rPr>
          <w:b/>
          <w:sz w:val="24"/>
          <w:szCs w:val="24"/>
        </w:rPr>
      </w:pPr>
      <w:r>
        <w:rPr>
          <w:b/>
          <w:sz w:val="24"/>
          <w:szCs w:val="24"/>
        </w:rPr>
        <w:t>Part C – Reason for Application</w:t>
      </w:r>
    </w:p>
    <w:p w14:paraId="4B578FE4" w14:textId="77777777" w:rsidR="00234ADB" w:rsidRDefault="00234ADB">
      <w:pPr>
        <w:pBdr>
          <w:top w:val="single" w:sz="6" w:space="1" w:color="auto"/>
        </w:pBdr>
        <w:tabs>
          <w:tab w:val="left" w:pos="2977"/>
          <w:tab w:val="right" w:leader="dot" w:pos="9072"/>
        </w:tabs>
        <w:spacing w:before="40" w:after="40"/>
        <w:rPr>
          <w:sz w:val="24"/>
          <w:szCs w:val="24"/>
        </w:rPr>
      </w:pPr>
    </w:p>
    <w:p w14:paraId="7937F498" w14:textId="77777777" w:rsidR="00234ADB" w:rsidRDefault="003D3995">
      <w:pPr>
        <w:pStyle w:val="BodyText"/>
        <w:tabs>
          <w:tab w:val="left" w:leader="dot" w:pos="9072"/>
        </w:tabs>
        <w:ind w:left="0"/>
        <w:rPr>
          <w:szCs w:val="24"/>
        </w:rPr>
      </w:pPr>
      <w:r>
        <w:rPr>
          <w:szCs w:val="24"/>
        </w:rPr>
        <w:t>If the application is an extension or update for an existing Metering Dispensation, enter existing ref: D/……..</w:t>
      </w:r>
    </w:p>
    <w:p w14:paraId="72AF5218" w14:textId="495F5D74" w:rsidR="00234ADB" w:rsidRDefault="003D3995">
      <w:pPr>
        <w:tabs>
          <w:tab w:val="left" w:pos="2977"/>
          <w:tab w:val="right" w:leader="dot" w:pos="9072"/>
        </w:tabs>
        <w:spacing w:after="240"/>
        <w:rPr>
          <w:i/>
          <w:sz w:val="24"/>
          <w:szCs w:val="24"/>
        </w:rPr>
      </w:pPr>
      <w:r>
        <w:rPr>
          <w:sz w:val="24"/>
          <w:szCs w:val="24"/>
        </w:rPr>
        <w:t xml:space="preserve">Site Specific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34ADB" w14:paraId="4A79D53E" w14:textId="77777777">
        <w:tc>
          <w:tcPr>
            <w:tcW w:w="5000" w:type="pct"/>
          </w:tcPr>
          <w:p w14:paraId="4AED4BB1" w14:textId="635268AC" w:rsidR="00234ADB" w:rsidRDefault="003D3995">
            <w:pPr>
              <w:spacing w:before="60" w:after="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Describe why you require a Metering Dispensation. Include any steps you propose to limit the impact on Settlement and other Registrants:</w:t>
            </w:r>
          </w:p>
          <w:p w14:paraId="6B867DC0" w14:textId="219324D7" w:rsidR="00B313D3" w:rsidRDefault="00B313D3">
            <w:pPr>
              <w:spacing w:before="60" w:after="60"/>
              <w:rPr>
                <w:sz w:val="24"/>
                <w:szCs w:val="24"/>
                <w:u w:val="single"/>
              </w:rPr>
            </w:pPr>
          </w:p>
          <w:p w14:paraId="0E1D4ED3" w14:textId="3F618772" w:rsidR="00B313D3" w:rsidRPr="001E7508" w:rsidRDefault="00B313D3" w:rsidP="00B313D3">
            <w:pPr>
              <w:jc w:val="both"/>
              <w:rPr>
                <w:sz w:val="24"/>
                <w:szCs w:val="24"/>
              </w:rPr>
            </w:pPr>
            <w:r w:rsidRPr="001E7508">
              <w:rPr>
                <w:sz w:val="24"/>
                <w:szCs w:val="24"/>
              </w:rPr>
              <w:t xml:space="preserve">The dispensation relates to two battery storage projects: Minety South Storage Limited &amp; Minety South Storage 2 LTD. </w:t>
            </w:r>
            <w:r w:rsidR="004B1512" w:rsidRPr="001E7508">
              <w:rPr>
                <w:sz w:val="24"/>
                <w:szCs w:val="24"/>
              </w:rPr>
              <w:t>Though a dispensation is only being requested for Minety South Storage 2 LTD</w:t>
            </w:r>
            <w:r w:rsidR="00E92F49">
              <w:rPr>
                <w:sz w:val="24"/>
                <w:szCs w:val="24"/>
              </w:rPr>
              <w:t xml:space="preserve"> (as the other project will still </w:t>
            </w:r>
            <w:r w:rsidR="000B4316">
              <w:rPr>
                <w:sz w:val="24"/>
                <w:szCs w:val="24"/>
              </w:rPr>
              <w:t xml:space="preserve">have a compliant </w:t>
            </w:r>
            <w:r w:rsidR="00E92F49">
              <w:rPr>
                <w:sz w:val="24"/>
                <w:szCs w:val="24"/>
              </w:rPr>
              <w:t>meter at the boundary</w:t>
            </w:r>
            <w:r w:rsidR="00CB5454">
              <w:rPr>
                <w:sz w:val="24"/>
                <w:szCs w:val="24"/>
              </w:rPr>
              <w:t xml:space="preserve"> and is already operational</w:t>
            </w:r>
            <w:r w:rsidR="00E92F49">
              <w:rPr>
                <w:sz w:val="24"/>
                <w:szCs w:val="24"/>
              </w:rPr>
              <w:t>)</w:t>
            </w:r>
            <w:r w:rsidR="004B1512" w:rsidRPr="001E7508">
              <w:rPr>
                <w:sz w:val="24"/>
                <w:szCs w:val="24"/>
              </w:rPr>
              <w:t xml:space="preserve">. </w:t>
            </w:r>
          </w:p>
          <w:p w14:paraId="24F909C6" w14:textId="77777777" w:rsidR="00B313D3" w:rsidRPr="001E7508" w:rsidRDefault="00B313D3">
            <w:pPr>
              <w:spacing w:before="60" w:after="60"/>
              <w:rPr>
                <w:sz w:val="24"/>
                <w:szCs w:val="24"/>
                <w:u w:val="single"/>
              </w:rPr>
            </w:pPr>
          </w:p>
          <w:p w14:paraId="161FD194" w14:textId="77777777" w:rsidR="00CF3470" w:rsidRPr="001E7508" w:rsidRDefault="00CF3470" w:rsidP="00CF3470">
            <w:pPr>
              <w:jc w:val="both"/>
              <w:rPr>
                <w:sz w:val="24"/>
                <w:szCs w:val="24"/>
              </w:rPr>
            </w:pPr>
            <w:bookmarkStart w:id="1" w:name="_Hlk8664784"/>
            <w:r w:rsidRPr="001E7508">
              <w:rPr>
                <w:sz w:val="24"/>
                <w:szCs w:val="24"/>
              </w:rPr>
              <w:t xml:space="preserve">A Metering Dispensation will allow for optimum registration of the Metering System for the site connecting the project, through a dedicated circuit, to the wider DNO network. </w:t>
            </w:r>
          </w:p>
          <w:p w14:paraId="5DB7DD3A" w14:textId="77777777" w:rsidR="00CF3470" w:rsidRPr="001E7508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3C9D5B71" w14:textId="3672F122" w:rsidR="00CF3470" w:rsidRPr="001E7508" w:rsidRDefault="00CF3470" w:rsidP="001E7508">
            <w:pPr>
              <w:jc w:val="both"/>
              <w:rPr>
                <w:sz w:val="24"/>
                <w:szCs w:val="24"/>
              </w:rPr>
            </w:pPr>
            <w:r w:rsidRPr="001E7508">
              <w:rPr>
                <w:sz w:val="24"/>
                <w:szCs w:val="24"/>
              </w:rPr>
              <w:t xml:space="preserve">One of the unique requirements for a dispensation arises as a result of two projects being built at the same time on land directly adjacent to one another. This allows for the amalgamation of two separate Points of Connection into a single location, with the Defined Metering Point being in the same location for both MPANs - captured as Compliant Metering under the Materiality section below. </w:t>
            </w:r>
            <w:r w:rsidR="00B24643" w:rsidRPr="001E7508">
              <w:rPr>
                <w:sz w:val="24"/>
                <w:szCs w:val="24"/>
              </w:rPr>
              <w:t xml:space="preserve">However, </w:t>
            </w:r>
            <w:r w:rsidR="00E92F49">
              <w:rPr>
                <w:sz w:val="24"/>
                <w:szCs w:val="24"/>
              </w:rPr>
              <w:t xml:space="preserve">due to the need to meter each project independently the second project (Minety South Storage 2) requires a dispensation to meter at its project boundary. </w:t>
            </w:r>
            <w:r w:rsidR="001E7508" w:rsidRPr="001E7508">
              <w:rPr>
                <w:sz w:val="24"/>
                <w:szCs w:val="24"/>
              </w:rPr>
              <w:t>Without this, two separate connections would be required, which is highly inefficient and uneconomic</w:t>
            </w:r>
            <w:r w:rsidR="004C2717">
              <w:rPr>
                <w:sz w:val="24"/>
                <w:szCs w:val="24"/>
              </w:rPr>
              <w:t xml:space="preserve"> (please refer to appended SLDs)</w:t>
            </w:r>
            <w:r w:rsidR="001E7508" w:rsidRPr="001E7508">
              <w:rPr>
                <w:sz w:val="24"/>
                <w:szCs w:val="24"/>
              </w:rPr>
              <w:t xml:space="preserve">. </w:t>
            </w:r>
          </w:p>
          <w:p w14:paraId="7BC9C2FB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064A1B96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result, the </w:t>
            </w:r>
            <w:r w:rsidRPr="00174B52">
              <w:rPr>
                <w:sz w:val="24"/>
                <w:szCs w:val="24"/>
              </w:rPr>
              <w:t xml:space="preserve">proposed solution will: </w:t>
            </w:r>
          </w:p>
          <w:p w14:paraId="6410FB78" w14:textId="77777777" w:rsidR="00CF3470" w:rsidRPr="00174B52" w:rsidRDefault="00CF3470" w:rsidP="00CF347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4B52">
              <w:rPr>
                <w:sz w:val="24"/>
                <w:szCs w:val="24"/>
              </w:rPr>
              <w:t>Simplify the design and environmental footprint of required infrastructure</w:t>
            </w:r>
          </w:p>
          <w:p w14:paraId="7A8C0A59" w14:textId="77777777" w:rsidR="00CF3470" w:rsidRPr="00174B52" w:rsidRDefault="00CF3470" w:rsidP="00CF347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4B52">
              <w:rPr>
                <w:sz w:val="24"/>
                <w:szCs w:val="24"/>
              </w:rPr>
              <w:t>Provide significant cost savings relative to the overall project cost</w:t>
            </w:r>
          </w:p>
          <w:p w14:paraId="6975FDC7" w14:textId="2CFECE10" w:rsidR="00CF3470" w:rsidRPr="00174B52" w:rsidRDefault="00CF3470" w:rsidP="00CF347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4B52">
              <w:rPr>
                <w:sz w:val="24"/>
                <w:szCs w:val="24"/>
              </w:rPr>
              <w:t xml:space="preserve">Deliver </w:t>
            </w:r>
            <w:r>
              <w:rPr>
                <w:sz w:val="24"/>
                <w:szCs w:val="24"/>
              </w:rPr>
              <w:t xml:space="preserve">COP1 </w:t>
            </w:r>
            <w:r w:rsidR="001E7508">
              <w:rPr>
                <w:sz w:val="24"/>
                <w:szCs w:val="24"/>
              </w:rPr>
              <w:t xml:space="preserve">metering for both projects </w:t>
            </w:r>
            <w:r>
              <w:rPr>
                <w:sz w:val="24"/>
                <w:szCs w:val="24"/>
              </w:rPr>
              <w:t>rather than COP2 metering arrangement</w:t>
            </w:r>
            <w:r w:rsidR="001E7508">
              <w:rPr>
                <w:sz w:val="24"/>
                <w:szCs w:val="24"/>
              </w:rPr>
              <w:t xml:space="preserve"> (</w:t>
            </w:r>
            <w:r w:rsidR="004C2717">
              <w:rPr>
                <w:sz w:val="24"/>
                <w:szCs w:val="24"/>
              </w:rPr>
              <w:t xml:space="preserve">which would have been used with two separate connections). </w:t>
            </w:r>
          </w:p>
          <w:p w14:paraId="6E95A876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7E6CA9A7" w14:textId="77777777" w:rsidR="00CF3470" w:rsidRPr="000C521D" w:rsidRDefault="00CF3470" w:rsidP="00CF3470">
            <w:pPr>
              <w:jc w:val="both"/>
              <w:rPr>
                <w:sz w:val="24"/>
                <w:szCs w:val="24"/>
              </w:rPr>
            </w:pPr>
            <w:bookmarkStart w:id="2" w:name="_Hlk11663426"/>
            <w:r w:rsidRPr="000C521D">
              <w:rPr>
                <w:sz w:val="24"/>
                <w:szCs w:val="24"/>
              </w:rPr>
              <w:t xml:space="preserve">Note: </w:t>
            </w:r>
            <w:r>
              <w:rPr>
                <w:sz w:val="24"/>
                <w:szCs w:val="24"/>
              </w:rPr>
              <w:t>W</w:t>
            </w:r>
            <w:r w:rsidRPr="000C521D">
              <w:rPr>
                <w:sz w:val="24"/>
                <w:szCs w:val="24"/>
              </w:rPr>
              <w:t xml:space="preserve">hile it is technically possible to provide a COP compliant metering solution by amalgamating the two c50MW projects into a single c100MW project, such a proposal would mean the project capacity being above thresholds for: commercial (risk + licencing); funding, and; </w:t>
            </w:r>
            <w:r>
              <w:rPr>
                <w:sz w:val="24"/>
                <w:szCs w:val="24"/>
              </w:rPr>
              <w:t xml:space="preserve">it was designed to meet the </w:t>
            </w:r>
            <w:r w:rsidRPr="000C521D">
              <w:rPr>
                <w:sz w:val="24"/>
                <w:szCs w:val="24"/>
              </w:rPr>
              <w:t xml:space="preserve">town and country planning act (Development Consent Order to Secretary of State vs Local Planning Authority) </w:t>
            </w:r>
            <w:r>
              <w:rPr>
                <w:sz w:val="24"/>
                <w:szCs w:val="24"/>
              </w:rPr>
              <w:t xml:space="preserve">restrictions in place at the time </w:t>
            </w:r>
            <w:r w:rsidRPr="000C521D">
              <w:rPr>
                <w:sz w:val="24"/>
                <w:szCs w:val="24"/>
              </w:rPr>
              <w:t xml:space="preserve">–leading to cost and timescale increases. </w:t>
            </w:r>
          </w:p>
          <w:bookmarkEnd w:id="2"/>
          <w:p w14:paraId="29B5765D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</w:p>
          <w:bookmarkEnd w:id="1"/>
          <w:p w14:paraId="318A89A7" w14:textId="77777777" w:rsidR="00CF3470" w:rsidRPr="00174B52" w:rsidRDefault="00CF3470" w:rsidP="00CF347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174B52">
              <w:rPr>
                <w:b/>
                <w:bCs/>
                <w:sz w:val="24"/>
                <w:szCs w:val="24"/>
                <w:u w:val="single"/>
              </w:rPr>
              <w:t>Simplify the design and footprint of the require</w:t>
            </w:r>
            <w:r>
              <w:rPr>
                <w:b/>
                <w:bCs/>
                <w:sz w:val="24"/>
                <w:szCs w:val="24"/>
                <w:u w:val="single"/>
              </w:rPr>
              <w:t>d</w:t>
            </w:r>
            <w:r w:rsidRPr="00174B52">
              <w:rPr>
                <w:b/>
                <w:bCs/>
                <w:sz w:val="24"/>
                <w:szCs w:val="24"/>
                <w:u w:val="single"/>
              </w:rPr>
              <w:t xml:space="preserve"> infrastructure</w:t>
            </w:r>
          </w:p>
          <w:p w14:paraId="2ACFAA87" w14:textId="4AE1B479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  <w:r w:rsidRPr="00174B52">
              <w:rPr>
                <w:sz w:val="24"/>
                <w:szCs w:val="24"/>
              </w:rPr>
              <w:t>A fully compliant system</w:t>
            </w:r>
            <w:r>
              <w:rPr>
                <w:sz w:val="24"/>
                <w:szCs w:val="24"/>
              </w:rPr>
              <w:t>, metering at the DMP,</w:t>
            </w:r>
            <w:r w:rsidRPr="00174B52">
              <w:rPr>
                <w:sz w:val="24"/>
                <w:szCs w:val="24"/>
              </w:rPr>
              <w:t xml:space="preserve"> would require additional infrastructure in </w:t>
            </w:r>
            <w:r>
              <w:rPr>
                <w:sz w:val="24"/>
                <w:szCs w:val="24"/>
              </w:rPr>
              <w:t>the existing or new</w:t>
            </w:r>
            <w:r w:rsidRPr="00174B52">
              <w:rPr>
                <w:sz w:val="24"/>
                <w:szCs w:val="24"/>
              </w:rPr>
              <w:t xml:space="preserve"> DNO substation</w:t>
            </w:r>
            <w:r w:rsidR="00E92F49">
              <w:rPr>
                <w:sz w:val="24"/>
                <w:szCs w:val="24"/>
              </w:rPr>
              <w:t xml:space="preserve"> and two each project</w:t>
            </w:r>
            <w:r w:rsidRPr="00174B52">
              <w:rPr>
                <w:sz w:val="24"/>
                <w:szCs w:val="24"/>
              </w:rPr>
              <w:t xml:space="preserve"> – increasing both cost and timescales for completion. Further</w:t>
            </w:r>
            <w:r>
              <w:rPr>
                <w:sz w:val="24"/>
                <w:szCs w:val="24"/>
              </w:rPr>
              <w:t>more</w:t>
            </w:r>
            <w:r w:rsidRPr="00174B52">
              <w:rPr>
                <w:sz w:val="24"/>
                <w:szCs w:val="24"/>
              </w:rPr>
              <w:t xml:space="preserve">, such infrastructure would cause </w:t>
            </w:r>
            <w:r>
              <w:rPr>
                <w:sz w:val="24"/>
                <w:szCs w:val="24"/>
              </w:rPr>
              <w:t>increased levels of environmental impact</w:t>
            </w:r>
            <w:r w:rsidRPr="00174B52">
              <w:rPr>
                <w:sz w:val="24"/>
                <w:szCs w:val="24"/>
              </w:rPr>
              <w:t xml:space="preserve">; such as increased land-take/footprint, noise, construction traffic, and carbon-emissions from additional piling &amp; infrastructure. </w:t>
            </w:r>
          </w:p>
          <w:p w14:paraId="7BCDD53B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227A309F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7C6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proposed </w:t>
            </w:r>
            <w:r w:rsidRPr="007C6054">
              <w:rPr>
                <w:sz w:val="24"/>
                <w:szCs w:val="24"/>
              </w:rPr>
              <w:t xml:space="preserve">reduction in plant and machinery </w:t>
            </w:r>
            <w:r>
              <w:rPr>
                <w:sz w:val="24"/>
                <w:szCs w:val="24"/>
              </w:rPr>
              <w:t xml:space="preserve">is </w:t>
            </w:r>
            <w:r w:rsidRPr="007C6054">
              <w:rPr>
                <w:sz w:val="24"/>
                <w:szCs w:val="24"/>
              </w:rPr>
              <w:t xml:space="preserve">looked </w:t>
            </w:r>
            <w:r>
              <w:rPr>
                <w:sz w:val="24"/>
                <w:szCs w:val="24"/>
              </w:rPr>
              <w:t>on</w:t>
            </w:r>
            <w:r w:rsidRPr="007C6054">
              <w:rPr>
                <w:sz w:val="24"/>
                <w:szCs w:val="24"/>
              </w:rPr>
              <w:t xml:space="preserve"> favourably by the L</w:t>
            </w:r>
            <w:r>
              <w:rPr>
                <w:sz w:val="24"/>
                <w:szCs w:val="24"/>
              </w:rPr>
              <w:t xml:space="preserve">ocal </w:t>
            </w:r>
            <w:r w:rsidRPr="007C605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lanning </w:t>
            </w:r>
            <w:r w:rsidRPr="007C605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uthority</w:t>
            </w:r>
            <w:r w:rsidRPr="007C6054">
              <w:rPr>
                <w:sz w:val="24"/>
                <w:szCs w:val="24"/>
              </w:rPr>
              <w:t xml:space="preserve">, lessening visual impact and other related environmental impacts. </w:t>
            </w:r>
          </w:p>
          <w:p w14:paraId="44A804B9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7CCA198D" w14:textId="77777777" w:rsidR="00CF3470" w:rsidRPr="00174B52" w:rsidRDefault="00CF3470" w:rsidP="00CF347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4B52">
              <w:rPr>
                <w:b/>
                <w:bCs/>
                <w:sz w:val="24"/>
                <w:szCs w:val="24"/>
                <w:u w:val="single"/>
              </w:rPr>
              <w:t>Provide significant cost savings relative to the overall project cost</w:t>
            </w:r>
          </w:p>
          <w:p w14:paraId="70432916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  <w:r w:rsidRPr="009C4250">
              <w:rPr>
                <w:sz w:val="24"/>
                <w:szCs w:val="24"/>
              </w:rPr>
              <w:t>The Materiality section below highlights savings of £1.26m per project when compared with Compliant Metering Option 1 (a total of £2.52m across both projects), representing c5-7% reduction in total CAPEX for each project.</w:t>
            </w:r>
            <w:r w:rsidRPr="00174B52">
              <w:rPr>
                <w:sz w:val="24"/>
                <w:szCs w:val="24"/>
              </w:rPr>
              <w:t xml:space="preserve"> </w:t>
            </w:r>
          </w:p>
          <w:p w14:paraId="5B8C1C5D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292900DD" w14:textId="77777777" w:rsidR="00CF3470" w:rsidRDefault="00CF3470" w:rsidP="00CF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this project will enter the capacity market, these savings will ultimately benefit the Consumer.</w:t>
            </w:r>
          </w:p>
          <w:p w14:paraId="2512F966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63F69319" w14:textId="77777777" w:rsidR="00CF3470" w:rsidRPr="00174B52" w:rsidRDefault="00CF3470" w:rsidP="00CF347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4B52">
              <w:rPr>
                <w:b/>
                <w:bCs/>
                <w:sz w:val="24"/>
                <w:szCs w:val="24"/>
                <w:u w:val="single"/>
              </w:rPr>
              <w:t>Deliver for a more accurate metering arrangement going forward, whilst maintaining the integrity of Settlement</w:t>
            </w:r>
          </w:p>
          <w:p w14:paraId="05760625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these to be directly connected (i.e. under compliant metering option 2), individual 50MW projects they would be COP2. However, under this arrangement t</w:t>
            </w:r>
            <w:r w:rsidRPr="00174B52">
              <w:rPr>
                <w:sz w:val="24"/>
                <w:szCs w:val="24"/>
              </w:rPr>
              <w:t>he dispensation will result in higher accuracy COP1 metering for both projects</w:t>
            </w:r>
            <w:r>
              <w:rPr>
                <w:sz w:val="24"/>
                <w:szCs w:val="24"/>
              </w:rPr>
              <w:t>.</w:t>
            </w:r>
          </w:p>
          <w:p w14:paraId="1BD667AD" w14:textId="77777777" w:rsidR="00CF3470" w:rsidRPr="00174B52" w:rsidRDefault="00CF3470" w:rsidP="00CF3470">
            <w:pPr>
              <w:jc w:val="both"/>
              <w:rPr>
                <w:sz w:val="24"/>
                <w:szCs w:val="24"/>
              </w:rPr>
            </w:pPr>
          </w:p>
          <w:p w14:paraId="4D1219EF" w14:textId="7736D2D6" w:rsidR="00234ADB" w:rsidRPr="00CF3470" w:rsidRDefault="00CF3470" w:rsidP="00CF34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Given the proposed private network is connected to a dedicated circuit out of the DNO substation, t</w:t>
            </w:r>
            <w:r w:rsidRPr="00174B52">
              <w:rPr>
                <w:sz w:val="24"/>
                <w:szCs w:val="24"/>
              </w:rPr>
              <w:t>here</w:t>
            </w:r>
            <w:r>
              <w:rPr>
                <w:sz w:val="24"/>
                <w:szCs w:val="24"/>
              </w:rPr>
              <w:t xml:space="preserve"> will be no</w:t>
            </w:r>
            <w:r w:rsidRPr="00174B52">
              <w:rPr>
                <w:sz w:val="24"/>
                <w:szCs w:val="24"/>
              </w:rPr>
              <w:t xml:space="preserve"> impact on Settlement or other </w:t>
            </w:r>
            <w:r w:rsidRPr="00174B52">
              <w:rPr>
                <w:sz w:val="24"/>
                <w:szCs w:val="24"/>
                <w:lang w:eastAsia="en-US"/>
              </w:rPr>
              <w:t>Registrants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3EF6892F" w14:textId="77777777" w:rsidR="00234ADB" w:rsidRDefault="00234ADB">
      <w:pPr>
        <w:tabs>
          <w:tab w:val="left" w:pos="2977"/>
          <w:tab w:val="right" w:leader="dot" w:pos="9072"/>
        </w:tabs>
        <w:spacing w:after="120"/>
        <w:rPr>
          <w:sz w:val="24"/>
          <w:szCs w:val="24"/>
        </w:rPr>
      </w:pPr>
    </w:p>
    <w:p w14:paraId="12F9ABDD" w14:textId="77777777" w:rsidR="00234ADB" w:rsidRDefault="003D3995">
      <w:pPr>
        <w:tabs>
          <w:tab w:val="left" w:pos="2977"/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Period of Metering Dispensation required</w:t>
      </w:r>
    </w:p>
    <w:p w14:paraId="0F430452" w14:textId="603A1EA7" w:rsidR="00234ADB" w:rsidRDefault="003D3995">
      <w:pPr>
        <w:tabs>
          <w:tab w:val="left" w:pos="2977"/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Lifetime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265"/>
      </w:tblGrid>
      <w:tr w:rsidR="00234ADB" w14:paraId="601B0C54" w14:textId="77777777">
        <w:tc>
          <w:tcPr>
            <w:tcW w:w="26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0978C3" w14:textId="77777777" w:rsidR="00234ADB" w:rsidRDefault="003D3995">
            <w:pPr>
              <w:pStyle w:val="BodyText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If temporary, indicate for how long the Metering Dispensation is required. </w:t>
            </w:r>
          </w:p>
        </w:tc>
        <w:tc>
          <w:tcPr>
            <w:tcW w:w="236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A8272" w14:textId="73140DE8" w:rsidR="00234ADB" w:rsidRDefault="00CF3470">
            <w:pPr>
              <w:pStyle w:val="BodyText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08B4E635" w14:textId="77777777" w:rsidR="00234ADB" w:rsidRDefault="00234ADB">
      <w:pPr>
        <w:spacing w:after="120"/>
        <w:rPr>
          <w:sz w:val="24"/>
          <w:szCs w:val="24"/>
        </w:rPr>
      </w:pPr>
    </w:p>
    <w:p w14:paraId="1EF0441E" w14:textId="77777777" w:rsidR="00234ADB" w:rsidRDefault="003D3995">
      <w:pPr>
        <w:tabs>
          <w:tab w:val="left" w:pos="2977"/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Provide justified reasoning for the period of Metering Dispensation requested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ADB" w14:paraId="457A3AFA" w14:textId="77777777">
        <w:tc>
          <w:tcPr>
            <w:tcW w:w="9242" w:type="dxa"/>
          </w:tcPr>
          <w:p w14:paraId="0271E39B" w14:textId="77777777" w:rsidR="00234ADB" w:rsidRDefault="003D3995">
            <w:pPr>
              <w:spacing w:before="60" w:after="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Rationale for duration of Metering Dispensation:</w:t>
            </w:r>
          </w:p>
          <w:p w14:paraId="29CA004C" w14:textId="10A07861" w:rsidR="00234ADB" w:rsidRPr="00CF3470" w:rsidRDefault="00CF3470">
            <w:pPr>
              <w:spacing w:before="60" w:after="60"/>
              <w:rPr>
                <w:sz w:val="24"/>
                <w:szCs w:val="24"/>
              </w:rPr>
            </w:pPr>
            <w:r w:rsidRPr="002207F9">
              <w:rPr>
                <w:sz w:val="24"/>
                <w:szCs w:val="24"/>
              </w:rPr>
              <w:t>A dispensation is require</w:t>
            </w:r>
            <w:r>
              <w:rPr>
                <w:sz w:val="24"/>
                <w:szCs w:val="24"/>
              </w:rPr>
              <w:t xml:space="preserve">d </w:t>
            </w:r>
            <w:r w:rsidRPr="002207F9">
              <w:rPr>
                <w:sz w:val="24"/>
                <w:szCs w:val="24"/>
              </w:rPr>
              <w:t xml:space="preserve">for the lifetime of the assets as there is no intention for the connection arrangement to change through the project lifetime. </w:t>
            </w:r>
          </w:p>
        </w:tc>
      </w:tr>
    </w:tbl>
    <w:p w14:paraId="7D355AB7" w14:textId="77777777" w:rsidR="00234ADB" w:rsidRDefault="00234ADB">
      <w:pPr>
        <w:tabs>
          <w:tab w:val="left" w:pos="2977"/>
          <w:tab w:val="right" w:leader="dot" w:pos="9072"/>
        </w:tabs>
        <w:spacing w:after="120"/>
        <w:rPr>
          <w:sz w:val="24"/>
          <w:szCs w:val="24"/>
        </w:rPr>
      </w:pPr>
    </w:p>
    <w:p w14:paraId="02E60CC7" w14:textId="77777777" w:rsidR="00234ADB" w:rsidRDefault="003D3995">
      <w:pPr>
        <w:pageBreakBefore/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D1 - Loss Adjustments for Power Transformer and/or Cable/Line Losses</w:t>
      </w:r>
    </w:p>
    <w:p w14:paraId="4E84F028" w14:textId="77777777" w:rsidR="00234ADB" w:rsidRDefault="003D3995">
      <w:pPr>
        <w:pBdr>
          <w:top w:val="single" w:sz="6" w:space="1" w:color="auto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Where loss adjustments are proposed and applied (or are to be applied) to the Metering System for power transformer and/or cable/line losses, provide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6"/>
      </w:tblGrid>
      <w:tr w:rsidR="00234ADB" w14:paraId="16A2C390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DFB69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do you propose to correct the Metering System to account for the losses of this power transformer?</w:t>
            </w:r>
          </w:p>
        </w:tc>
      </w:tr>
      <w:tr w:rsidR="00234ADB" w14:paraId="7BD966CF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52BAC" w14:textId="22B7464D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see Appendix 1 calculation [Note: </w:t>
            </w:r>
            <w:r w:rsidR="00B313D3">
              <w:rPr>
                <w:sz w:val="22"/>
                <w:szCs w:val="22"/>
              </w:rPr>
              <w:t>As tested data of transformer provided</w:t>
            </w:r>
            <w:r>
              <w:rPr>
                <w:sz w:val="22"/>
                <w:szCs w:val="22"/>
              </w:rPr>
              <w:t>].</w:t>
            </w:r>
          </w:p>
        </w:tc>
      </w:tr>
      <w:tr w:rsidR="00234ADB" w14:paraId="580E483D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4A00D1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order to validate the loss adjustments applied (or to be applied) to the Metering System please provide the following information together with supporting data (e.g. power transformer test certificates):</w:t>
            </w:r>
          </w:p>
        </w:tc>
      </w:tr>
      <w:tr w:rsidR="00234ADB" w14:paraId="1B05CC38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F61EBB" w14:textId="77777777" w:rsidR="00234ADB" w:rsidRDefault="00234ADB">
            <w:pPr>
              <w:rPr>
                <w:sz w:val="22"/>
                <w:szCs w:val="22"/>
              </w:rPr>
            </w:pPr>
          </w:p>
        </w:tc>
      </w:tr>
      <w:tr w:rsidR="00234ADB" w14:paraId="48C195EE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78437B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iron losses for this power transformer?</w:t>
            </w:r>
          </w:p>
        </w:tc>
      </w:tr>
      <w:tr w:rsidR="00234ADB" w14:paraId="6865C914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1B9E8" w14:textId="5F46E798" w:rsidR="00234ADB" w:rsidRDefault="00B31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44.69</w:t>
            </w:r>
            <w:r w:rsidR="00CF3470">
              <w:rPr>
                <w:sz w:val="22"/>
                <w:szCs w:val="22"/>
              </w:rPr>
              <w:t>KW</w:t>
            </w:r>
          </w:p>
        </w:tc>
      </w:tr>
      <w:tr w:rsidR="00234ADB" w14:paraId="60EAC5DD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DFEF44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copper losses for this power transformer?</w:t>
            </w:r>
          </w:p>
        </w:tc>
      </w:tr>
      <w:tr w:rsidR="00234ADB" w14:paraId="36966890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B59809" w14:textId="33DB82AF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13D3">
              <w:rPr>
                <w:sz w:val="22"/>
                <w:szCs w:val="22"/>
              </w:rPr>
              <w:t>44.375</w:t>
            </w:r>
            <w:r>
              <w:rPr>
                <w:sz w:val="22"/>
                <w:szCs w:val="22"/>
              </w:rPr>
              <w:t>kW at nominal tap.</w:t>
            </w:r>
          </w:p>
        </w:tc>
      </w:tr>
      <w:tr w:rsidR="00234ADB" w14:paraId="0F8C4194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6273E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other losses that have been taken into account? Yes/No*. If Yes what are they?</w:t>
            </w:r>
          </w:p>
        </w:tc>
      </w:tr>
      <w:tr w:rsidR="00234ADB" w14:paraId="665D6A02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BC8C42" w14:textId="421E64A3" w:rsidR="00234ADB" w:rsidRDefault="00CF34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Earthing</w:t>
            </w:r>
            <w:proofErr w:type="spellEnd"/>
            <w:r>
              <w:rPr>
                <w:sz w:val="22"/>
                <w:szCs w:val="22"/>
              </w:rPr>
              <w:t xml:space="preserve"> Transformer (Details in Appendix 1)</w:t>
            </w:r>
          </w:p>
        </w:tc>
      </w:tr>
      <w:tr w:rsidR="00234ADB" w14:paraId="5454B8BA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8CB1C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how these elements of loss have been used in the corrections to the Metering System.</w:t>
            </w:r>
          </w:p>
        </w:tc>
      </w:tr>
      <w:tr w:rsidR="00234ADB" w14:paraId="11693BE9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3FA351" w14:textId="77777777" w:rsidR="00234ADB" w:rsidRDefault="00234ADB">
            <w:pPr>
              <w:rPr>
                <w:sz w:val="22"/>
                <w:szCs w:val="22"/>
              </w:rPr>
            </w:pPr>
          </w:p>
        </w:tc>
      </w:tr>
      <w:tr w:rsidR="00234ADB" w14:paraId="6FCEFB1C" w14:textId="77777777">
        <w:trPr>
          <w:cantSplit/>
        </w:trPr>
        <w:tc>
          <w:tcPr>
            <w:tcW w:w="91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C1930" w14:textId="77777777" w:rsidR="00234ADB" w:rsidRDefault="003D3995">
            <w:r>
              <w:t>*Delete as applicable.</w:t>
            </w:r>
          </w:p>
        </w:tc>
      </w:tr>
    </w:tbl>
    <w:p w14:paraId="7284559C" w14:textId="77777777" w:rsidR="00234ADB" w:rsidRDefault="00234ADB">
      <w:pPr>
        <w:pBdr>
          <w:top w:val="single" w:sz="6" w:space="1" w:color="auto"/>
        </w:pBdr>
        <w:spacing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34ADB" w14:paraId="611FB03B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52600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do you propose to correct the Metering System to account for the losses of the power cable/line?</w:t>
            </w:r>
          </w:p>
        </w:tc>
      </w:tr>
      <w:tr w:rsidR="00234ADB" w14:paraId="21D06370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B8A64C" w14:textId="1F006A40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compensation factor will be applied to the Meter.</w:t>
            </w:r>
          </w:p>
        </w:tc>
      </w:tr>
      <w:tr w:rsidR="00234ADB" w14:paraId="1C720F8E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839182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order to validate the loss adjustments applied (or to be applied) to the Metering System please provide the following information together with supporting data (e.g. cable/line manufacturer’s data sheet):</w:t>
            </w:r>
          </w:p>
        </w:tc>
      </w:tr>
      <w:tr w:rsidR="00234ADB" w14:paraId="40102D8B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B8091" w14:textId="77777777" w:rsidR="00234ADB" w:rsidRDefault="00234ADB">
            <w:pPr>
              <w:rPr>
                <w:sz w:val="22"/>
                <w:szCs w:val="22"/>
              </w:rPr>
            </w:pPr>
          </w:p>
        </w:tc>
      </w:tr>
      <w:tr w:rsidR="00234ADB" w14:paraId="43F443FF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AFF26E" w14:textId="77777777" w:rsidR="00234ADB" w:rsidRDefault="003D3995">
            <w:pPr>
              <w:pBdr>
                <w:top w:val="single" w:sz="6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type of power cable/line?</w:t>
            </w:r>
          </w:p>
        </w:tc>
      </w:tr>
      <w:tr w:rsidR="00234ADB" w14:paraId="3E0F27B5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E165E8" w14:textId="140DAB70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to Appendix 1</w:t>
            </w:r>
          </w:p>
        </w:tc>
      </w:tr>
      <w:tr w:rsidR="00234ADB" w14:paraId="6BB6FCB9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8B7EE3" w14:textId="77777777" w:rsidR="00234ADB" w:rsidRDefault="003D3995">
            <w:pPr>
              <w:pBdr>
                <w:top w:val="single" w:sz="6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length of this power cable/line?</w:t>
            </w:r>
          </w:p>
          <w:p w14:paraId="66732DF5" w14:textId="448F94DE" w:rsidR="00CF3470" w:rsidRDefault="00CF3470">
            <w:pPr>
              <w:pBdr>
                <w:top w:val="single" w:sz="6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to Appendix 1</w:t>
            </w:r>
          </w:p>
        </w:tc>
      </w:tr>
      <w:tr w:rsidR="00234ADB" w14:paraId="308EDC11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0A348C" w14:textId="77777777" w:rsidR="00234ADB" w:rsidRDefault="00234ADB">
            <w:pPr>
              <w:pBdr>
                <w:top w:val="single" w:sz="6" w:space="1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234ADB" w14:paraId="729FF4CF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7865E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DC resistance of this power cable/line?</w:t>
            </w:r>
          </w:p>
          <w:p w14:paraId="739D3FA8" w14:textId="0BBA827E" w:rsidR="00CF3470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to Appendix 1</w:t>
            </w:r>
          </w:p>
        </w:tc>
      </w:tr>
      <w:tr w:rsidR="00234ADB" w14:paraId="219913F3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7F8EE0" w14:textId="77777777" w:rsidR="00234ADB" w:rsidRDefault="00234ADB">
            <w:pPr>
              <w:pBdr>
                <w:top w:val="single" w:sz="6" w:space="1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234ADB" w14:paraId="58AB6498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9F0C66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What is the impedance of this power cable/line?</w:t>
            </w:r>
          </w:p>
        </w:tc>
      </w:tr>
      <w:tr w:rsidR="00234ADB" w14:paraId="047A100E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3EF642" w14:textId="4DD16AEF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not available from manufacturer</w:t>
            </w:r>
            <w:r w:rsidR="00B313D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datasheet.</w:t>
            </w:r>
          </w:p>
        </w:tc>
      </w:tr>
      <w:tr w:rsidR="00234ADB" w14:paraId="34FDC023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6A6E7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capacitance of this power cable/line?</w:t>
            </w:r>
          </w:p>
        </w:tc>
      </w:tr>
      <w:tr w:rsidR="00234ADB" w14:paraId="53320665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944C7A" w14:textId="77777777" w:rsidR="00CF3470" w:rsidRDefault="00CF3470" w:rsidP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refer to Appendix 1</w:t>
            </w:r>
          </w:p>
          <w:p w14:paraId="05C0DEDA" w14:textId="3F46DBE8" w:rsidR="00234ADB" w:rsidRDefault="00CF3470" w:rsidP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Capacitance: 0.0608 µF</w:t>
            </w:r>
          </w:p>
        </w:tc>
      </w:tr>
      <w:tr w:rsidR="00234ADB" w14:paraId="5634B768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C292F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other losses that have been taken into account? Yes/No*. If Yes what are they?</w:t>
            </w:r>
          </w:p>
        </w:tc>
      </w:tr>
      <w:tr w:rsidR="00234ADB" w14:paraId="4FFEAC9B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CE7A0" w14:textId="38A60ABD" w:rsidR="00234ADB" w:rsidRDefault="00CF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234ADB" w14:paraId="7BBA8097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09B16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how these elements of loss have been used in the corrections to the Metering System.</w:t>
            </w:r>
          </w:p>
        </w:tc>
      </w:tr>
      <w:tr w:rsidR="00234ADB" w14:paraId="18957A06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42CBF" w14:textId="77777777" w:rsidR="00234ADB" w:rsidRDefault="00234ADB">
            <w:pPr>
              <w:rPr>
                <w:sz w:val="22"/>
                <w:szCs w:val="22"/>
              </w:rPr>
            </w:pPr>
          </w:p>
        </w:tc>
      </w:tr>
      <w:tr w:rsidR="00234ADB" w14:paraId="2499E26B" w14:textId="77777777">
        <w:trPr>
          <w:cantSplit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6FB77" w14:textId="77777777" w:rsidR="00234ADB" w:rsidRDefault="003D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*Delete as applicable.</w:t>
            </w:r>
          </w:p>
        </w:tc>
      </w:tr>
    </w:tbl>
    <w:p w14:paraId="3E8FE2B6" w14:textId="77777777" w:rsidR="00234ADB" w:rsidRDefault="00234ADB">
      <w:pPr>
        <w:spacing w:after="240"/>
        <w:rPr>
          <w:sz w:val="24"/>
          <w:szCs w:val="24"/>
        </w:rPr>
      </w:pPr>
    </w:p>
    <w:p w14:paraId="30F930AB" w14:textId="77777777" w:rsidR="00234ADB" w:rsidRDefault="00234ADB">
      <w:pPr>
        <w:spacing w:after="240"/>
        <w:rPr>
          <w:sz w:val="24"/>
          <w:szCs w:val="24"/>
        </w:rPr>
      </w:pPr>
    </w:p>
    <w:p w14:paraId="62CCCDB6" w14:textId="77777777" w:rsidR="00234ADB" w:rsidRDefault="003D3995">
      <w:pPr>
        <w:pageBreakBefore/>
        <w:tabs>
          <w:tab w:val="left" w:pos="2977"/>
          <w:tab w:val="right" w:leader="dot" w:pos="9072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Materiality</w:t>
      </w:r>
    </w:p>
    <w:p w14:paraId="65FCA4CB" w14:textId="77777777" w:rsidR="00234ADB" w:rsidRDefault="003D3995">
      <w:pPr>
        <w:tabs>
          <w:tab w:val="left" w:pos="2977"/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78"/>
      </w:tblGrid>
      <w:tr w:rsidR="00234ADB" w14:paraId="42A4206C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AEC3E" w14:textId="77777777" w:rsidR="00234ADB" w:rsidRDefault="003D3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cost of providing compliant Metering Equipment?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55E0F6" w14:textId="77777777" w:rsidR="00234ADB" w:rsidRDefault="003D3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this cost entail?</w:t>
            </w:r>
          </w:p>
        </w:tc>
      </w:tr>
      <w:tr w:rsidR="00CF3470" w14:paraId="07DCA094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CAE05" w14:textId="0252D6C4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40585">
              <w:rPr>
                <w:sz w:val="24"/>
                <w:szCs w:val="24"/>
              </w:rPr>
              <w:t>3,336,045.73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50A273" w14:textId="77777777" w:rsidR="00CF3470" w:rsidRPr="00B061AD" w:rsidRDefault="00CF3470" w:rsidP="00CF3470">
            <w:pPr>
              <w:spacing w:after="120"/>
              <w:rPr>
                <w:sz w:val="24"/>
                <w:szCs w:val="24"/>
                <w:u w:val="single"/>
              </w:rPr>
            </w:pPr>
            <w:r w:rsidRPr="00B061AD">
              <w:rPr>
                <w:sz w:val="24"/>
                <w:szCs w:val="24"/>
                <w:u w:val="single"/>
              </w:rPr>
              <w:t>Compliant Metering</w:t>
            </w:r>
          </w:p>
          <w:p w14:paraId="7F74CA13" w14:textId="4F2A6719" w:rsidR="00CF3470" w:rsidRDefault="002A4E61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470">
              <w:rPr>
                <w:sz w:val="24"/>
                <w:szCs w:val="24"/>
              </w:rPr>
              <w:t xml:space="preserve"> x 55MVA </w:t>
            </w:r>
            <w:r>
              <w:rPr>
                <w:sz w:val="24"/>
                <w:szCs w:val="24"/>
              </w:rPr>
              <w:t>33</w:t>
            </w:r>
            <w:r w:rsidR="00CF3470">
              <w:rPr>
                <w:sz w:val="24"/>
                <w:szCs w:val="24"/>
              </w:rPr>
              <w:t>/132kV Power Transformers</w:t>
            </w:r>
          </w:p>
          <w:p w14:paraId="3E7932DD" w14:textId="353750C1" w:rsidR="00CF3470" w:rsidRDefault="002A4E61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470">
              <w:rPr>
                <w:sz w:val="24"/>
                <w:szCs w:val="24"/>
              </w:rPr>
              <w:t xml:space="preserve"> x 132kV Voltage Transformers</w:t>
            </w:r>
          </w:p>
          <w:p w14:paraId="4AA11AC8" w14:textId="78B29EFC" w:rsidR="00CF3470" w:rsidRDefault="002A4E61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470">
              <w:rPr>
                <w:sz w:val="24"/>
                <w:szCs w:val="24"/>
              </w:rPr>
              <w:t xml:space="preserve"> x 132kV Dead Tank Circuit Breakers &amp; Current Transformers.</w:t>
            </w:r>
          </w:p>
          <w:p w14:paraId="218D43F9" w14:textId="0A4DFE0D" w:rsidR="00CF3470" w:rsidRDefault="002A4E61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470">
              <w:rPr>
                <w:sz w:val="24"/>
                <w:szCs w:val="24"/>
              </w:rPr>
              <w:t xml:space="preserve"> x 132kV </w:t>
            </w:r>
            <w:proofErr w:type="spellStart"/>
            <w:r w:rsidR="00CF3470">
              <w:rPr>
                <w:sz w:val="24"/>
                <w:szCs w:val="24"/>
              </w:rPr>
              <w:t>Disconnectors</w:t>
            </w:r>
            <w:proofErr w:type="spellEnd"/>
            <w:r w:rsidR="00CF3470">
              <w:rPr>
                <w:sz w:val="24"/>
                <w:szCs w:val="24"/>
              </w:rPr>
              <w:t xml:space="preserve"> &amp; Earth Switches</w:t>
            </w:r>
          </w:p>
          <w:p w14:paraId="43756EB7" w14:textId="4C7393AE" w:rsidR="00CF3470" w:rsidRDefault="002A4E61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470">
              <w:rPr>
                <w:sz w:val="24"/>
                <w:szCs w:val="24"/>
              </w:rPr>
              <w:t xml:space="preserve"> x 132kV Sets of Surge Arrestors</w:t>
            </w:r>
          </w:p>
          <w:p w14:paraId="0B25325C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Equipment</w:t>
            </w:r>
          </w:p>
          <w:p w14:paraId="2D0998AA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Associated Civil &amp; Piling Works </w:t>
            </w:r>
          </w:p>
          <w:p w14:paraId="232CC70A" w14:textId="64326FCC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 w:rsidRPr="002A4E61">
              <w:rPr>
                <w:i/>
              </w:rPr>
              <w:t>Note: We are only detailing areas of difference rather than listing all of the equipment.</w:t>
            </w:r>
          </w:p>
        </w:tc>
      </w:tr>
      <w:tr w:rsidR="00CF3470" w14:paraId="6E35AF6B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0E5B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cost of the proposed solution?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788291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this cost entail?</w:t>
            </w:r>
          </w:p>
        </w:tc>
      </w:tr>
      <w:tr w:rsidR="00CF3470" w14:paraId="14AA3FE7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7854C" w14:textId="2A1F7EF0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40585">
              <w:rPr>
                <w:sz w:val="24"/>
                <w:szCs w:val="24"/>
              </w:rPr>
              <w:t>2,075,001.56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E0298" w14:textId="15642F27" w:rsidR="00CF3470" w:rsidRPr="007F2DF4" w:rsidRDefault="00CF3470" w:rsidP="00CF3470">
            <w:pPr>
              <w:spacing w:after="120"/>
              <w:rPr>
                <w:sz w:val="24"/>
                <w:szCs w:val="24"/>
                <w:lang w:val="sv-SE"/>
              </w:rPr>
            </w:pPr>
            <w:r w:rsidRPr="007F2DF4">
              <w:rPr>
                <w:sz w:val="24"/>
                <w:szCs w:val="24"/>
                <w:lang w:val="sv-SE"/>
              </w:rPr>
              <w:t xml:space="preserve">1 x 110MVA </w:t>
            </w:r>
            <w:r w:rsidR="002A4E61" w:rsidRPr="007F2DF4">
              <w:rPr>
                <w:sz w:val="24"/>
                <w:szCs w:val="24"/>
                <w:lang w:val="sv-SE"/>
              </w:rPr>
              <w:t>ONAN/120MVA ONAF 33</w:t>
            </w:r>
            <w:r w:rsidRPr="007F2DF4">
              <w:rPr>
                <w:sz w:val="24"/>
                <w:szCs w:val="24"/>
                <w:lang w:val="sv-SE"/>
              </w:rPr>
              <w:t>/132kV Power Transformer</w:t>
            </w:r>
          </w:p>
          <w:p w14:paraId="78D67AD3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132kV Voltage Transformers</w:t>
            </w:r>
          </w:p>
          <w:p w14:paraId="5732E95C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132kV Dead Tank Circuit Breakers &amp; Current Transformers.</w:t>
            </w:r>
          </w:p>
          <w:p w14:paraId="572F603D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132kV </w:t>
            </w:r>
            <w:proofErr w:type="spellStart"/>
            <w:r>
              <w:rPr>
                <w:sz w:val="24"/>
                <w:szCs w:val="24"/>
              </w:rPr>
              <w:t>Disconnectors</w:t>
            </w:r>
            <w:proofErr w:type="spellEnd"/>
            <w:r>
              <w:rPr>
                <w:sz w:val="24"/>
                <w:szCs w:val="24"/>
              </w:rPr>
              <w:t xml:space="preserve"> &amp; Earth Switches</w:t>
            </w:r>
          </w:p>
          <w:p w14:paraId="4F8BDAA0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132kV Set of Surge Arrestors</w:t>
            </w:r>
          </w:p>
          <w:p w14:paraId="434F1D7E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Equipment</w:t>
            </w:r>
          </w:p>
          <w:p w14:paraId="4D2B3DCB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Associated Civil Works</w:t>
            </w:r>
          </w:p>
          <w:p w14:paraId="0EEE787B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 land requirements</w:t>
            </w:r>
          </w:p>
          <w:p w14:paraId="7BE17DF6" w14:textId="713A56AE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 w:rsidRPr="00636238">
              <w:rPr>
                <w:i/>
              </w:rPr>
              <w:t xml:space="preserve">Note: </w:t>
            </w:r>
            <w:r>
              <w:rPr>
                <w:i/>
              </w:rPr>
              <w:t>We are o</w:t>
            </w:r>
            <w:r w:rsidRPr="00636238">
              <w:rPr>
                <w:i/>
              </w:rPr>
              <w:t>nly detailing areas of difference rather than listing all of the equipment.</w:t>
            </w:r>
            <w:r w:rsidR="002E2C27">
              <w:rPr>
                <w:i/>
              </w:rPr>
              <w:t xml:space="preserve"> Asset infrastructure shared with co-located with Minety 1.  </w:t>
            </w:r>
          </w:p>
        </w:tc>
      </w:tr>
      <w:tr w:rsidR="00CF3470" w14:paraId="7DFD9E2F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24C5E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to Settlement of your proposed solution?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18AEFA" w14:textId="13B3FC37" w:rsidR="00CF3470" w:rsidRDefault="00C6582A" w:rsidP="00CF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</w:tc>
      </w:tr>
      <w:tr w:rsidR="00CF3470" w14:paraId="40838E55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A6A89" w14:textId="42F3ADA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metering dispensation will have no impact on Settlement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F7463" w14:textId="77777777" w:rsidR="00C6582A" w:rsidRDefault="00C6582A" w:rsidP="00C6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as compensations will be applied to the metering system. </w:t>
            </w:r>
          </w:p>
          <w:p w14:paraId="6980F2D2" w14:textId="77777777" w:rsidR="00C6582A" w:rsidRDefault="00C6582A" w:rsidP="00C6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Applying the proposed compensation factors there will result in no impact to settlements of the proposed structure. </w:t>
            </w:r>
          </w:p>
          <w:p w14:paraId="75C5CE2D" w14:textId="7015A2AA" w:rsidR="00CF3470" w:rsidRDefault="00C6582A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Both plants will be metered with Settlement Meters. There will be a complex table written and issued from MOA and in summary: MS</w:t>
            </w:r>
            <w:r w:rsidR="009405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=</w:t>
            </w:r>
            <w:r w:rsidR="00940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AMP2</w:t>
            </w:r>
          </w:p>
        </w:tc>
      </w:tr>
      <w:tr w:rsidR="00CF3470" w14:paraId="5F464986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F821A2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the impact to other Registrants of your proposed solution?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2EF3A7" w14:textId="77777777" w:rsidR="00CF3470" w:rsidRDefault="00CF3470" w:rsidP="00CF34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</w:tc>
      </w:tr>
      <w:tr w:rsidR="00C6582A" w14:paraId="712C3715" w14:textId="77777777" w:rsidTr="00CF3470">
        <w:tc>
          <w:tcPr>
            <w:tcW w:w="43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F7D43" w14:textId="064C85A1" w:rsidR="00C6582A" w:rsidRDefault="00C6582A" w:rsidP="00C658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metering dispensation will have no impact on other Registrants</w:t>
            </w:r>
          </w:p>
        </w:tc>
        <w:tc>
          <w:tcPr>
            <w:tcW w:w="46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F5362E" w14:textId="47CDCE38" w:rsidR="00C6582A" w:rsidRDefault="00C6582A" w:rsidP="00C658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Considering losses are accounted for there should be no further implications. </w:t>
            </w:r>
          </w:p>
        </w:tc>
      </w:tr>
    </w:tbl>
    <w:p w14:paraId="484A1F8F" w14:textId="77777777" w:rsidR="00234ADB" w:rsidRDefault="00234ADB">
      <w:pPr>
        <w:tabs>
          <w:tab w:val="right" w:leader="dot" w:pos="9072"/>
        </w:tabs>
        <w:spacing w:after="240"/>
        <w:rPr>
          <w:sz w:val="24"/>
          <w:szCs w:val="24"/>
        </w:rPr>
      </w:pPr>
    </w:p>
    <w:p w14:paraId="5EA97F66" w14:textId="77777777" w:rsidR="00234ADB" w:rsidRDefault="003D3995">
      <w:pPr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>Site Details (for Site Specific Metering Dispensation)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36"/>
        <w:gridCol w:w="6080"/>
      </w:tblGrid>
      <w:tr w:rsidR="00234ADB" w14:paraId="0B1922BA" w14:textId="77777777">
        <w:tc>
          <w:tcPr>
            <w:tcW w:w="1628" w:type="pct"/>
          </w:tcPr>
          <w:p w14:paraId="27894CB7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Name:</w:t>
            </w:r>
          </w:p>
        </w:tc>
        <w:tc>
          <w:tcPr>
            <w:tcW w:w="3372" w:type="pct"/>
          </w:tcPr>
          <w:p w14:paraId="5950C818" w14:textId="3052326B" w:rsidR="00234ADB" w:rsidRDefault="00C6582A" w:rsidP="00C6582A">
            <w:pPr>
              <w:rPr>
                <w:sz w:val="24"/>
                <w:szCs w:val="24"/>
              </w:rPr>
            </w:pPr>
            <w:r w:rsidRPr="001E7508">
              <w:rPr>
                <w:sz w:val="24"/>
                <w:szCs w:val="24"/>
              </w:rPr>
              <w:t>Minety South Storage 2 LTD</w:t>
            </w:r>
          </w:p>
        </w:tc>
      </w:tr>
      <w:tr w:rsidR="00C6582A" w14:paraId="29C59E7F" w14:textId="77777777">
        <w:tc>
          <w:tcPr>
            <w:tcW w:w="1628" w:type="pct"/>
          </w:tcPr>
          <w:p w14:paraId="5E560386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Address:</w:t>
            </w:r>
          </w:p>
        </w:tc>
        <w:tc>
          <w:tcPr>
            <w:tcW w:w="3372" w:type="pct"/>
          </w:tcPr>
          <w:p w14:paraId="24D2103C" w14:textId="05BBC8B9" w:rsidR="00C6582A" w:rsidRDefault="00C6582A" w:rsidP="00C6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The Old Barn Purlieus, Minety, </w:t>
            </w:r>
            <w:proofErr w:type="spellStart"/>
            <w:r>
              <w:rPr>
                <w:sz w:val="24"/>
                <w:szCs w:val="24"/>
              </w:rPr>
              <w:t>Malmesbury</w:t>
            </w:r>
            <w:proofErr w:type="spellEnd"/>
            <w:r>
              <w:rPr>
                <w:sz w:val="24"/>
                <w:szCs w:val="24"/>
              </w:rPr>
              <w:t>, SN16 9RP</w:t>
            </w:r>
          </w:p>
        </w:tc>
      </w:tr>
      <w:tr w:rsidR="00C6582A" w14:paraId="4EFBA10C" w14:textId="77777777">
        <w:tc>
          <w:tcPr>
            <w:tcW w:w="1628" w:type="pct"/>
          </w:tcPr>
          <w:p w14:paraId="1D5E39AB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MSID(s):</w:t>
            </w:r>
          </w:p>
        </w:tc>
        <w:tc>
          <w:tcPr>
            <w:tcW w:w="3372" w:type="pct"/>
          </w:tcPr>
          <w:p w14:paraId="42D70C32" w14:textId="5280A00F" w:rsidR="00C6582A" w:rsidRDefault="00C6582A" w:rsidP="00C6582A">
            <w:pPr>
              <w:rPr>
                <w:sz w:val="24"/>
                <w:szCs w:val="24"/>
              </w:rPr>
            </w:pPr>
            <w:r w:rsidRPr="00712265">
              <w:rPr>
                <w:sz w:val="24"/>
                <w:szCs w:val="24"/>
              </w:rPr>
              <w:t>[TBC – MPANs not yet issued</w:t>
            </w:r>
            <w:r>
              <w:rPr>
                <w:sz w:val="24"/>
                <w:szCs w:val="24"/>
              </w:rPr>
              <w:t>]</w:t>
            </w:r>
          </w:p>
        </w:tc>
      </w:tr>
      <w:tr w:rsidR="00C6582A" w14:paraId="6CE9D228" w14:textId="77777777">
        <w:tc>
          <w:tcPr>
            <w:tcW w:w="1628" w:type="pct"/>
          </w:tcPr>
          <w:p w14:paraId="0381F853" w14:textId="78CB10E2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proofErr w:type="spellStart"/>
            <w:r>
              <w:rPr>
                <w:sz w:val="24"/>
                <w:szCs w:val="24"/>
              </w:rPr>
              <w:t>in:SMRS</w:t>
            </w:r>
            <w:proofErr w:type="spellEnd"/>
            <w:r>
              <w:rPr>
                <w:sz w:val="24"/>
                <w:szCs w:val="24"/>
              </w:rPr>
              <w:t>*:</w:t>
            </w:r>
          </w:p>
        </w:tc>
        <w:tc>
          <w:tcPr>
            <w:tcW w:w="3372" w:type="pct"/>
          </w:tcPr>
          <w:p w14:paraId="2C204452" w14:textId="27E28226" w:rsidR="00C6582A" w:rsidRDefault="00C6582A" w:rsidP="00C6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SMRS</w:t>
            </w:r>
          </w:p>
        </w:tc>
      </w:tr>
      <w:tr w:rsidR="00C6582A" w14:paraId="7C273ACF" w14:textId="77777777">
        <w:tc>
          <w:tcPr>
            <w:tcW w:w="1628" w:type="pct"/>
          </w:tcPr>
          <w:p w14:paraId="61303699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SMRS, please </w:t>
            </w:r>
            <w:proofErr w:type="gramStart"/>
            <w:r>
              <w:rPr>
                <w:sz w:val="24"/>
                <w:szCs w:val="24"/>
              </w:rPr>
              <w:t>advise</w:t>
            </w:r>
            <w:proofErr w:type="gramEnd"/>
            <w:r>
              <w:rPr>
                <w:sz w:val="24"/>
                <w:szCs w:val="24"/>
              </w:rPr>
              <w:t xml:space="preserve"> of SMRA in space provided.</w:t>
            </w:r>
          </w:p>
        </w:tc>
        <w:tc>
          <w:tcPr>
            <w:tcW w:w="3372" w:type="pct"/>
          </w:tcPr>
          <w:p w14:paraId="11AB8558" w14:textId="308B457F" w:rsidR="00C6582A" w:rsidRDefault="00C6582A" w:rsidP="00C6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and Southern Electricity Networks</w:t>
            </w:r>
          </w:p>
        </w:tc>
      </w:tr>
    </w:tbl>
    <w:p w14:paraId="08082019" w14:textId="77777777" w:rsidR="00234ADB" w:rsidRDefault="00234ADB">
      <w:pPr>
        <w:tabs>
          <w:tab w:val="left" w:pos="2977"/>
          <w:tab w:val="right" w:leader="dot" w:pos="9072"/>
        </w:tabs>
        <w:rPr>
          <w:i/>
          <w:sz w:val="24"/>
          <w:szCs w:val="24"/>
        </w:rPr>
      </w:pPr>
    </w:p>
    <w:p w14:paraId="3AC40D2A" w14:textId="77777777" w:rsidR="00234ADB" w:rsidRDefault="003D3995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Manufacturer Details (for Generic Metering Dispensation)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39"/>
        <w:gridCol w:w="6077"/>
      </w:tblGrid>
      <w:tr w:rsidR="00234ADB" w14:paraId="3CE7C1CB" w14:textId="77777777">
        <w:tc>
          <w:tcPr>
            <w:tcW w:w="1630" w:type="pct"/>
          </w:tcPr>
          <w:p w14:paraId="0E39D2F0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Manufacturer Name: </w:t>
            </w:r>
          </w:p>
        </w:tc>
        <w:tc>
          <w:tcPr>
            <w:tcW w:w="3370" w:type="pct"/>
          </w:tcPr>
          <w:p w14:paraId="5B5DEA06" w14:textId="1245C82B" w:rsidR="00234ADB" w:rsidRDefault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34ADB" w14:paraId="3281FD17" w14:textId="77777777">
        <w:tc>
          <w:tcPr>
            <w:tcW w:w="1630" w:type="pct"/>
          </w:tcPr>
          <w:p w14:paraId="22026BE1" w14:textId="77777777" w:rsidR="00234ADB" w:rsidRDefault="003D39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Metering Equipment Details: </w:t>
            </w:r>
          </w:p>
        </w:tc>
        <w:tc>
          <w:tcPr>
            <w:tcW w:w="3370" w:type="pct"/>
          </w:tcPr>
          <w:p w14:paraId="51F15620" w14:textId="3C05D865" w:rsidR="00234ADB" w:rsidRDefault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3FD731AC" w14:textId="77777777" w:rsidR="00234ADB" w:rsidRDefault="00234ADB">
      <w:pPr>
        <w:tabs>
          <w:tab w:val="left" w:pos="3828"/>
          <w:tab w:val="right" w:leader="dot" w:pos="9072"/>
        </w:tabs>
        <w:spacing w:before="40"/>
        <w:rPr>
          <w:sz w:val="24"/>
          <w:szCs w:val="24"/>
        </w:rPr>
      </w:pPr>
    </w:p>
    <w:p w14:paraId="3D9976EA" w14:textId="77777777" w:rsidR="00234ADB" w:rsidRDefault="003D3995">
      <w:pPr>
        <w:pageBreakBefore/>
        <w:spacing w:after="240"/>
        <w:ind w:left="1985" w:hanging="1985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BSCP32/4.1</w:t>
      </w:r>
      <w:r>
        <w:rPr>
          <w:b/>
          <w:sz w:val="24"/>
          <w:szCs w:val="24"/>
        </w:rPr>
        <w:tab/>
        <w:t>Application for a Metering Dispensation (Cont.)</w:t>
      </w:r>
    </w:p>
    <w:p w14:paraId="4373CA45" w14:textId="77777777" w:rsidR="00234ADB" w:rsidRDefault="00234ADB">
      <w:pPr>
        <w:pBdr>
          <w:top w:val="single" w:sz="6" w:space="1" w:color="auto"/>
        </w:pBdr>
        <w:spacing w:before="40" w:after="40"/>
        <w:rPr>
          <w:b/>
          <w:sz w:val="24"/>
          <w:szCs w:val="24"/>
        </w:rPr>
      </w:pPr>
    </w:p>
    <w:p w14:paraId="4C239C0C" w14:textId="77777777" w:rsidR="00234ADB" w:rsidRDefault="003D3995">
      <w:pPr>
        <w:pBdr>
          <w:top w:val="single" w:sz="6" w:space="1" w:color="auto"/>
        </w:pBdr>
        <w:spacing w:before="40" w:after="40"/>
        <w:rPr>
          <w:b/>
          <w:sz w:val="24"/>
          <w:szCs w:val="24"/>
        </w:rPr>
      </w:pPr>
      <w:r>
        <w:rPr>
          <w:b/>
          <w:sz w:val="24"/>
          <w:szCs w:val="24"/>
        </w:rPr>
        <w:t>Part D - Technical Details</w:t>
      </w:r>
    </w:p>
    <w:p w14:paraId="0D26502E" w14:textId="77777777" w:rsidR="00234ADB" w:rsidRDefault="00234ADB">
      <w:pPr>
        <w:pBdr>
          <w:top w:val="single" w:sz="6" w:space="1" w:color="auto"/>
        </w:pBdr>
        <w:spacing w:before="40" w:after="40"/>
        <w:rPr>
          <w:b/>
          <w:sz w:val="24"/>
          <w:szCs w:val="24"/>
        </w:rPr>
      </w:pPr>
    </w:p>
    <w:p w14:paraId="11DEA3B2" w14:textId="77777777" w:rsidR="00234ADB" w:rsidRDefault="003D3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of Practice details</w:t>
      </w: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3652"/>
        <w:gridCol w:w="5528"/>
      </w:tblGrid>
      <w:tr w:rsidR="00C6582A" w14:paraId="3C99385F" w14:textId="77777777" w:rsidTr="00C6582A">
        <w:tc>
          <w:tcPr>
            <w:tcW w:w="3652" w:type="dxa"/>
          </w:tcPr>
          <w:p w14:paraId="253A92DF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Metering Dispensation against Code of Practice*</w:t>
            </w:r>
          </w:p>
        </w:tc>
        <w:tc>
          <w:tcPr>
            <w:tcW w:w="5528" w:type="dxa"/>
          </w:tcPr>
          <w:p w14:paraId="5321391F" w14:textId="150B2D9D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CoP1 (@DMP)</w:t>
            </w:r>
          </w:p>
        </w:tc>
      </w:tr>
      <w:tr w:rsidR="00C6582A" w14:paraId="1B4B6BAB" w14:textId="77777777" w:rsidTr="00C6582A">
        <w:tc>
          <w:tcPr>
            <w:tcW w:w="3652" w:type="dxa"/>
          </w:tcPr>
          <w:p w14:paraId="5D1473BE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of Code of Practice*:</w:t>
            </w:r>
          </w:p>
        </w:tc>
        <w:tc>
          <w:tcPr>
            <w:tcW w:w="5528" w:type="dxa"/>
          </w:tcPr>
          <w:p w14:paraId="74A93B0E" w14:textId="68E19CCD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 12, Issue 2 (Latest)</w:t>
            </w:r>
          </w:p>
        </w:tc>
      </w:tr>
      <w:tr w:rsidR="00C6582A" w14:paraId="3085717B" w14:textId="77777777" w:rsidTr="00C6582A">
        <w:tc>
          <w:tcPr>
            <w:tcW w:w="3652" w:type="dxa"/>
          </w:tcPr>
          <w:p w14:paraId="376E4208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of Metering Circuits/Site Maximum Demand (MW/MVA):</w:t>
            </w:r>
          </w:p>
        </w:tc>
        <w:tc>
          <w:tcPr>
            <w:tcW w:w="5528" w:type="dxa"/>
          </w:tcPr>
          <w:p w14:paraId="1BE80E9E" w14:textId="4FCD45C0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120MVA</w:t>
            </w:r>
          </w:p>
        </w:tc>
      </w:tr>
      <w:tr w:rsidR="00C6582A" w14:paraId="1AD0FF61" w14:textId="77777777" w:rsidTr="00C6582A">
        <w:tc>
          <w:tcPr>
            <w:tcW w:w="3652" w:type="dxa"/>
          </w:tcPr>
          <w:p w14:paraId="0A5F4A5D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(Proposed) Commissioning Date of Metering:</w:t>
            </w:r>
          </w:p>
        </w:tc>
        <w:tc>
          <w:tcPr>
            <w:tcW w:w="5528" w:type="dxa"/>
          </w:tcPr>
          <w:p w14:paraId="04B47AA0" w14:textId="7F61BCC4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2022</w:t>
            </w:r>
          </w:p>
        </w:tc>
      </w:tr>
      <w:tr w:rsidR="00C6582A" w14:paraId="7DFB98FF" w14:textId="77777777" w:rsidTr="00C6582A">
        <w:tc>
          <w:tcPr>
            <w:tcW w:w="3652" w:type="dxa"/>
          </w:tcPr>
          <w:p w14:paraId="5EE1E901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at Defined Metering Point:</w:t>
            </w:r>
          </w:p>
        </w:tc>
        <w:tc>
          <w:tcPr>
            <w:tcW w:w="5528" w:type="dxa"/>
          </w:tcPr>
          <w:p w14:paraId="63939C91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+/- 0.5% @120% to 10% incl. @pf=1.0 Active energy. </w:t>
            </w:r>
          </w:p>
          <w:p w14:paraId="1BB4B11E" w14:textId="30EA6023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Class 0.2S, VT Class 0.2S</w:t>
            </w:r>
          </w:p>
        </w:tc>
      </w:tr>
      <w:tr w:rsidR="00C6582A" w14:paraId="2BACDDD3" w14:textId="77777777" w:rsidTr="00C6582A">
        <w:tc>
          <w:tcPr>
            <w:tcW w:w="3652" w:type="dxa"/>
          </w:tcPr>
          <w:p w14:paraId="38296B51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of Proposed Solution (including loss adjustments):</w:t>
            </w:r>
          </w:p>
        </w:tc>
        <w:tc>
          <w:tcPr>
            <w:tcW w:w="5528" w:type="dxa"/>
          </w:tcPr>
          <w:p w14:paraId="2A76E30D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+/- 0.5% @120% to 10% incl. @pf=1.0 Active energy</w:t>
            </w:r>
          </w:p>
          <w:p w14:paraId="2806E5DB" w14:textId="2DF13660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All transformer losses, LLFs, and measurement transformer errors,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, will be compensated in the meters so the accuracy will be as if they were at the DMP. </w:t>
            </w:r>
          </w:p>
        </w:tc>
      </w:tr>
      <w:tr w:rsidR="00C6582A" w14:paraId="6B792D71" w14:textId="77777777" w:rsidTr="00C6582A">
        <w:tc>
          <w:tcPr>
            <w:tcW w:w="3652" w:type="dxa"/>
            <w:tcBorders>
              <w:bottom w:val="nil"/>
            </w:tcBorders>
          </w:tcPr>
          <w:p w14:paraId="21C6A446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non-compliances on Metering Systems:</w:t>
            </w:r>
          </w:p>
        </w:tc>
        <w:tc>
          <w:tcPr>
            <w:tcW w:w="5528" w:type="dxa"/>
          </w:tcPr>
          <w:p w14:paraId="5C98C2E2" w14:textId="19BFD3C0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– New site.</w:t>
            </w:r>
          </w:p>
        </w:tc>
      </w:tr>
      <w:tr w:rsidR="00C6582A" w14:paraId="4E5570E2" w14:textId="77777777" w:rsidTr="00C6582A">
        <w:tc>
          <w:tcPr>
            <w:tcW w:w="3652" w:type="dxa"/>
            <w:tcBorders>
              <w:top w:val="nil"/>
            </w:tcBorders>
          </w:tcPr>
          <w:p w14:paraId="22D143FC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129DECE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6582A" w14:paraId="55D65E40" w14:textId="77777777" w:rsidTr="00C6582A">
        <w:tc>
          <w:tcPr>
            <w:tcW w:w="3652" w:type="dxa"/>
            <w:tcBorders>
              <w:bottom w:val="nil"/>
            </w:tcBorders>
          </w:tcPr>
          <w:p w14:paraId="3ED86518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Deviations from the Code of Practice (reference to appropriate clause):</w:t>
            </w:r>
          </w:p>
        </w:tc>
        <w:tc>
          <w:tcPr>
            <w:tcW w:w="5528" w:type="dxa"/>
          </w:tcPr>
          <w:p w14:paraId="5440E22E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 w:rsidRPr="00C11B04">
              <w:rPr>
                <w:sz w:val="24"/>
                <w:szCs w:val="24"/>
              </w:rPr>
              <w:t xml:space="preserve">APPENDIX A DEFINED METERING POINTS </w:t>
            </w:r>
          </w:p>
          <w:p w14:paraId="5831E1D7" w14:textId="77777777" w:rsidR="00C6582A" w:rsidRPr="00C11B04" w:rsidRDefault="00C6582A" w:rsidP="00C6582A">
            <w:pPr>
              <w:spacing w:before="60" w:after="60"/>
              <w:rPr>
                <w:sz w:val="24"/>
                <w:szCs w:val="24"/>
              </w:rPr>
            </w:pPr>
            <w:r w:rsidRPr="00C11B04">
              <w:rPr>
                <w:sz w:val="24"/>
                <w:szCs w:val="24"/>
              </w:rPr>
              <w:t xml:space="preserve">6. For transfers between a Distribution System operated by a Licensed Distribution </w:t>
            </w:r>
          </w:p>
          <w:p w14:paraId="0CB1DADD" w14:textId="77777777" w:rsidR="00C6582A" w:rsidRPr="00C11B04" w:rsidRDefault="00C6582A" w:rsidP="00C6582A">
            <w:pPr>
              <w:spacing w:before="60" w:after="60"/>
              <w:rPr>
                <w:sz w:val="24"/>
                <w:szCs w:val="24"/>
              </w:rPr>
            </w:pPr>
            <w:r w:rsidRPr="00C11B04">
              <w:rPr>
                <w:sz w:val="24"/>
                <w:szCs w:val="24"/>
              </w:rPr>
              <w:t xml:space="preserve">System Operator and Generating Plant, the DMP shall be at the point(s) of </w:t>
            </w:r>
          </w:p>
          <w:p w14:paraId="1E25F707" w14:textId="77777777" w:rsidR="00C6582A" w:rsidRPr="00C11B04" w:rsidRDefault="00C6582A" w:rsidP="00C6582A">
            <w:pPr>
              <w:spacing w:before="60" w:after="60"/>
              <w:rPr>
                <w:sz w:val="24"/>
                <w:szCs w:val="24"/>
              </w:rPr>
            </w:pPr>
            <w:r w:rsidRPr="00C11B04">
              <w:rPr>
                <w:sz w:val="24"/>
                <w:szCs w:val="24"/>
              </w:rPr>
              <w:t xml:space="preserve">connection of the generating station to the Distribution System operated by a </w:t>
            </w:r>
          </w:p>
          <w:p w14:paraId="31827780" w14:textId="39B30E5E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 w:rsidRPr="00C11B04">
              <w:rPr>
                <w:sz w:val="24"/>
                <w:szCs w:val="24"/>
              </w:rPr>
              <w:t xml:space="preserve">Licensed Distribution System Operator. </w:t>
            </w:r>
            <w:r>
              <w:rPr>
                <w:sz w:val="24"/>
                <w:szCs w:val="24"/>
              </w:rPr>
              <w:t xml:space="preserve">AMP2 </w:t>
            </w:r>
            <w:r w:rsidR="0094058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not at the DMP.</w:t>
            </w:r>
          </w:p>
          <w:p w14:paraId="0EAB1F24" w14:textId="752F2690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Metering System will comply with CoP 1, </w:t>
            </w:r>
            <w:r w:rsidRPr="00C11B04">
              <w:rPr>
                <w:sz w:val="24"/>
                <w:szCs w:val="24"/>
              </w:rPr>
              <w:t>4.3.3 Compensation for Power Transformer and Line Losses</w:t>
            </w:r>
            <w:r>
              <w:rPr>
                <w:sz w:val="24"/>
                <w:szCs w:val="24"/>
              </w:rPr>
              <w:t>.</w:t>
            </w:r>
          </w:p>
        </w:tc>
      </w:tr>
      <w:tr w:rsidR="00C6582A" w14:paraId="0FA93CAD" w14:textId="77777777" w:rsidTr="00C6582A">
        <w:tc>
          <w:tcPr>
            <w:tcW w:w="3652" w:type="dxa"/>
            <w:tcBorders>
              <w:top w:val="nil"/>
            </w:tcBorders>
          </w:tcPr>
          <w:p w14:paraId="1BEAA39B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393296F" w14:textId="77777777" w:rsidR="00C6582A" w:rsidRDefault="00C6582A" w:rsidP="00C6582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A8978E9" w14:textId="77777777" w:rsidR="00234ADB" w:rsidRDefault="003D3995">
      <w:pPr>
        <w:tabs>
          <w:tab w:val="right" w:leader="dot" w:pos="9072"/>
        </w:tabs>
        <w:rPr>
          <w:i/>
          <w:sz w:val="24"/>
          <w:szCs w:val="24"/>
        </w:rPr>
      </w:pPr>
      <w:r>
        <w:rPr>
          <w:sz w:val="24"/>
          <w:szCs w:val="24"/>
        </w:rPr>
        <w:t>* insert Code of Practice number and issue</w:t>
      </w:r>
    </w:p>
    <w:p w14:paraId="36F06819" w14:textId="77777777" w:rsidR="00234ADB" w:rsidRDefault="00234ADB">
      <w:pPr>
        <w:rPr>
          <w:sz w:val="24"/>
          <w:szCs w:val="24"/>
        </w:rPr>
      </w:pPr>
    </w:p>
    <w:p w14:paraId="3FD65EAC" w14:textId="77777777" w:rsidR="00234ADB" w:rsidRDefault="003D3995">
      <w:pPr>
        <w:pBdr>
          <w:top w:val="single" w:sz="6" w:space="1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Any Other Technical Information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34ADB" w14:paraId="3A887974" w14:textId="77777777">
        <w:trPr>
          <w:cantSplit/>
        </w:trPr>
        <w:tc>
          <w:tcPr>
            <w:tcW w:w="9214" w:type="dxa"/>
          </w:tcPr>
          <w:p w14:paraId="1DFAD34A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6BFF264C" w14:textId="77777777">
        <w:trPr>
          <w:cantSplit/>
        </w:trPr>
        <w:tc>
          <w:tcPr>
            <w:tcW w:w="9214" w:type="dxa"/>
          </w:tcPr>
          <w:p w14:paraId="20A81A21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14AFBAA9" w14:textId="77777777">
        <w:trPr>
          <w:cantSplit/>
        </w:trPr>
        <w:tc>
          <w:tcPr>
            <w:tcW w:w="9214" w:type="dxa"/>
          </w:tcPr>
          <w:p w14:paraId="366D284C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60CDEAE9" w14:textId="77777777">
        <w:trPr>
          <w:cantSplit/>
        </w:trPr>
        <w:tc>
          <w:tcPr>
            <w:tcW w:w="9214" w:type="dxa"/>
          </w:tcPr>
          <w:p w14:paraId="3498B113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34ADB" w14:paraId="31ACA173" w14:textId="77777777">
        <w:trPr>
          <w:cantSplit/>
        </w:trPr>
        <w:tc>
          <w:tcPr>
            <w:tcW w:w="9214" w:type="dxa"/>
          </w:tcPr>
          <w:p w14:paraId="56B9D1A6" w14:textId="77777777" w:rsidR="00234ADB" w:rsidRDefault="00234ADB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6BA91F1" w14:textId="77777777" w:rsidR="00234ADB" w:rsidRDefault="00234ADB">
      <w:pPr>
        <w:pStyle w:val="BodyText"/>
        <w:pBdr>
          <w:top w:val="single" w:sz="6" w:space="1" w:color="auto"/>
        </w:pBdr>
        <w:spacing w:after="120"/>
        <w:ind w:left="0"/>
        <w:rPr>
          <w:szCs w:val="24"/>
        </w:rPr>
      </w:pPr>
    </w:p>
    <w:p w14:paraId="7E7DAA3B" w14:textId="77777777" w:rsidR="00234ADB" w:rsidRDefault="00234ADB">
      <w:pPr>
        <w:pBdr>
          <w:top w:val="single" w:sz="6" w:space="1" w:color="auto"/>
        </w:pBdr>
        <w:spacing w:line="360" w:lineRule="auto"/>
        <w:rPr>
          <w:sz w:val="24"/>
          <w:szCs w:val="24"/>
        </w:rPr>
      </w:pPr>
    </w:p>
    <w:p w14:paraId="35F897EA" w14:textId="77777777" w:rsidR="00234ADB" w:rsidRDefault="003D3995" w:rsidP="00D25409">
      <w:pPr>
        <w:pBdr>
          <w:top w:val="single" w:sz="6" w:space="1" w:color="auto"/>
        </w:pBd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14:paraId="1CE8B6DD" w14:textId="1B5CE61B" w:rsidR="00234ADB" w:rsidRDefault="003D399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We declare that other than as set out above we are in all other respects, in compliance with the requirements of the relevant Code of Practice and the BSC. A schematic is attached to this application for clarification of the metering points involved.</w:t>
      </w:r>
    </w:p>
    <w:p w14:paraId="26BC015F" w14:textId="77777777" w:rsidR="00234ADB" w:rsidRDefault="00234ADB">
      <w:pPr>
        <w:spacing w:after="240"/>
        <w:rPr>
          <w:sz w:val="24"/>
          <w:szCs w:val="24"/>
        </w:rPr>
      </w:pPr>
    </w:p>
    <w:p w14:paraId="158D5F1F" w14:textId="2C298464" w:rsidR="00234ADB" w:rsidRDefault="003D3995">
      <w:pPr>
        <w:tabs>
          <w:tab w:val="left" w:pos="1276"/>
          <w:tab w:val="left" w:leader="dot" w:pos="4253"/>
          <w:tab w:val="left" w:pos="4962"/>
          <w:tab w:val="left" w:pos="6096"/>
          <w:tab w:val="left" w:leader="dot" w:pos="9072"/>
        </w:tabs>
        <w:spacing w:after="240"/>
        <w:rPr>
          <w:i/>
          <w:sz w:val="24"/>
          <w:szCs w:val="24"/>
        </w:rPr>
      </w:pPr>
      <w:r>
        <w:rPr>
          <w:i/>
          <w:sz w:val="24"/>
          <w:szCs w:val="24"/>
        </w:rPr>
        <w:t>Signature: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Date:</w:t>
      </w:r>
      <w:r>
        <w:rPr>
          <w:i/>
          <w:sz w:val="24"/>
          <w:szCs w:val="24"/>
        </w:rPr>
        <w:tab/>
      </w:r>
      <w:r w:rsidR="007F2DF4">
        <w:rPr>
          <w:i/>
          <w:sz w:val="24"/>
          <w:szCs w:val="24"/>
        </w:rPr>
        <w:t>04</w:t>
      </w:r>
      <w:r w:rsidR="00FD5519">
        <w:rPr>
          <w:i/>
          <w:sz w:val="24"/>
          <w:szCs w:val="24"/>
        </w:rPr>
        <w:t>/0</w:t>
      </w:r>
      <w:r w:rsidR="007F2DF4">
        <w:rPr>
          <w:i/>
          <w:sz w:val="24"/>
          <w:szCs w:val="24"/>
        </w:rPr>
        <w:t>4</w:t>
      </w:r>
      <w:r w:rsidR="00FD5519">
        <w:rPr>
          <w:i/>
          <w:sz w:val="24"/>
          <w:szCs w:val="24"/>
        </w:rPr>
        <w:t>/2022</w:t>
      </w:r>
      <w:r>
        <w:rPr>
          <w:i/>
          <w:sz w:val="24"/>
          <w:szCs w:val="24"/>
        </w:rPr>
        <w:tab/>
      </w:r>
    </w:p>
    <w:p w14:paraId="6B86F848" w14:textId="05345A43" w:rsidR="00234ADB" w:rsidRDefault="003D3995">
      <w:pPr>
        <w:tabs>
          <w:tab w:val="left" w:pos="1276"/>
          <w:tab w:val="left" w:leader="dot" w:pos="4253"/>
          <w:tab w:val="left" w:pos="4962"/>
          <w:tab w:val="left" w:pos="6096"/>
          <w:tab w:val="left" w:leader="dot" w:pos="9072"/>
        </w:tabs>
        <w:spacing w:after="240"/>
        <w:rPr>
          <w:sz w:val="24"/>
          <w:szCs w:val="24"/>
        </w:rPr>
      </w:pPr>
      <w:r>
        <w:rPr>
          <w:i/>
          <w:sz w:val="24"/>
          <w:szCs w:val="24"/>
        </w:rPr>
        <w:t>Password:</w:t>
      </w:r>
      <w:r>
        <w:rPr>
          <w:i/>
          <w:sz w:val="24"/>
          <w:szCs w:val="24"/>
        </w:rPr>
        <w:tab/>
      </w:r>
      <w:bookmarkStart w:id="3" w:name="_GoBack"/>
      <w:bookmarkEnd w:id="3"/>
      <w:r>
        <w:rPr>
          <w:i/>
          <w:sz w:val="24"/>
          <w:szCs w:val="24"/>
        </w:rPr>
        <w:tab/>
      </w:r>
    </w:p>
    <w:p w14:paraId="33EFE20F" w14:textId="77777777" w:rsidR="00234ADB" w:rsidRDefault="003D39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Duly authorised for and on behalf of Applicant Company</w:t>
      </w:r>
    </w:p>
    <w:p w14:paraId="14C035B0" w14:textId="77777777" w:rsidR="00234ADB" w:rsidRDefault="00234ADB">
      <w:pPr>
        <w:spacing w:after="240"/>
        <w:rPr>
          <w:sz w:val="24"/>
          <w:szCs w:val="24"/>
        </w:rPr>
      </w:pPr>
    </w:p>
    <w:p w14:paraId="2CD86B6B" w14:textId="77777777" w:rsidR="00234ADB" w:rsidRDefault="003D3995">
      <w:pPr>
        <w:pBdr>
          <w:top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Receipt and Reference</w:t>
      </w:r>
    </w:p>
    <w:p w14:paraId="059DB07B" w14:textId="77777777" w:rsidR="00234ADB" w:rsidRDefault="003D3995">
      <w:pPr>
        <w:pBdr>
          <w:top w:val="single" w:sz="4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BSCCo acknowledges receipt of this document and has assigned the reference number as indicated on the first page.</w:t>
      </w:r>
    </w:p>
    <w:p w14:paraId="0D88128A" w14:textId="77777777" w:rsidR="00234ADB" w:rsidRDefault="00234ADB">
      <w:pPr>
        <w:pBdr>
          <w:top w:val="single" w:sz="4" w:space="1" w:color="auto"/>
        </w:pBdr>
        <w:spacing w:after="240"/>
        <w:rPr>
          <w:b/>
          <w:sz w:val="24"/>
          <w:szCs w:val="24"/>
        </w:rPr>
      </w:pPr>
    </w:p>
    <w:p w14:paraId="383BDFEC" w14:textId="77777777" w:rsidR="00234ADB" w:rsidRDefault="003D3995">
      <w:pPr>
        <w:tabs>
          <w:tab w:val="left" w:pos="1276"/>
          <w:tab w:val="left" w:leader="dot" w:pos="4253"/>
          <w:tab w:val="left" w:pos="4962"/>
          <w:tab w:val="left" w:pos="6096"/>
          <w:tab w:val="left" w:leader="dot" w:pos="9072"/>
        </w:tabs>
        <w:spacing w:after="240"/>
        <w:rPr>
          <w:i/>
          <w:sz w:val="24"/>
          <w:szCs w:val="24"/>
        </w:rPr>
      </w:pPr>
      <w:r>
        <w:rPr>
          <w:i/>
          <w:sz w:val="24"/>
          <w:szCs w:val="24"/>
        </w:rPr>
        <w:t>Signature: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C0A2584" w14:textId="77777777" w:rsidR="00234ADB" w:rsidRDefault="003D39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Duly authorised for and on behalf of BSCCo</w:t>
      </w:r>
    </w:p>
    <w:p w14:paraId="5C4E2F6A" w14:textId="77777777" w:rsidR="00234ADB" w:rsidRDefault="00234ADB">
      <w:pPr>
        <w:spacing w:after="240"/>
        <w:rPr>
          <w:sz w:val="24"/>
          <w:szCs w:val="24"/>
        </w:rPr>
      </w:pPr>
      <w:bookmarkStart w:id="4" w:name="_Toc371491405"/>
      <w:bookmarkStart w:id="5" w:name="_Toc371491538"/>
    </w:p>
    <w:p w14:paraId="3B27CC21" w14:textId="77777777" w:rsidR="00234ADB" w:rsidRDefault="00234ADB">
      <w:pPr>
        <w:pStyle w:val="BodyText"/>
        <w:ind w:left="1985" w:hanging="1985"/>
        <w:rPr>
          <w:b/>
          <w:szCs w:val="24"/>
        </w:rPr>
      </w:pPr>
      <w:bookmarkStart w:id="6" w:name="_Toc371757715"/>
      <w:bookmarkStart w:id="7" w:name="_Toc371491408"/>
      <w:bookmarkStart w:id="8" w:name="_Toc371491541"/>
      <w:bookmarkEnd w:id="4"/>
      <w:bookmarkEnd w:id="5"/>
      <w:bookmarkEnd w:id="6"/>
      <w:bookmarkEnd w:id="7"/>
      <w:bookmarkEnd w:id="8"/>
    </w:p>
    <w:sectPr w:rsidR="0023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3239" w14:textId="77777777" w:rsidR="009B7FA5" w:rsidRDefault="009B7FA5">
      <w:r>
        <w:separator/>
      </w:r>
    </w:p>
  </w:endnote>
  <w:endnote w:type="continuationSeparator" w:id="0">
    <w:p w14:paraId="20A95019" w14:textId="77777777" w:rsidR="009B7FA5" w:rsidRDefault="009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Dutch801B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BF2B" w14:textId="77777777" w:rsidR="00C6582A" w:rsidRDefault="00C65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CE32" w14:textId="6C566C41" w:rsidR="0086399C" w:rsidRDefault="0086399C">
    <w:pPr>
      <w:pStyle w:val="APHFPort"/>
      <w:pBdr>
        <w:top w:val="single" w:sz="2" w:space="6" w:color="auto"/>
      </w:pBdr>
      <w:tabs>
        <w:tab w:val="clear" w:pos="4464"/>
        <w:tab w:val="clear" w:pos="8928"/>
        <w:tab w:val="center" w:pos="4536"/>
        <w:tab w:val="right" w:pos="9072"/>
      </w:tabs>
      <w:jc w:val="left"/>
      <w:rPr>
        <w:rStyle w:val="PageNumbe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>Balancing and Settlement Code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C75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  <w:noProof/>
        <w:spacing w:val="0"/>
      </w:rPr>
      <w:fldChar w:fldCharType="begin"/>
    </w:r>
    <w:r>
      <w:rPr>
        <w:rStyle w:val="PageNumber"/>
        <w:noProof/>
        <w:spacing w:val="0"/>
      </w:rPr>
      <w:instrText xml:space="preserve"> NUMPAGES </w:instrText>
    </w:r>
    <w:r>
      <w:rPr>
        <w:rStyle w:val="PageNumber"/>
        <w:noProof/>
        <w:spacing w:val="0"/>
      </w:rPr>
      <w:fldChar w:fldCharType="separate"/>
    </w:r>
    <w:r w:rsidR="001E5C75">
      <w:rPr>
        <w:rStyle w:val="PageNumber"/>
        <w:noProof/>
        <w:spacing w:val="0"/>
      </w:rPr>
      <w:t>12</w:t>
    </w:r>
    <w:r>
      <w:rPr>
        <w:rStyle w:val="PageNumber"/>
        <w:noProof/>
        <w:spacing w:val="0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DOCPROPERTY  "Effective Date"  \* MERGEFORMAT </w:instrText>
    </w:r>
    <w:r>
      <w:rPr>
        <w:rStyle w:val="PageNumber"/>
      </w:rPr>
      <w:fldChar w:fldCharType="separate"/>
    </w:r>
    <w:r w:rsidR="00F14F42">
      <w:rPr>
        <w:rStyle w:val="PageNumber"/>
      </w:rPr>
      <w:t>1 September 2021</w:t>
    </w:r>
    <w:r>
      <w:rPr>
        <w:rStyle w:val="PageNumber"/>
      </w:rPr>
      <w:fldChar w:fldCharType="end"/>
    </w:r>
  </w:p>
  <w:p w14:paraId="20A15BA3" w14:textId="651592AA" w:rsidR="0086399C" w:rsidRDefault="0086399C">
    <w:pPr>
      <w:pStyle w:val="APHFPort"/>
      <w:tabs>
        <w:tab w:val="clear" w:pos="4464"/>
        <w:tab w:val="clear" w:pos="8928"/>
      </w:tabs>
      <w:jc w:val="center"/>
      <w:rPr>
        <w:b w:val="0"/>
      </w:rPr>
    </w:pPr>
    <w:r>
      <w:rPr>
        <w:rStyle w:val="PageNumber"/>
        <w:rFonts w:ascii="Times New Roman Bold" w:hAnsi="Times New Roman Bold"/>
      </w:rPr>
      <w:t>© Elexon Limited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C7C2" w14:textId="77777777" w:rsidR="00C6582A" w:rsidRDefault="00C65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C7A9" w14:textId="77777777" w:rsidR="009B7FA5" w:rsidRDefault="009B7FA5">
      <w:r>
        <w:separator/>
      </w:r>
    </w:p>
  </w:footnote>
  <w:footnote w:type="continuationSeparator" w:id="0">
    <w:p w14:paraId="08F96653" w14:textId="77777777" w:rsidR="009B7FA5" w:rsidRDefault="009B7FA5">
      <w:r>
        <w:continuationSeparator/>
      </w:r>
    </w:p>
  </w:footnote>
  <w:footnote w:id="1">
    <w:p w14:paraId="314F71F4" w14:textId="77777777" w:rsidR="0086399C" w:rsidRDefault="0086399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For more than one </w:t>
      </w:r>
      <w:proofErr w:type="gramStart"/>
      <w:r>
        <w:rPr>
          <w:sz w:val="16"/>
          <w:szCs w:val="16"/>
          <w:lang w:val="en-US"/>
        </w:rPr>
        <w:t>Affected</w:t>
      </w:r>
      <w:proofErr w:type="gramEnd"/>
      <w:r>
        <w:rPr>
          <w:sz w:val="16"/>
          <w:szCs w:val="16"/>
          <w:lang w:val="en-US"/>
        </w:rPr>
        <w:t xml:space="preserve"> party, Part B should be completed for each, using additional copies of Part B as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0FCF" w14:textId="77777777" w:rsidR="00C6582A" w:rsidRDefault="00C65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A49E" w14:textId="04EFA51D" w:rsidR="0086399C" w:rsidRDefault="0086399C">
    <w:pPr>
      <w:pStyle w:val="APHFPort"/>
      <w:pBdr>
        <w:bottom w:val="single" w:sz="2" w:space="6" w:color="auto"/>
      </w:pBdr>
      <w:tabs>
        <w:tab w:val="clear" w:pos="4464"/>
        <w:tab w:val="clear" w:pos="8928"/>
        <w:tab w:val="center" w:pos="4536"/>
        <w:tab w:val="right" w:pos="9072"/>
      </w:tabs>
      <w:jc w:val="left"/>
    </w:pPr>
    <w:r>
      <w:t>BSCP32</w:t>
    </w:r>
    <w:r>
      <w:tab/>
      <w:t>Metering Dispensations</w:t>
    </w:r>
    <w:r>
      <w:tab/>
    </w:r>
    <w:fldSimple w:instr=" DOCPROPERTY  &quot;Version Number&quot;  \* MERGEFORMAT ">
      <w:r w:rsidR="00F14F42">
        <w:t>Version 13.0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415" w14:textId="77777777" w:rsidR="00C6582A" w:rsidRDefault="00C65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5E7"/>
    <w:multiLevelType w:val="hybridMultilevel"/>
    <w:tmpl w:val="3A0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C83"/>
    <w:multiLevelType w:val="multilevel"/>
    <w:tmpl w:val="68BE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2" w15:restartNumberingAfterBreak="0">
    <w:nsid w:val="33B6038F"/>
    <w:multiLevelType w:val="hybridMultilevel"/>
    <w:tmpl w:val="521E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5E9"/>
    <w:multiLevelType w:val="singleLevel"/>
    <w:tmpl w:val="76841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20314DD"/>
    <w:multiLevelType w:val="hybridMultilevel"/>
    <w:tmpl w:val="B3C2C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3387"/>
    <w:multiLevelType w:val="singleLevel"/>
    <w:tmpl w:val="1A5A4DC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6F9624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DC1A8F"/>
    <w:multiLevelType w:val="multilevel"/>
    <w:tmpl w:val="0B2AA184"/>
    <w:lvl w:ilvl="0">
      <w:start w:val="1"/>
      <w:numFmt w:val="decimal"/>
      <w:lvlText w:val="%1"/>
      <w:lvlJc w:val="left"/>
      <w:pPr>
        <w:tabs>
          <w:tab w:val="num" w:pos="1829"/>
        </w:tabs>
        <w:ind w:left="1829" w:hanging="182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29"/>
        </w:tabs>
        <w:ind w:left="1829" w:hanging="1829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B"/>
    <w:rsid w:val="00032AB7"/>
    <w:rsid w:val="00050559"/>
    <w:rsid w:val="000A03CA"/>
    <w:rsid w:val="000B4316"/>
    <w:rsid w:val="000C60D4"/>
    <w:rsid w:val="000D66A8"/>
    <w:rsid w:val="000F2A33"/>
    <w:rsid w:val="00102FDF"/>
    <w:rsid w:val="00113619"/>
    <w:rsid w:val="001740DE"/>
    <w:rsid w:val="001901F5"/>
    <w:rsid w:val="001A71D5"/>
    <w:rsid w:val="001C5DE0"/>
    <w:rsid w:val="001E5C75"/>
    <w:rsid w:val="001E7508"/>
    <w:rsid w:val="00234ADB"/>
    <w:rsid w:val="002526E8"/>
    <w:rsid w:val="00262601"/>
    <w:rsid w:val="00276CD8"/>
    <w:rsid w:val="00290567"/>
    <w:rsid w:val="00296738"/>
    <w:rsid w:val="002A4E61"/>
    <w:rsid w:val="002E2C27"/>
    <w:rsid w:val="003460EF"/>
    <w:rsid w:val="0036330A"/>
    <w:rsid w:val="00392827"/>
    <w:rsid w:val="003D3995"/>
    <w:rsid w:val="003E4411"/>
    <w:rsid w:val="003E643D"/>
    <w:rsid w:val="0045418A"/>
    <w:rsid w:val="00490039"/>
    <w:rsid w:val="004B1512"/>
    <w:rsid w:val="004B3595"/>
    <w:rsid w:val="004C2717"/>
    <w:rsid w:val="004D3839"/>
    <w:rsid w:val="004F7221"/>
    <w:rsid w:val="005222C6"/>
    <w:rsid w:val="005417A3"/>
    <w:rsid w:val="0054635A"/>
    <w:rsid w:val="0059397C"/>
    <w:rsid w:val="005D0011"/>
    <w:rsid w:val="005D5D75"/>
    <w:rsid w:val="005F2455"/>
    <w:rsid w:val="005F3720"/>
    <w:rsid w:val="005F7A45"/>
    <w:rsid w:val="006A50C6"/>
    <w:rsid w:val="006B5B99"/>
    <w:rsid w:val="006F20A4"/>
    <w:rsid w:val="007252FA"/>
    <w:rsid w:val="007454CE"/>
    <w:rsid w:val="007A4917"/>
    <w:rsid w:val="007D7A28"/>
    <w:rsid w:val="007F2DF4"/>
    <w:rsid w:val="00804FBF"/>
    <w:rsid w:val="00807CE1"/>
    <w:rsid w:val="00824F05"/>
    <w:rsid w:val="0086215C"/>
    <w:rsid w:val="0086399C"/>
    <w:rsid w:val="00885E98"/>
    <w:rsid w:val="008A157E"/>
    <w:rsid w:val="0094027F"/>
    <w:rsid w:val="00940585"/>
    <w:rsid w:val="009838E5"/>
    <w:rsid w:val="00996569"/>
    <w:rsid w:val="009B7FA5"/>
    <w:rsid w:val="00A53A11"/>
    <w:rsid w:val="00A84153"/>
    <w:rsid w:val="00AA3D34"/>
    <w:rsid w:val="00B1707E"/>
    <w:rsid w:val="00B24643"/>
    <w:rsid w:val="00B313D3"/>
    <w:rsid w:val="00B44D02"/>
    <w:rsid w:val="00BD50D1"/>
    <w:rsid w:val="00C11E9A"/>
    <w:rsid w:val="00C14002"/>
    <w:rsid w:val="00C4417A"/>
    <w:rsid w:val="00C64D3F"/>
    <w:rsid w:val="00C6582A"/>
    <w:rsid w:val="00CA041B"/>
    <w:rsid w:val="00CB5454"/>
    <w:rsid w:val="00CF3470"/>
    <w:rsid w:val="00D03489"/>
    <w:rsid w:val="00D05B6A"/>
    <w:rsid w:val="00D25409"/>
    <w:rsid w:val="00D93678"/>
    <w:rsid w:val="00DC17D0"/>
    <w:rsid w:val="00DD7BFA"/>
    <w:rsid w:val="00E6441C"/>
    <w:rsid w:val="00E67742"/>
    <w:rsid w:val="00E92F49"/>
    <w:rsid w:val="00F14F42"/>
    <w:rsid w:val="00F32DA5"/>
    <w:rsid w:val="00F353D1"/>
    <w:rsid w:val="00F7148F"/>
    <w:rsid w:val="00FB5C3C"/>
    <w:rsid w:val="00FC40A5"/>
    <w:rsid w:val="00FD548F"/>
    <w:rsid w:val="00FD5519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AE312"/>
  <w15:docId w15:val="{D71E104C-0E56-462A-961F-97E8A30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A4917"/>
    <w:pPr>
      <w:pageBreakBefore/>
      <w:spacing w:after="240"/>
      <w:ind w:left="851" w:hanging="851"/>
      <w:outlineLvl w:val="0"/>
    </w:pPr>
    <w:rPr>
      <w:rFonts w:ascii="Times New Roman Bold" w:hAnsi="Times New Roman Bold"/>
      <w:b/>
      <w:noProof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25409"/>
    <w:pPr>
      <w:tabs>
        <w:tab w:val="left" w:pos="851"/>
      </w:tabs>
      <w:spacing w:after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5"/>
      </w:numPr>
      <w:spacing w:before="240" w:after="60"/>
      <w:outlineLvl w:val="2"/>
    </w:pPr>
    <w:rPr>
      <w:b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TOC3"/>
    <w:link w:val="Heading4Char"/>
    <w:qFormat/>
    <w:pPr>
      <w:ind w:left="360"/>
      <w:outlineLvl w:val="3"/>
    </w:pPr>
    <w:rPr>
      <w:rFonts w:ascii="Dutch801BM" w:hAnsi="Dutch801BM"/>
      <w:noProof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center" w:pos="4536"/>
        <w:tab w:val="right" w:pos="9072"/>
      </w:tabs>
      <w:spacing w:before="60"/>
      <w:jc w:val="center"/>
      <w:outlineLvl w:val="4"/>
    </w:pPr>
    <w:rPr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bottom w:val="single" w:sz="6" w:space="1" w:color="auto"/>
      </w:pBdr>
      <w:tabs>
        <w:tab w:val="center" w:pos="4500"/>
        <w:tab w:val="right" w:pos="9090"/>
      </w:tabs>
      <w:spacing w:before="40" w:after="40"/>
      <w:ind w:left="284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4536"/>
        <w:tab w:val="right" w:pos="9072"/>
      </w:tabs>
      <w:spacing w:before="60"/>
      <w:ind w:left="284"/>
      <w:jc w:val="center"/>
      <w:outlineLvl w:val="6"/>
    </w:pPr>
    <w:rPr>
      <w:b/>
      <w:smallCaps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bottom w:val="single" w:sz="6" w:space="1" w:color="auto"/>
      </w:pBdr>
      <w:tabs>
        <w:tab w:val="center" w:pos="4536"/>
        <w:tab w:val="right" w:pos="9072"/>
      </w:tabs>
      <w:spacing w:before="60"/>
      <w:ind w:left="284"/>
      <w:jc w:val="center"/>
      <w:outlineLvl w:val="7"/>
    </w:pPr>
    <w:rPr>
      <w:b/>
      <w:smallCap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pBdr>
        <w:bottom w:val="single" w:sz="6" w:space="1" w:color="auto"/>
      </w:pBdr>
      <w:tabs>
        <w:tab w:val="center" w:pos="4536"/>
        <w:tab w:val="right" w:pos="9072"/>
      </w:tabs>
      <w:spacing w:before="60"/>
      <w:ind w:left="284"/>
      <w:jc w:val="center"/>
      <w:outlineLvl w:val="8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917"/>
    <w:rPr>
      <w:rFonts w:ascii="Times New Roman Bold" w:eastAsia="Times New Roman" w:hAnsi="Times New Roman Bold" w:cs="Times New Roman"/>
      <w:b/>
      <w:noProof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540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Pr>
      <w:rFonts w:ascii="Dutch801BM" w:eastAsia="Times New Roman" w:hAnsi="Dutch801BM" w:cs="Times New Roman"/>
      <w:noProof/>
      <w:sz w:val="2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TOC3">
    <w:name w:val="toc 3"/>
    <w:basedOn w:val="Normal"/>
    <w:next w:val="Normal"/>
    <w:semiHidden/>
    <w:pPr>
      <w:ind w:left="200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Dutch801BM" w:hAnsi="Dutch801BM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rPr>
      <w:rFonts w:ascii="Dutch801BM" w:eastAsia="Times New Roman" w:hAnsi="Dutch801BM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uiPriority w:val="39"/>
    <w:pPr>
      <w:tabs>
        <w:tab w:val="left" w:pos="851"/>
        <w:tab w:val="right" w:pos="9017"/>
      </w:tabs>
      <w:spacing w:before="240"/>
    </w:pPr>
    <w:rPr>
      <w:rFonts w:ascii="Times New Roman Bold" w:hAnsi="Times New Roman Bold"/>
      <w:b/>
      <w:caps/>
      <w:sz w:val="24"/>
    </w:rPr>
  </w:style>
  <w:style w:type="paragraph" w:styleId="TOC2">
    <w:name w:val="toc 2"/>
    <w:basedOn w:val="Normal"/>
    <w:next w:val="Normal"/>
    <w:uiPriority w:val="39"/>
    <w:pPr>
      <w:tabs>
        <w:tab w:val="left" w:pos="-851"/>
        <w:tab w:val="right" w:pos="9017"/>
      </w:tabs>
      <w:spacing w:before="120"/>
      <w:ind w:left="851" w:hanging="851"/>
    </w:pPr>
    <w:rPr>
      <w:rFonts w:ascii="Times New Roman Bold" w:hAnsi="Times New Roman Bold"/>
      <w:b/>
      <w:noProof/>
    </w:rPr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"/>
        <w:tab w:val="left" w:pos="1440"/>
        <w:tab w:val="left" w:pos="180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both"/>
    </w:pPr>
    <w:rPr>
      <w:i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i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pPr>
      <w:tabs>
        <w:tab w:val="left" w:pos="-1440"/>
        <w:tab w:val="left" w:pos="-720"/>
        <w:tab w:val="left" w:pos="720"/>
        <w:tab w:val="left" w:pos="1440"/>
        <w:tab w:val="left" w:pos="180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18"/>
      <w:jc w:val="both"/>
    </w:pPr>
    <w:rPr>
      <w:i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i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PHFPort">
    <w:name w:val="AP_HF_Port"/>
    <w:basedOn w:val="Normal"/>
    <w:pPr>
      <w:tabs>
        <w:tab w:val="center" w:pos="4464"/>
        <w:tab w:val="right" w:pos="8928"/>
      </w:tabs>
      <w:suppressAutoHyphens/>
      <w:jc w:val="both"/>
    </w:pPr>
    <w:rPr>
      <w:b/>
      <w:spacing w:val="-3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pPr>
      <w:jc w:val="both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240"/>
      <w:ind w:left="1418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240"/>
      <w:ind w:left="7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character" w:customStyle="1" w:styleId="BulletList">
    <w:name w:val="Bullet List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-1440"/>
        <w:tab w:val="left" w:pos="-720"/>
        <w:tab w:val="left" w:pos="1"/>
        <w:tab w:val="left" w:pos="720"/>
        <w:tab w:val="left" w:pos="1440"/>
        <w:tab w:val="left" w:pos="180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Technical8">
    <w:name w:val="Technical 8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bullet2">
    <w:name w:val="bullet 2"/>
    <w:basedOn w:val="DefaultParagraphFont"/>
  </w:style>
  <w:style w:type="paragraph" w:styleId="BodyText3">
    <w:name w:val="Body Text 3"/>
    <w:basedOn w:val="Normal"/>
    <w:link w:val="BodyText3Char"/>
    <w:rPr>
      <w:sz w:val="24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pPr>
      <w:tabs>
        <w:tab w:val="left" w:pos="720"/>
      </w:tabs>
      <w:ind w:left="1440"/>
      <w:jc w:val="both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400"/>
    </w:pPr>
  </w:style>
  <w:style w:type="paragraph" w:customStyle="1" w:styleId="ELEXONBody">
    <w:name w:val="ELEXON Body"/>
    <w:basedOn w:val="Normal"/>
    <w:pPr>
      <w:spacing w:after="140" w:line="280" w:lineRule="exact"/>
      <w:ind w:left="1080"/>
    </w:pPr>
    <w:rPr>
      <w:rFonts w:ascii="Tahoma" w:eastAsia="Times" w:hAnsi="Tahom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left" w:pos="9000"/>
        <w:tab w:val="right" w:pos="9360"/>
      </w:tabs>
      <w:suppressAutoHyphens/>
      <w:autoSpaceDE w:val="0"/>
      <w:autoSpaceDN w:val="0"/>
      <w:adjustRightInd w:val="0"/>
    </w:pPr>
    <w:rPr>
      <w:sz w:val="24"/>
      <w:szCs w:val="24"/>
      <w:lang w:val="en-US"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isclaimer">
    <w:name w:val="Disclaimer"/>
    <w:pPr>
      <w:spacing w:after="160" w:line="240" w:lineRule="auto"/>
    </w:pPr>
    <w:rPr>
      <w:rFonts w:ascii="Tahoma" w:eastAsia="Times New Roman" w:hAnsi="Tahoma" w:cs="Times New Roman"/>
      <w:sz w:val="16"/>
      <w:szCs w:val="20"/>
      <w:lang w:eastAsia="en-GB"/>
    </w:rPr>
  </w:style>
  <w:style w:type="paragraph" w:customStyle="1" w:styleId="CoverHeading">
    <w:name w:val="Cover Heading"/>
    <w:link w:val="CoverHeadingChar"/>
    <w:pPr>
      <w:spacing w:before="113" w:after="113" w:line="240" w:lineRule="auto"/>
    </w:pPr>
    <w:rPr>
      <w:rFonts w:ascii="Tahoma" w:eastAsia="Times New Roman" w:hAnsi="Tahoma" w:cs="Times New Roman"/>
      <w:b/>
      <w:sz w:val="20"/>
      <w:szCs w:val="24"/>
      <w:lang w:eastAsia="en-GB"/>
    </w:rPr>
  </w:style>
  <w:style w:type="character" w:customStyle="1" w:styleId="CoverHeadingChar">
    <w:name w:val="Cover Heading Char"/>
    <w:basedOn w:val="DefaultParagraphFont"/>
    <w:link w:val="CoverHeading"/>
    <w:rPr>
      <w:rFonts w:ascii="Tahoma" w:eastAsia="Times New Roman" w:hAnsi="Tahoma" w:cs="Times New Roman"/>
      <w:b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A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A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B422-B401-4C68-9631-CB1FB16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BSCP32: Metering Dispensations</vt:lpstr>
    </vt:vector>
  </TitlesOfParts>
  <Company>ELEXON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BSCP32: Metering Dispensations</dc:title>
  <dc:subject>BSCP32 sets out the detailed process, with timescales, by which Parties can apply for Metering Dispensations under the BSC. It also outlines responsibilities for validating electrical loss adjustments.</dc:subject>
  <dc:creator>ELEXON</dc:creator>
  <cp:keywords>BSCP32,Metering,Dispensations</cp:keywords>
  <cp:lastModifiedBy>Lee Walker</cp:lastModifiedBy>
  <cp:revision>3</cp:revision>
  <cp:lastPrinted>2021-08-26T15:49:00Z</cp:lastPrinted>
  <dcterms:created xsi:type="dcterms:W3CDTF">2022-04-29T14:25:00Z</dcterms:created>
  <dcterms:modified xsi:type="dcterms:W3CDTF">2022-04-29T14:27:00Z</dcterms:modified>
  <cp:category>BSCP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Version 13.0</vt:lpwstr>
  </property>
  <property fmtid="{D5CDD505-2E9C-101B-9397-08002B2CF9AE}" pid="3" name="Effective Date">
    <vt:lpwstr>1 September 2021</vt:lpwstr>
  </property>
  <property fmtid="{D5CDD505-2E9C-101B-9397-08002B2CF9AE}" pid="4" name="MSIP_Label_f8afab47-5f18-4dcb-9ef3-cd87045d98ab_Enabled">
    <vt:lpwstr>true</vt:lpwstr>
  </property>
  <property fmtid="{D5CDD505-2E9C-101B-9397-08002B2CF9AE}" pid="5" name="MSIP_Label_f8afab47-5f18-4dcb-9ef3-cd87045d98ab_SetDate">
    <vt:lpwstr>2021-12-07T11:27:36Z</vt:lpwstr>
  </property>
  <property fmtid="{D5CDD505-2E9C-101B-9397-08002B2CF9AE}" pid="6" name="MSIP_Label_f8afab47-5f18-4dcb-9ef3-cd87045d98ab_Method">
    <vt:lpwstr>Standard</vt:lpwstr>
  </property>
  <property fmtid="{D5CDD505-2E9C-101B-9397-08002B2CF9AE}" pid="7" name="MSIP_Label_f8afab47-5f18-4dcb-9ef3-cd87045d98ab_Name">
    <vt:lpwstr>Statkraft Internal - No Label</vt:lpwstr>
  </property>
  <property fmtid="{D5CDD505-2E9C-101B-9397-08002B2CF9AE}" pid="8" name="MSIP_Label_f8afab47-5f18-4dcb-9ef3-cd87045d98ab_SiteId">
    <vt:lpwstr>a40c0d68-338e-44ef-ab17-812ee42d12c7</vt:lpwstr>
  </property>
  <property fmtid="{D5CDD505-2E9C-101B-9397-08002B2CF9AE}" pid="9" name="MSIP_Label_f8afab47-5f18-4dcb-9ef3-cd87045d98ab_ActionId">
    <vt:lpwstr>80f7823a-ce02-44ba-adb4-ed807789c438</vt:lpwstr>
  </property>
  <property fmtid="{D5CDD505-2E9C-101B-9397-08002B2CF9AE}" pid="10" name="MSIP_Label_f8afab47-5f18-4dcb-9ef3-cd87045d98ab_ContentBits">
    <vt:lpwstr>0</vt:lpwstr>
  </property>
</Properties>
</file>