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9F28A" w14:textId="77777777" w:rsidR="0054644A" w:rsidRPr="009359EA" w:rsidRDefault="00D53593">
      <w:pPr>
        <w:pStyle w:val="Heading2"/>
        <w:keepNext w:val="0"/>
        <w:pageBreakBefore/>
        <w:numPr>
          <w:ilvl w:val="0"/>
          <w:numId w:val="0"/>
        </w:numPr>
        <w:ind w:left="851" w:hanging="851"/>
      </w:pPr>
      <w:bookmarkStart w:id="0" w:name="_Toc370135664"/>
      <w:bookmarkStart w:id="1" w:name="_Toc500826820"/>
      <w:bookmarkStart w:id="2" w:name="_Toc528156084"/>
      <w:bookmarkStart w:id="3" w:name="_Toc534018417"/>
      <w:bookmarkStart w:id="4" w:name="_Toc8643865"/>
      <w:bookmarkStart w:id="5" w:name="_Toc382496191"/>
      <w:bookmarkStart w:id="6" w:name="_Toc382729711"/>
      <w:bookmarkStart w:id="7" w:name="_Toc394740163"/>
      <w:bookmarkStart w:id="8" w:name="_Toc394742149"/>
      <w:bookmarkStart w:id="9" w:name="_Toc398005513"/>
      <w:bookmarkStart w:id="10" w:name="_Toc398008686"/>
      <w:bookmarkStart w:id="11" w:name="_Toc398010736"/>
      <w:bookmarkStart w:id="12" w:name="_Toc398012761"/>
      <w:r w:rsidRPr="009359EA">
        <w:t>4.3</w:t>
      </w:r>
      <w:r w:rsidRPr="009359EA">
        <w:tab/>
        <w:t>CP Form</w:t>
      </w:r>
      <w:bookmarkEnd w:id="0"/>
      <w:bookmarkEnd w:id="1"/>
      <w:bookmarkEnd w:id="2"/>
      <w:bookmarkEnd w:id="3"/>
      <w:bookmarkEnd w:id="4"/>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929"/>
        <w:gridCol w:w="3134"/>
      </w:tblGrid>
      <w:tr w:rsidR="0054644A" w:rsidRPr="009359EA" w14:paraId="1B143DBB" w14:textId="77777777">
        <w:trPr>
          <w:cantSplit/>
        </w:trPr>
        <w:tc>
          <w:tcPr>
            <w:tcW w:w="327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30A7CE9" w14:textId="77777777" w:rsidR="0054644A" w:rsidRPr="009359EA" w:rsidRDefault="00D53593">
            <w:pPr>
              <w:suppressAutoHyphens/>
              <w:jc w:val="center"/>
              <w:rPr>
                <w:b/>
                <w:szCs w:val="24"/>
              </w:rPr>
            </w:pPr>
            <w:r w:rsidRPr="009359EA">
              <w:rPr>
                <w:b/>
                <w:szCs w:val="24"/>
              </w:rPr>
              <w:t>Change Proposal – BSCP40/02</w:t>
            </w:r>
          </w:p>
        </w:tc>
        <w:tc>
          <w:tcPr>
            <w:tcW w:w="172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466DC3F" w14:textId="77777777" w:rsidR="0054644A" w:rsidRPr="009359EA" w:rsidRDefault="00D53593">
            <w:pPr>
              <w:suppressAutoHyphens/>
              <w:spacing w:after="120"/>
              <w:rPr>
                <w:b/>
                <w:szCs w:val="24"/>
              </w:rPr>
            </w:pPr>
            <w:r w:rsidRPr="009359EA">
              <w:rPr>
                <w:b/>
                <w:szCs w:val="24"/>
              </w:rPr>
              <w:t>CP No:</w:t>
            </w:r>
            <w:r w:rsidR="001F0594">
              <w:rPr>
                <w:b/>
                <w:szCs w:val="24"/>
              </w:rPr>
              <w:t xml:space="preserve"> </w:t>
            </w:r>
            <w:r w:rsidR="001F0594" w:rsidRPr="00ED00A4">
              <w:rPr>
                <w:b/>
                <w:szCs w:val="24"/>
              </w:rPr>
              <w:t>XXXX</w:t>
            </w:r>
          </w:p>
          <w:p w14:paraId="291C426B" w14:textId="45266B0D" w:rsidR="0054644A" w:rsidRPr="009359EA" w:rsidRDefault="00D53593">
            <w:pPr>
              <w:suppressAutoHyphens/>
              <w:rPr>
                <w:i/>
                <w:szCs w:val="24"/>
              </w:rPr>
            </w:pPr>
            <w:r w:rsidRPr="009359EA">
              <w:rPr>
                <w:i/>
                <w:szCs w:val="24"/>
              </w:rPr>
              <w:t xml:space="preserve">Version No: </w:t>
            </w:r>
            <w:r w:rsidR="00616E95" w:rsidRPr="00616E95">
              <w:rPr>
                <w:szCs w:val="24"/>
              </w:rPr>
              <w:t>1.0</w:t>
            </w:r>
          </w:p>
          <w:p w14:paraId="3C2CBB25" w14:textId="77777777" w:rsidR="0054644A" w:rsidRPr="009359EA" w:rsidRDefault="00D53593">
            <w:pPr>
              <w:suppressAutoHyphens/>
              <w:spacing w:after="120"/>
              <w:rPr>
                <w:i/>
                <w:sz w:val="20"/>
              </w:rPr>
            </w:pPr>
            <w:r w:rsidRPr="009359EA">
              <w:rPr>
                <w:i/>
                <w:spacing w:val="-3"/>
                <w:sz w:val="20"/>
              </w:rPr>
              <w:t xml:space="preserve">(mandatory by </w:t>
            </w:r>
            <w:proofErr w:type="spellStart"/>
            <w:r w:rsidRPr="009359EA">
              <w:rPr>
                <w:i/>
                <w:spacing w:val="-3"/>
                <w:sz w:val="20"/>
              </w:rPr>
              <w:t>BSCCo</w:t>
            </w:r>
            <w:proofErr w:type="spellEnd"/>
            <w:r w:rsidRPr="009359EA">
              <w:rPr>
                <w:i/>
                <w:spacing w:val="-3"/>
                <w:sz w:val="20"/>
              </w:rPr>
              <w:t>)</w:t>
            </w:r>
          </w:p>
        </w:tc>
      </w:tr>
      <w:tr w:rsidR="0054644A" w:rsidRPr="009359EA" w14:paraId="3608D3FA"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bottom w:val="single" w:sz="4" w:space="0" w:color="auto"/>
            </w:tcBorders>
            <w:tcMar>
              <w:top w:w="57" w:type="dxa"/>
              <w:left w:w="57" w:type="dxa"/>
              <w:bottom w:w="57" w:type="dxa"/>
              <w:right w:w="57" w:type="dxa"/>
            </w:tcMar>
          </w:tcPr>
          <w:p w14:paraId="7290E6C1" w14:textId="77777777" w:rsidR="0054644A" w:rsidRPr="009359EA" w:rsidRDefault="00D53593">
            <w:pPr>
              <w:suppressAutoHyphens/>
              <w:spacing w:after="240"/>
              <w:jc w:val="both"/>
              <w:rPr>
                <w:b/>
                <w:spacing w:val="-3"/>
                <w:szCs w:val="24"/>
              </w:rPr>
            </w:pPr>
            <w:r w:rsidRPr="009359EA">
              <w:rPr>
                <w:b/>
                <w:spacing w:val="-3"/>
                <w:szCs w:val="24"/>
              </w:rPr>
              <w:t>Title (mandatory by originator)</w:t>
            </w:r>
          </w:p>
          <w:p w14:paraId="3BF16051" w14:textId="77777777" w:rsidR="0054644A" w:rsidRPr="0009604A" w:rsidRDefault="00B107AF" w:rsidP="00B107AF">
            <w:pPr>
              <w:suppressAutoHyphens/>
              <w:spacing w:after="240"/>
              <w:jc w:val="both"/>
              <w:rPr>
                <w:spacing w:val="-3"/>
                <w:szCs w:val="24"/>
              </w:rPr>
            </w:pPr>
            <w:r w:rsidRPr="0009604A">
              <w:rPr>
                <w:spacing w:val="-3"/>
                <w:szCs w:val="24"/>
              </w:rPr>
              <w:t>Introducing the CVA Commissioning End-to-End Check (CEEC)</w:t>
            </w:r>
          </w:p>
        </w:tc>
      </w:tr>
      <w:tr w:rsidR="0054644A" w:rsidRPr="009359EA" w14:paraId="4DC630D2" w14:textId="77777777" w:rsidTr="001133BE">
        <w:tblPrEx>
          <w:tblBorders>
            <w:top w:val="single" w:sz="4" w:space="0" w:color="auto"/>
            <w:left w:val="single" w:sz="4" w:space="0" w:color="auto"/>
            <w:bottom w:val="single" w:sz="4" w:space="0" w:color="auto"/>
            <w:right w:val="single" w:sz="4" w:space="0" w:color="auto"/>
          </w:tblBorders>
        </w:tblPrEx>
        <w:tc>
          <w:tcPr>
            <w:tcW w:w="5000" w:type="pct"/>
            <w:gridSpan w:val="2"/>
            <w:tcBorders>
              <w:bottom w:val="nil"/>
            </w:tcBorders>
            <w:tcMar>
              <w:top w:w="57" w:type="dxa"/>
              <w:left w:w="57" w:type="dxa"/>
              <w:bottom w:w="57" w:type="dxa"/>
              <w:right w:w="57" w:type="dxa"/>
            </w:tcMar>
          </w:tcPr>
          <w:p w14:paraId="0BB8DB6A" w14:textId="77777777" w:rsidR="0054644A" w:rsidRPr="009359EA" w:rsidRDefault="00D53593">
            <w:pPr>
              <w:suppressAutoHyphens/>
              <w:jc w:val="both"/>
              <w:rPr>
                <w:spacing w:val="-3"/>
                <w:szCs w:val="24"/>
              </w:rPr>
            </w:pPr>
            <w:r w:rsidRPr="009359EA">
              <w:rPr>
                <w:b/>
                <w:spacing w:val="-3"/>
                <w:szCs w:val="24"/>
              </w:rPr>
              <w:t>Description of Problem/Issue</w:t>
            </w:r>
            <w:r w:rsidRPr="009359EA">
              <w:rPr>
                <w:spacing w:val="-3"/>
                <w:szCs w:val="24"/>
              </w:rPr>
              <w:t xml:space="preserve"> (mandatory by originator)</w:t>
            </w:r>
          </w:p>
        </w:tc>
      </w:tr>
      <w:tr w:rsidR="007F24D9" w:rsidRPr="009359EA" w14:paraId="731ACB2A" w14:textId="77777777" w:rsidTr="001133BE">
        <w:tblPrEx>
          <w:tblBorders>
            <w:top w:val="single" w:sz="4" w:space="0" w:color="auto"/>
            <w:left w:val="single" w:sz="4" w:space="0" w:color="auto"/>
            <w:bottom w:val="single" w:sz="4" w:space="0" w:color="auto"/>
            <w:right w:val="single" w:sz="4" w:space="0" w:color="auto"/>
          </w:tblBorders>
        </w:tblPrEx>
        <w:tc>
          <w:tcPr>
            <w:tcW w:w="5000" w:type="pct"/>
            <w:gridSpan w:val="2"/>
            <w:tcBorders>
              <w:bottom w:val="nil"/>
            </w:tcBorders>
            <w:tcMar>
              <w:top w:w="57" w:type="dxa"/>
              <w:left w:w="57" w:type="dxa"/>
              <w:bottom w:w="57" w:type="dxa"/>
              <w:right w:w="57" w:type="dxa"/>
            </w:tcMar>
          </w:tcPr>
          <w:p w14:paraId="7603C787" w14:textId="54EB25CF" w:rsidR="00A445B4" w:rsidRDefault="001133BE" w:rsidP="007F24D9">
            <w:pPr>
              <w:suppressAutoHyphens/>
              <w:spacing w:after="240"/>
              <w:jc w:val="both"/>
            </w:pPr>
            <w:r>
              <w:t>Central Volume Allocation (</w:t>
            </w:r>
            <w:r w:rsidRPr="001133BE">
              <w:t>CVA</w:t>
            </w:r>
            <w:r>
              <w:t>)</w:t>
            </w:r>
            <w:r w:rsidR="00D42B67">
              <w:t xml:space="preserve"> Metering Systems record flow</w:t>
            </w:r>
            <w:r w:rsidRPr="001133BE">
              <w:t xml:space="preserve"> of energy for large capacity circuits</w:t>
            </w:r>
            <w:r>
              <w:t>,</w:t>
            </w:r>
            <w:r w:rsidRPr="001133BE">
              <w:t xml:space="preserve"> so any undetected Commissioning errors represent a high ri</w:t>
            </w:r>
            <w:r>
              <w:t xml:space="preserve">sk to Settlement. </w:t>
            </w:r>
            <w:r w:rsidR="00372457">
              <w:t>D</w:t>
            </w:r>
            <w:r w:rsidR="00D42B67">
              <w:t>uring an internal review of</w:t>
            </w:r>
            <w:r w:rsidR="00372457">
              <w:t xml:space="preserve"> </w:t>
            </w:r>
            <w:hyperlink r:id="rId8" w:history="1">
              <w:r w:rsidR="00372457" w:rsidRPr="00372457">
                <w:rPr>
                  <w:rStyle w:val="Hyperlink"/>
                </w:rPr>
                <w:t>Trading Dispute DA797</w:t>
              </w:r>
            </w:hyperlink>
            <w:r w:rsidR="00372457">
              <w:rPr>
                <w:rStyle w:val="FootnoteReference"/>
              </w:rPr>
              <w:footnoteReference w:id="1"/>
            </w:r>
            <w:r w:rsidR="00372457">
              <w:t>, i</w:t>
            </w:r>
            <w:r>
              <w:t>n May 2018</w:t>
            </w:r>
            <w:r w:rsidR="00DD6218">
              <w:t>,</w:t>
            </w:r>
            <w:r>
              <w:t xml:space="preserve"> Elexon</w:t>
            </w:r>
            <w:r w:rsidRPr="001133BE">
              <w:t xml:space="preserve"> instigated an informal 'post energisation' check with the Central Data Collection Agent (CDCA). This informal check has already helped </w:t>
            </w:r>
            <w:r w:rsidR="00DD6218">
              <w:t xml:space="preserve">detect a Commissioning error and </w:t>
            </w:r>
            <w:r w:rsidRPr="001133BE">
              <w:t>prevent</w:t>
            </w:r>
            <w:r w:rsidR="00EE340D">
              <w:t>ed</w:t>
            </w:r>
            <w:r w:rsidRPr="001133BE">
              <w:t xml:space="preserve"> a Trading Dispute</w:t>
            </w:r>
            <w:r w:rsidR="00113D9D">
              <w:t xml:space="preserve"> having to be raised (by any BSC Party, including </w:t>
            </w:r>
            <w:proofErr w:type="spellStart"/>
            <w:r w:rsidR="00113D9D">
              <w:t>BSCCo</w:t>
            </w:r>
            <w:proofErr w:type="spellEnd"/>
            <w:r w:rsidR="00113D9D">
              <w:t xml:space="preserve"> and the NETSO) to resolve a Settlement Error</w:t>
            </w:r>
            <w:r w:rsidRPr="001133BE">
              <w:t>.</w:t>
            </w:r>
          </w:p>
          <w:p w14:paraId="474BD4C9" w14:textId="2B953C4F" w:rsidR="007F24D9" w:rsidRDefault="001133BE" w:rsidP="007F24D9">
            <w:pPr>
              <w:suppressAutoHyphens/>
              <w:spacing w:after="240"/>
              <w:jc w:val="both"/>
            </w:pPr>
            <w:r>
              <w:t>Before the registration of a CVA Metering System becomes effect</w:t>
            </w:r>
            <w:r w:rsidR="00780D96">
              <w:t>ive</w:t>
            </w:r>
            <w:r>
              <w:t>, t</w:t>
            </w:r>
            <w:r w:rsidR="007F24D9">
              <w:t>he Registrant of a CVA Metering System needs to ensure the CVA Metering Equipment comprised within it has:</w:t>
            </w:r>
          </w:p>
          <w:p w14:paraId="432EFD75" w14:textId="0D7F20C3" w:rsidR="007F24D9" w:rsidRDefault="007F24D9" w:rsidP="007F24D9">
            <w:pPr>
              <w:pStyle w:val="ListParagraph"/>
              <w:numPr>
                <w:ilvl w:val="0"/>
                <w:numId w:val="36"/>
              </w:numPr>
              <w:suppressAutoHyphens/>
              <w:spacing w:after="240"/>
              <w:jc w:val="both"/>
            </w:pPr>
            <w:r>
              <w:t xml:space="preserve">been installed and commissioned in accordance with </w:t>
            </w:r>
            <w:hyperlink r:id="rId9" w:history="1">
              <w:r w:rsidRPr="001133BE">
                <w:rPr>
                  <w:rStyle w:val="Hyperlink"/>
                </w:rPr>
                <w:t>Code of Practice (</w:t>
              </w:r>
              <w:proofErr w:type="spellStart"/>
              <w:r w:rsidRPr="001133BE">
                <w:rPr>
                  <w:rStyle w:val="Hyperlink"/>
                </w:rPr>
                <w:t>CoP</w:t>
              </w:r>
              <w:proofErr w:type="spellEnd"/>
              <w:r w:rsidRPr="001133BE">
                <w:rPr>
                  <w:rStyle w:val="Hyperlink"/>
                </w:rPr>
                <w:t xml:space="preserve">) 4 </w:t>
              </w:r>
              <w:r w:rsidRPr="001133BE">
                <w:rPr>
                  <w:rStyle w:val="Hyperlink"/>
                  <w:spacing w:val="-3"/>
                  <w:szCs w:val="24"/>
                </w:rPr>
                <w:t>‘</w:t>
              </w:r>
              <w:r w:rsidR="001133BE" w:rsidRPr="001133BE">
                <w:rPr>
                  <w:rStyle w:val="Hyperlink"/>
                  <w:spacing w:val="-3"/>
                  <w:szCs w:val="24"/>
                </w:rPr>
                <w:t>T</w:t>
              </w:r>
              <w:r w:rsidRPr="001133BE">
                <w:rPr>
                  <w:rStyle w:val="Hyperlink"/>
                  <w:spacing w:val="-3"/>
                  <w:szCs w:val="24"/>
                </w:rPr>
                <w:t>he Calibration, Testing and Commissioning Requirements of Metering Equipment for Settlement Purposes’</w:t>
              </w:r>
            </w:hyperlink>
            <w:r w:rsidR="00372457">
              <w:rPr>
                <w:rStyle w:val="FootnoteReference"/>
                <w:color w:val="0000FF"/>
                <w:spacing w:val="-3"/>
                <w:szCs w:val="24"/>
                <w:u w:val="single"/>
              </w:rPr>
              <w:footnoteReference w:id="2"/>
            </w:r>
            <w:r>
              <w:t>; and</w:t>
            </w:r>
          </w:p>
          <w:p w14:paraId="7CBE548E" w14:textId="3CE14CCE" w:rsidR="007F24D9" w:rsidRDefault="007F24D9" w:rsidP="007F24D9">
            <w:pPr>
              <w:pStyle w:val="ListParagraph"/>
              <w:numPr>
                <w:ilvl w:val="0"/>
                <w:numId w:val="36"/>
              </w:numPr>
              <w:suppressAutoHyphens/>
              <w:spacing w:after="240"/>
              <w:jc w:val="both"/>
            </w:pPr>
            <w:r>
              <w:t xml:space="preserve">successfully completed a proving test, in accordance with </w:t>
            </w:r>
            <w:hyperlink r:id="rId10" w:history="1">
              <w:r w:rsidRPr="001133BE">
                <w:rPr>
                  <w:rStyle w:val="Hyperlink"/>
                </w:rPr>
                <w:t>BSCP02 ‘Proving Test Requirements for Central Volume Allocation Metering Systems’</w:t>
              </w:r>
            </w:hyperlink>
            <w:r w:rsidR="00372457">
              <w:rPr>
                <w:rStyle w:val="FootnoteReference"/>
                <w:color w:val="0000FF"/>
                <w:u w:val="single"/>
              </w:rPr>
              <w:footnoteReference w:id="3"/>
            </w:r>
            <w:r>
              <w:t>,</w:t>
            </w:r>
          </w:p>
          <w:p w14:paraId="42E9B228" w14:textId="043ED5A9" w:rsidR="00D42B67" w:rsidRDefault="007F24D9" w:rsidP="007F24D9">
            <w:pPr>
              <w:suppressAutoHyphens/>
              <w:spacing w:after="240"/>
              <w:jc w:val="both"/>
            </w:pPr>
            <w:r>
              <w:t xml:space="preserve">The relevant </w:t>
            </w:r>
            <w:r w:rsidR="00FE17C9">
              <w:t xml:space="preserve">Licensed Distribution </w:t>
            </w:r>
            <w:r>
              <w:t>System Operator</w:t>
            </w:r>
            <w:r w:rsidR="00FE17C9">
              <w:t xml:space="preserve"> (LDSO)</w:t>
            </w:r>
            <w:r>
              <w:t xml:space="preserve"> will not energise (or permit to be energised) the relevant circuit connection until the Balancing and </w:t>
            </w:r>
            <w:r w:rsidR="00C12211">
              <w:t>Settlement Code Company (</w:t>
            </w:r>
            <w:proofErr w:type="spellStart"/>
            <w:r w:rsidR="00C12211">
              <w:t>BSCCo</w:t>
            </w:r>
            <w:proofErr w:type="spellEnd"/>
            <w:r w:rsidR="00C12211">
              <w:t xml:space="preserve">) </w:t>
            </w:r>
            <w:r>
              <w:t>c</w:t>
            </w:r>
            <w:r w:rsidR="00D42B67">
              <w:t>onfirms that the Registrant has:</w:t>
            </w:r>
          </w:p>
          <w:p w14:paraId="6E633466" w14:textId="77777777" w:rsidR="00D42B67" w:rsidRDefault="0063185A" w:rsidP="00D42B67">
            <w:pPr>
              <w:pStyle w:val="ListParagraph"/>
              <w:numPr>
                <w:ilvl w:val="0"/>
                <w:numId w:val="41"/>
              </w:numPr>
              <w:suppressAutoHyphens/>
              <w:spacing w:after="240"/>
              <w:jc w:val="both"/>
            </w:pPr>
            <w:r>
              <w:t>met the requirements of CoP4</w:t>
            </w:r>
            <w:r w:rsidR="00D42B67">
              <w:t>;</w:t>
            </w:r>
          </w:p>
          <w:p w14:paraId="29FC0F62" w14:textId="77777777" w:rsidR="00D42B67" w:rsidRDefault="00D42B67" w:rsidP="00D42B67">
            <w:pPr>
              <w:pStyle w:val="ListParagraph"/>
              <w:numPr>
                <w:ilvl w:val="0"/>
                <w:numId w:val="41"/>
              </w:numPr>
              <w:suppressAutoHyphens/>
              <w:spacing w:after="240"/>
              <w:jc w:val="both"/>
            </w:pPr>
            <w:r>
              <w:t>completed a proving test;</w:t>
            </w:r>
          </w:p>
          <w:p w14:paraId="2F5A8D98" w14:textId="4E81514C" w:rsidR="007F24D9" w:rsidRDefault="007F24D9" w:rsidP="00D42B67">
            <w:pPr>
              <w:pStyle w:val="ListParagraph"/>
              <w:numPr>
                <w:ilvl w:val="0"/>
                <w:numId w:val="41"/>
              </w:numPr>
              <w:suppressAutoHyphens/>
              <w:spacing w:after="240"/>
              <w:jc w:val="both"/>
            </w:pPr>
            <w:r>
              <w:t xml:space="preserve">and has also completed other registration activities, e.g. registered </w:t>
            </w:r>
            <w:r w:rsidR="00A445B4">
              <w:t xml:space="preserve">the </w:t>
            </w:r>
            <w:r w:rsidR="008D56FB">
              <w:t xml:space="preserve">CVA Metering System, the </w:t>
            </w:r>
            <w:r w:rsidR="00D42B67">
              <w:t>Meter Technical Details (MTDs)</w:t>
            </w:r>
          </w:p>
          <w:p w14:paraId="3D473808" w14:textId="2F26379A" w:rsidR="003247CD" w:rsidRDefault="007F24D9" w:rsidP="007F24D9">
            <w:pPr>
              <w:suppressAutoHyphens/>
              <w:spacing w:after="240"/>
              <w:jc w:val="both"/>
            </w:pPr>
            <w:r>
              <w:t>The Registrant is responsible, via the appointed CVA Meter Operator Agent (MOA), for commissioning all the CVA Metering Equipment it registers, unless the Equipment Owner</w:t>
            </w:r>
            <w:r>
              <w:rPr>
                <w:rStyle w:val="FootnoteReference"/>
              </w:rPr>
              <w:footnoteReference w:id="4"/>
            </w:r>
            <w:r w:rsidR="003247CD">
              <w:t xml:space="preserve"> is a BSC Party, and then </w:t>
            </w:r>
            <w:r>
              <w:t>the Equipment Owner must commission the relevant items of CVA Metering Equipment</w:t>
            </w:r>
            <w:r w:rsidR="002D6DE1">
              <w:t xml:space="preserve"> in accordance with CoP4</w:t>
            </w:r>
            <w:r>
              <w:t>, e.g. measurement transformers.</w:t>
            </w:r>
          </w:p>
          <w:p w14:paraId="7C8E1DD1" w14:textId="135A48E8" w:rsidR="007F24D9" w:rsidRPr="009359EA" w:rsidRDefault="007F24D9">
            <w:pPr>
              <w:suppressAutoHyphens/>
              <w:jc w:val="both"/>
              <w:rPr>
                <w:b/>
                <w:spacing w:val="-3"/>
                <w:szCs w:val="24"/>
              </w:rPr>
            </w:pPr>
            <w:r>
              <w:t>CoP4 requires the CVA MOA to confirm that ‘The output of the Metering System correctly records the energy in the primary system at the Defined Metering Point</w:t>
            </w:r>
            <w:r w:rsidR="003247CD">
              <w:t xml:space="preserve"> (DMP)</w:t>
            </w:r>
            <w:r>
              <w:t xml:space="preserve">’. Since different parties can install and commission different items of Metering Equipment (e.g. the </w:t>
            </w:r>
            <w:r>
              <w:lastRenderedPageBreak/>
              <w:t>measurement transformers), the CVA MOA often has to rely on other parties’ commissioning recor</w:t>
            </w:r>
            <w:r w:rsidR="003247CD">
              <w:t>ds</w:t>
            </w:r>
            <w:r>
              <w:t>. In addition, other parties can install and commission those items at different times. This can mean it is not always practicable for the CVA MOA to, ideally, carry out an ‘end-to-end’ commissioning test (e.g. via primary injection testing</w:t>
            </w:r>
            <w:r>
              <w:rPr>
                <w:rStyle w:val="FootnoteReference"/>
              </w:rPr>
              <w:footnoteReference w:id="5"/>
            </w:r>
            <w:r>
              <w:t>) after it installs and commissions the Meters, and prior to the relevant System Operator energising (or permitting the energisation of) the circ</w:t>
            </w:r>
            <w:r w:rsidRPr="00BA3F59">
              <w:t>uit.</w:t>
            </w:r>
          </w:p>
        </w:tc>
      </w:tr>
      <w:tr w:rsidR="0054644A" w:rsidRPr="009359EA" w14:paraId="6517547D"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nil"/>
              <w:bottom w:val="single" w:sz="4" w:space="0" w:color="auto"/>
            </w:tcBorders>
            <w:tcMar>
              <w:top w:w="57" w:type="dxa"/>
              <w:left w:w="57" w:type="dxa"/>
              <w:bottom w:w="57" w:type="dxa"/>
              <w:right w:w="57" w:type="dxa"/>
            </w:tcMar>
          </w:tcPr>
          <w:p w14:paraId="65F10E5B" w14:textId="1B3DB3C3" w:rsidR="007F24D9" w:rsidRDefault="007F24D9" w:rsidP="007F24D9">
            <w:pPr>
              <w:suppressAutoHyphens/>
              <w:spacing w:after="240"/>
              <w:jc w:val="both"/>
            </w:pPr>
            <w:r w:rsidRPr="00BA3F59">
              <w:lastRenderedPageBreak/>
              <w:t>In contrast, Supplier Volume Allocation (SVA) MOAs can commission SVA Metering Equipment after energisation and could carry out a prevailing load test</w:t>
            </w:r>
            <w:r w:rsidRPr="00BA3F59">
              <w:rPr>
                <w:vertAlign w:val="superscript"/>
              </w:rPr>
              <w:footnoteReference w:id="6"/>
            </w:r>
            <w:r w:rsidRPr="00BA3F59">
              <w:t xml:space="preserve"> to confirm the SVA Metering System is recording energy correctly.</w:t>
            </w:r>
          </w:p>
          <w:p w14:paraId="6BC09BE3" w14:textId="77777777" w:rsidR="007F24D9" w:rsidRDefault="007F24D9" w:rsidP="007F24D9">
            <w:pPr>
              <w:suppressAutoHyphens/>
              <w:spacing w:after="240"/>
              <w:jc w:val="both"/>
            </w:pPr>
            <w:r>
              <w:t>If the party responsible for commissioning the relevant items of CVA Metering Equipment does so incorrectly, or not at all, the CVA Metering System may not record energy correctly. Without robust controls in place to mitigate this event, this represents a risk to Settlement.</w:t>
            </w:r>
          </w:p>
          <w:p w14:paraId="3851B4E6" w14:textId="148E4630" w:rsidR="007F24D9" w:rsidRDefault="007F24D9" w:rsidP="007F24D9">
            <w:pPr>
              <w:suppressAutoHyphens/>
              <w:spacing w:after="240"/>
              <w:jc w:val="both"/>
            </w:pPr>
            <w:r>
              <w:t xml:space="preserve">Under the Performance Assurance Framework (PAF), the risk that covers commissioning of CVA Metering Equipment is </w:t>
            </w:r>
            <w:hyperlink r:id="rId11" w:history="1">
              <w:r w:rsidRPr="00090DF9">
                <w:rPr>
                  <w:rStyle w:val="Hyperlink"/>
                </w:rPr>
                <w:t>Risk 020 ‘CVA Metering Equipment is installed, programmed or maintained incorrectly, including where Commissioning is performed incorrectly or not at all’</w:t>
              </w:r>
            </w:hyperlink>
            <w:r w:rsidR="00090DF9">
              <w:rPr>
                <w:rStyle w:val="FootnoteReference"/>
              </w:rPr>
              <w:footnoteReference w:id="7"/>
            </w:r>
            <w:r>
              <w:t>.</w:t>
            </w:r>
          </w:p>
          <w:p w14:paraId="572943B5" w14:textId="2386B56C" w:rsidR="007D5DF2" w:rsidRPr="007F24D9" w:rsidRDefault="007D5DF2" w:rsidP="007D5DF2">
            <w:pPr>
              <w:suppressAutoHyphens/>
              <w:spacing w:after="240"/>
              <w:jc w:val="both"/>
            </w:pPr>
            <w:r>
              <w:t>There is an enduring risk to Settlement if this informal check is not included in the re</w:t>
            </w:r>
            <w:r w:rsidR="00527B12">
              <w:t>levant Code Subsidiary Documents (CSD).</w:t>
            </w:r>
          </w:p>
        </w:tc>
      </w:tr>
      <w:tr w:rsidR="0054644A" w:rsidRPr="009359EA" w14:paraId="325F502E"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bottom w:val="nil"/>
            </w:tcBorders>
            <w:tcMar>
              <w:top w:w="57" w:type="dxa"/>
              <w:left w:w="57" w:type="dxa"/>
              <w:bottom w:w="57" w:type="dxa"/>
              <w:right w:w="57" w:type="dxa"/>
            </w:tcMar>
          </w:tcPr>
          <w:p w14:paraId="4B11222A" w14:textId="77777777" w:rsidR="0054644A" w:rsidRDefault="00D53593">
            <w:pPr>
              <w:suppressAutoHyphens/>
              <w:jc w:val="both"/>
              <w:rPr>
                <w:spacing w:val="-3"/>
                <w:szCs w:val="24"/>
              </w:rPr>
            </w:pPr>
            <w:r w:rsidRPr="009359EA">
              <w:rPr>
                <w:b/>
                <w:spacing w:val="-3"/>
                <w:szCs w:val="24"/>
              </w:rPr>
              <w:lastRenderedPageBreak/>
              <w:t>Proposed Solution (</w:t>
            </w:r>
            <w:r w:rsidRPr="009359EA">
              <w:rPr>
                <w:spacing w:val="-3"/>
                <w:szCs w:val="24"/>
              </w:rPr>
              <w:t>mandatory by originator)</w:t>
            </w:r>
          </w:p>
          <w:p w14:paraId="6B588E88" w14:textId="77777777" w:rsidR="007F6899" w:rsidRDefault="007F6899" w:rsidP="007F6899"/>
          <w:p w14:paraId="3F60D91D" w14:textId="78A0CB6B" w:rsidR="00B56310" w:rsidRDefault="00B56310" w:rsidP="00802FCE">
            <w:r>
              <w:t>This Change Proposal (CP) proposes to formally recognise</w:t>
            </w:r>
            <w:r w:rsidR="002D652A">
              <w:t xml:space="preserve"> the CVA End to End Check (CEEC)</w:t>
            </w:r>
            <w:r>
              <w:t>, in BSCP02</w:t>
            </w:r>
            <w:r w:rsidR="00C71FF1">
              <w:t>,</w:t>
            </w:r>
            <w:r w:rsidR="00FE58A1">
              <w:t xml:space="preserve"> </w:t>
            </w:r>
            <w:hyperlink r:id="rId12" w:history="1">
              <w:r w:rsidR="00FE58A1" w:rsidRPr="00C71FF1">
                <w:rPr>
                  <w:rStyle w:val="Hyperlink"/>
                </w:rPr>
                <w:t>BSCP20</w:t>
              </w:r>
            </w:hyperlink>
            <w:r w:rsidR="00C71FF1">
              <w:t xml:space="preserve"> </w:t>
            </w:r>
            <w:hyperlink r:id="rId13" w:history="1">
              <w:r w:rsidR="00C71FF1" w:rsidRPr="002D652A">
                <w:rPr>
                  <w:rStyle w:val="Hyperlink"/>
                </w:rPr>
                <w:t>‘Registration of Metering Systems for Central Volume Allocation’</w:t>
              </w:r>
            </w:hyperlink>
            <w:r w:rsidR="00C71FF1">
              <w:rPr>
                <w:rStyle w:val="FootnoteReference"/>
              </w:rPr>
              <w:footnoteReference w:id="8"/>
            </w:r>
            <w:r w:rsidR="00C71FF1">
              <w:t xml:space="preserve"> and CoP4</w:t>
            </w:r>
            <w:r w:rsidR="009C12EA">
              <w:t xml:space="preserve">, placing obligations on the CDCA and </w:t>
            </w:r>
            <w:r w:rsidR="00FE17C9">
              <w:t xml:space="preserve">CVA </w:t>
            </w:r>
            <w:r w:rsidR="009C12EA">
              <w:t>Registrant</w:t>
            </w:r>
            <w:r w:rsidR="00FE17C9">
              <w:t xml:space="preserve"> to complete the CEEC, where applicable.</w:t>
            </w:r>
          </w:p>
          <w:p w14:paraId="7BC46F1E" w14:textId="725641C0" w:rsidR="00802FCE" w:rsidRDefault="00802FCE" w:rsidP="00802FCE">
            <w:pPr>
              <w:rPr>
                <w:color w:val="000000"/>
              </w:rPr>
            </w:pPr>
          </w:p>
          <w:p w14:paraId="5C052A55" w14:textId="77777777" w:rsidR="00090DF9" w:rsidRDefault="00090DF9" w:rsidP="00090DF9">
            <w:pPr>
              <w:rPr>
                <w:color w:val="000000"/>
              </w:rPr>
            </w:pPr>
            <w:r>
              <w:rPr>
                <w:color w:val="000000"/>
              </w:rPr>
              <w:t>The high level process shall include the following activities:</w:t>
            </w:r>
          </w:p>
          <w:p w14:paraId="4D35E29C" w14:textId="77777777" w:rsidR="00090DF9" w:rsidRDefault="00090DF9" w:rsidP="00090DF9">
            <w:pPr>
              <w:rPr>
                <w:color w:val="000000"/>
              </w:rPr>
            </w:pPr>
          </w:p>
          <w:p w14:paraId="27434B72" w14:textId="5F9ABE77" w:rsidR="00090DF9" w:rsidRPr="00295AA8" w:rsidRDefault="00090DF9" w:rsidP="00090DF9">
            <w:pPr>
              <w:pStyle w:val="ListParagraph"/>
              <w:numPr>
                <w:ilvl w:val="0"/>
                <w:numId w:val="38"/>
              </w:numPr>
            </w:pPr>
            <w:r>
              <w:rPr>
                <w:color w:val="000000"/>
              </w:rPr>
              <w:t>T</w:t>
            </w:r>
            <w:r w:rsidRPr="00295AA8">
              <w:rPr>
                <w:color w:val="000000"/>
              </w:rPr>
              <w:t xml:space="preserve">he CDCA checking the metered data for these new (or post transfer) circuits each month </w:t>
            </w:r>
            <w:r w:rsidR="00616E95">
              <w:rPr>
                <w:color w:val="000000"/>
              </w:rPr>
              <w:t xml:space="preserve">week, from the date agreed with the CVA Registrant </w:t>
            </w:r>
            <w:r w:rsidRPr="00295AA8">
              <w:rPr>
                <w:color w:val="000000"/>
              </w:rPr>
              <w:t>to identify when energy begi</w:t>
            </w:r>
            <w:r w:rsidR="002D652A">
              <w:rPr>
                <w:color w:val="000000"/>
              </w:rPr>
              <w:t>ns to flow (Imports or Exports);</w:t>
            </w:r>
            <w:r w:rsidRPr="00295AA8">
              <w:rPr>
                <w:color w:val="000000"/>
              </w:rPr>
              <w:t xml:space="preserve"> </w:t>
            </w:r>
          </w:p>
          <w:p w14:paraId="5BB226E9" w14:textId="47F684EA" w:rsidR="00090DF9" w:rsidRPr="00295AA8" w:rsidRDefault="00090DF9" w:rsidP="00090DF9">
            <w:pPr>
              <w:pStyle w:val="ListParagraph"/>
              <w:numPr>
                <w:ilvl w:val="0"/>
                <w:numId w:val="38"/>
              </w:numPr>
            </w:pPr>
            <w:r w:rsidRPr="00295AA8">
              <w:rPr>
                <w:color w:val="000000"/>
              </w:rPr>
              <w:t>The CDCA then submits a sample of Half Hourly (HH) data from each channel of the CVA Outstation(s) to the Registrant and asks the</w:t>
            </w:r>
            <w:r>
              <w:rPr>
                <w:color w:val="000000"/>
              </w:rPr>
              <w:t>m</w:t>
            </w:r>
            <w:r w:rsidRPr="00295AA8">
              <w:rPr>
                <w:color w:val="000000"/>
              </w:rPr>
              <w:t xml:space="preserve"> to confirm that the CVA Metering System is recording energy with the same order of magnitude, and in the corr</w:t>
            </w:r>
            <w:r w:rsidR="002D652A">
              <w:rPr>
                <w:color w:val="000000"/>
              </w:rPr>
              <w:t>ect direction, to that expected;</w:t>
            </w:r>
          </w:p>
          <w:p w14:paraId="5C8B91F5" w14:textId="4D74F7BD" w:rsidR="00090DF9" w:rsidRDefault="00090DF9" w:rsidP="00090DF9">
            <w:pPr>
              <w:pStyle w:val="ListParagraph"/>
              <w:numPr>
                <w:ilvl w:val="0"/>
                <w:numId w:val="38"/>
              </w:numPr>
            </w:pPr>
            <w:r>
              <w:t>The CDCA recommends, wherever possible, that the Registrant compares the HH readings prov</w:t>
            </w:r>
            <w:r w:rsidR="002D652A">
              <w:t>ided</w:t>
            </w:r>
            <w:r w:rsidRPr="00295AA8">
              <w:rPr>
                <w:color w:val="000000"/>
              </w:rPr>
              <w:t xml:space="preserve"> </w:t>
            </w:r>
            <w:r w:rsidR="002D652A">
              <w:t>with</w:t>
            </w:r>
            <w:r>
              <w:t xml:space="preserve"> readings from </w:t>
            </w:r>
            <w:r w:rsidRPr="00295AA8">
              <w:rPr>
                <w:color w:val="000000"/>
              </w:rPr>
              <w:t xml:space="preserve">an independent measurement source from the Settlement measurement transformers, e.g. </w:t>
            </w:r>
            <w:r>
              <w:t>independent transducers</w:t>
            </w:r>
            <w:r>
              <w:rPr>
                <w:rStyle w:val="FootnoteReference"/>
              </w:rPr>
              <w:footnoteReference w:id="9"/>
            </w:r>
            <w:r>
              <w:t xml:space="preserve"> used as part of a </w:t>
            </w:r>
            <w:r w:rsidRPr="00D16511">
              <w:t>Substation Control System</w:t>
            </w:r>
            <w:r>
              <w:t xml:space="preserve"> (SCS)</w:t>
            </w:r>
            <w:r w:rsidRPr="00D16511">
              <w:t xml:space="preserve"> or </w:t>
            </w:r>
            <w:r>
              <w:t xml:space="preserve">a Supervisory Control and </w:t>
            </w:r>
            <w:r w:rsidR="002D652A">
              <w:t>Data Acquisition (SCADA) system; and</w:t>
            </w:r>
            <w:r>
              <w:t xml:space="preserve"> </w:t>
            </w:r>
          </w:p>
          <w:p w14:paraId="716B519F" w14:textId="2F588949" w:rsidR="00090DF9" w:rsidRDefault="00090DF9" w:rsidP="00090DF9">
            <w:pPr>
              <w:pStyle w:val="ListParagraph"/>
              <w:numPr>
                <w:ilvl w:val="0"/>
                <w:numId w:val="38"/>
              </w:numPr>
            </w:pPr>
            <w:r>
              <w:t xml:space="preserve">The CDCA </w:t>
            </w:r>
            <w:r w:rsidR="002D652A">
              <w:t xml:space="preserve">ensures the Registrant </w:t>
            </w:r>
            <w:r>
              <w:t xml:space="preserve">confirms the </w:t>
            </w:r>
            <w:r w:rsidR="002D652A">
              <w:t xml:space="preserve">status of the circuit (correct or incorrect </w:t>
            </w:r>
            <w:r>
              <w:t>data</w:t>
            </w:r>
            <w:r w:rsidR="002D652A">
              <w:t xml:space="preserve"> </w:t>
            </w:r>
            <w:r>
              <w:t>(at which point the Registrant proceeds to correct the underlying issue)</w:t>
            </w:r>
            <w:r w:rsidR="002D652A">
              <w:t>)</w:t>
            </w:r>
            <w:r>
              <w:t>. If</w:t>
            </w:r>
            <w:r w:rsidR="002D652A">
              <w:t xml:space="preserve"> the Registrant fails to respond</w:t>
            </w:r>
            <w:r>
              <w:t xml:space="preserve"> after three </w:t>
            </w:r>
            <w:r w:rsidR="002D652A">
              <w:t>attempts</w:t>
            </w:r>
            <w:r>
              <w:t xml:space="preserve">, the CDCA escalates the issue to </w:t>
            </w:r>
            <w:proofErr w:type="spellStart"/>
            <w:r>
              <w:t>BSCCo</w:t>
            </w:r>
            <w:proofErr w:type="spellEnd"/>
            <w:r>
              <w:t>.</w:t>
            </w:r>
          </w:p>
          <w:p w14:paraId="0F249DB2" w14:textId="77777777" w:rsidR="00802FCE" w:rsidRDefault="00802FCE" w:rsidP="00802FCE"/>
          <w:p w14:paraId="0AC265C6" w14:textId="1AA066AD" w:rsidR="007F6899" w:rsidRDefault="00B4591B" w:rsidP="00B125EB">
            <w:r>
              <w:t>This CP also proposes to expand the scope of th</w:t>
            </w:r>
            <w:r w:rsidR="004F26D0">
              <w:t>is</w:t>
            </w:r>
            <w:r>
              <w:t xml:space="preserve"> check to include existing CVA metered circuits where parties replace/reconfigure certain items of </w:t>
            </w:r>
            <w:r w:rsidR="00DC32AC">
              <w:t xml:space="preserve">CVA </w:t>
            </w:r>
            <w:r>
              <w:t>Metering Equipment, which could affect the integrity of the CVA Metering System. For example, replacing/reconfiguring both</w:t>
            </w:r>
            <w:r w:rsidR="00DC32AC">
              <w:t>,</w:t>
            </w:r>
            <w:r>
              <w:t xml:space="preserve"> duplicated</w:t>
            </w:r>
            <w:r w:rsidR="00B125EB">
              <w:t>,</w:t>
            </w:r>
            <w:r>
              <w:t xml:space="preserve"> items of Metering Equipment or </w:t>
            </w:r>
            <w:r w:rsidR="00DC32AC">
              <w:t xml:space="preserve">a </w:t>
            </w:r>
            <w:r>
              <w:t xml:space="preserve">non-duplicated item </w:t>
            </w:r>
            <w:r w:rsidR="00954DA5">
              <w:t>of Metering Equipment</w:t>
            </w:r>
            <w:r>
              <w:t>.</w:t>
            </w:r>
          </w:p>
          <w:p w14:paraId="168FC208" w14:textId="59A91EFA" w:rsidR="00527B12" w:rsidRDefault="00527B12" w:rsidP="00B125EB"/>
          <w:p w14:paraId="13941110" w14:textId="084CF58E" w:rsidR="00B125EB" w:rsidRPr="002923A5" w:rsidRDefault="00527B12" w:rsidP="00B125EB">
            <w:r>
              <w:t xml:space="preserve">It is proposed that registration transfers from SVA to CVA are excluded from the CEEC as </w:t>
            </w:r>
            <w:hyperlink r:id="rId14" w:history="1">
              <w:r w:rsidRPr="00527B12">
                <w:rPr>
                  <w:rStyle w:val="Hyperlink"/>
                </w:rPr>
                <w:t>BSCP68 ‘Transfer of Registration of Metering Systems between CMRS and SMRS’</w:t>
              </w:r>
            </w:hyperlink>
            <w:r>
              <w:t xml:space="preserve"> currently has</w:t>
            </w:r>
            <w:r w:rsidR="006D70A3">
              <w:t xml:space="preserve"> a process step (3.1.1.44) where the relevant </w:t>
            </w:r>
            <w:r w:rsidR="006D70A3" w:rsidRPr="006D70A3">
              <w:t>Licensed Distribution System Operator</w:t>
            </w:r>
            <w:r w:rsidR="006D70A3">
              <w:t xml:space="preserve"> confirms to the Transfer Co-ordinator that the data values before and after transfer are comparable and acceptable. The CEEC would be an unnecessary duplication of this process.</w:t>
            </w:r>
          </w:p>
        </w:tc>
      </w:tr>
      <w:tr w:rsidR="0054644A" w:rsidRPr="009359EA" w14:paraId="5E9383D1"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bottom w:val="nil"/>
            </w:tcBorders>
            <w:tcMar>
              <w:top w:w="57" w:type="dxa"/>
              <w:left w:w="57" w:type="dxa"/>
              <w:bottom w:w="57" w:type="dxa"/>
              <w:right w:w="57" w:type="dxa"/>
            </w:tcMar>
          </w:tcPr>
          <w:p w14:paraId="5B4AC5CF" w14:textId="77777777" w:rsidR="0054644A" w:rsidRPr="009359EA" w:rsidRDefault="00D53593">
            <w:pPr>
              <w:suppressAutoHyphens/>
              <w:jc w:val="both"/>
              <w:rPr>
                <w:spacing w:val="-3"/>
                <w:szCs w:val="24"/>
              </w:rPr>
            </w:pPr>
            <w:r w:rsidRPr="009359EA">
              <w:rPr>
                <w:b/>
                <w:spacing w:val="-3"/>
                <w:szCs w:val="24"/>
              </w:rPr>
              <w:t xml:space="preserve">Justification for Change </w:t>
            </w:r>
            <w:r w:rsidRPr="009359EA">
              <w:rPr>
                <w:spacing w:val="-3"/>
                <w:szCs w:val="24"/>
              </w:rPr>
              <w:t>(mandatory by originator)</w:t>
            </w:r>
          </w:p>
        </w:tc>
      </w:tr>
      <w:tr w:rsidR="002923A5" w:rsidRPr="009359EA" w14:paraId="2D47FFF8"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bottom w:val="nil"/>
            </w:tcBorders>
            <w:tcMar>
              <w:top w:w="57" w:type="dxa"/>
              <w:left w:w="57" w:type="dxa"/>
              <w:bottom w:w="57" w:type="dxa"/>
              <w:right w:w="57" w:type="dxa"/>
            </w:tcMar>
          </w:tcPr>
          <w:p w14:paraId="16FE1A6A" w14:textId="1986D731" w:rsidR="002923A5" w:rsidRPr="002923A5" w:rsidRDefault="002923A5" w:rsidP="002923A5">
            <w:pPr>
              <w:suppressAutoHyphens/>
              <w:spacing w:after="240"/>
              <w:jc w:val="both"/>
            </w:pPr>
            <w:r>
              <w:t>Although commissioning issues in CVA are rare, when they do happen they usually result in very high materiality impacts to Settlement. In addition, commissioning issues can go unidentified for long periods, which would further increase the materiality.</w:t>
            </w:r>
          </w:p>
        </w:tc>
      </w:tr>
      <w:tr w:rsidR="0054644A" w:rsidRPr="009359EA" w14:paraId="74E4E646"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nil"/>
              <w:bottom w:val="single" w:sz="4" w:space="0" w:color="auto"/>
            </w:tcBorders>
            <w:tcMar>
              <w:top w:w="57" w:type="dxa"/>
              <w:left w:w="57" w:type="dxa"/>
              <w:bottom w:w="57" w:type="dxa"/>
              <w:right w:w="57" w:type="dxa"/>
            </w:tcMar>
          </w:tcPr>
          <w:p w14:paraId="736219DC" w14:textId="398EBCB9" w:rsidR="002B42CA" w:rsidRDefault="001A0BC8" w:rsidP="007F6899">
            <w:pPr>
              <w:suppressAutoHyphens/>
              <w:spacing w:after="240"/>
              <w:jc w:val="both"/>
            </w:pPr>
            <w:r>
              <w:lastRenderedPageBreak/>
              <w:t xml:space="preserve">In the case of Trading Dispute DA797, </w:t>
            </w:r>
            <w:r w:rsidR="007F742F">
              <w:t xml:space="preserve">the root cause </w:t>
            </w:r>
            <w:r w:rsidR="00FF7A07">
              <w:t xml:space="preserve">identified </w:t>
            </w:r>
            <w:r w:rsidR="007F742F">
              <w:t xml:space="preserve">was that the wiring from the measurement transformers to the Meters </w:t>
            </w:r>
            <w:proofErr w:type="gramStart"/>
            <w:r w:rsidR="007679FB">
              <w:t>was</w:t>
            </w:r>
            <w:r w:rsidR="00ED00A4">
              <w:t xml:space="preserve"> </w:t>
            </w:r>
            <w:r w:rsidR="006D70A3">
              <w:t>reversed</w:t>
            </w:r>
            <w:proofErr w:type="gramEnd"/>
            <w:r w:rsidR="001C407E">
              <w:t>. This resulted in</w:t>
            </w:r>
            <w:r w:rsidR="007F742F">
              <w:t xml:space="preserve"> the CVA Metering System record</w:t>
            </w:r>
            <w:r w:rsidR="001C407E">
              <w:t>ing</w:t>
            </w:r>
            <w:r w:rsidR="007F742F">
              <w:t xml:space="preserve"> Exports instead of Imports at a Grid Supply Point. I</w:t>
            </w:r>
            <w:r>
              <w:t xml:space="preserve">t took the Registrant two years to raise the Trading Dispute from the point the System Operator re-energised the existing circuit. </w:t>
            </w:r>
            <w:r w:rsidR="007F742F">
              <w:t>T</w:t>
            </w:r>
            <w:r w:rsidR="00D37AD8">
              <w:t>he Trading Disputes Committee</w:t>
            </w:r>
            <w:r w:rsidR="00A9732C">
              <w:t xml:space="preserve"> (TDC)</w:t>
            </w:r>
            <w:r w:rsidR="00D37AD8">
              <w:t xml:space="preserve"> upheld the Trading </w:t>
            </w:r>
            <w:r w:rsidR="00F92264">
              <w:t>Dispute</w:t>
            </w:r>
            <w:r w:rsidR="007F742F">
              <w:t xml:space="preserve"> and t</w:t>
            </w:r>
            <w:r w:rsidR="00F92264">
              <w:t>he</w:t>
            </w:r>
            <w:r w:rsidR="00A9732C">
              <w:t xml:space="preserve"> materiality of</w:t>
            </w:r>
            <w:r w:rsidR="00F92264">
              <w:t xml:space="preserve"> the </w:t>
            </w:r>
            <w:r w:rsidR="00A27F2C">
              <w:t>‘</w:t>
            </w:r>
            <w:r w:rsidR="00F92264">
              <w:t>correctable</w:t>
            </w:r>
            <w:r w:rsidR="00A27F2C">
              <w:t>’</w:t>
            </w:r>
            <w:r w:rsidR="00F92264">
              <w:t xml:space="preserve"> Settlement Error</w:t>
            </w:r>
            <w:r w:rsidR="00D37AD8">
              <w:t xml:space="preserve"> </w:t>
            </w:r>
            <w:r w:rsidR="00F92264">
              <w:t xml:space="preserve">was </w:t>
            </w:r>
            <w:r w:rsidR="00D37AD8">
              <w:t>£25m</w:t>
            </w:r>
            <w:r w:rsidR="00F92264">
              <w:t xml:space="preserve"> (</w:t>
            </w:r>
            <w:r w:rsidR="00D37AD8">
              <w:t>£23.6</w:t>
            </w:r>
            <w:r w:rsidR="00D4734B">
              <w:t>m</w:t>
            </w:r>
            <w:r w:rsidR="00D37AD8">
              <w:t xml:space="preserve"> of which was due to the TDC agreeing exceptional circumstances</w:t>
            </w:r>
            <w:r w:rsidR="00F92264">
              <w:t>)</w:t>
            </w:r>
            <w:r w:rsidR="00D37AD8">
              <w:t>. £5</w:t>
            </w:r>
            <w:r w:rsidR="00F92264">
              <w:t>.25</w:t>
            </w:r>
            <w:r w:rsidR="00D37AD8">
              <w:t xml:space="preserve">m </w:t>
            </w:r>
            <w:r w:rsidR="00F92264">
              <w:t xml:space="preserve">worth </w:t>
            </w:r>
            <w:r w:rsidR="00D37AD8">
              <w:t xml:space="preserve">of Settlement Error was </w:t>
            </w:r>
            <w:r w:rsidR="00CA2267">
              <w:t>invalid,</w:t>
            </w:r>
            <w:r w:rsidR="00F92264" w:rsidRPr="00F92264">
              <w:t xml:space="preserve"> </w:t>
            </w:r>
            <w:r w:rsidR="00F92264">
              <w:t xml:space="preserve">as it had </w:t>
            </w:r>
            <w:r w:rsidR="00F92264" w:rsidRPr="00F92264">
              <w:t xml:space="preserve">missed </w:t>
            </w:r>
            <w:r w:rsidR="00F92264">
              <w:t xml:space="preserve">the </w:t>
            </w:r>
            <w:r w:rsidR="00F92264" w:rsidRPr="00F92264">
              <w:t>valid Dispute Deadlines</w:t>
            </w:r>
            <w:r w:rsidR="00D37AD8">
              <w:t>.</w:t>
            </w:r>
          </w:p>
          <w:p w14:paraId="1586F154" w14:textId="54B515B3" w:rsidR="00542F40" w:rsidRPr="00895736" w:rsidRDefault="002B42CA" w:rsidP="00D842F4">
            <w:pPr>
              <w:suppressAutoHyphens/>
              <w:spacing w:after="240"/>
              <w:jc w:val="both"/>
              <w:rPr>
                <w:b/>
                <w:spacing w:val="-3"/>
                <w:szCs w:val="24"/>
              </w:rPr>
            </w:pPr>
            <w:r>
              <w:t>F</w:t>
            </w:r>
            <w:r w:rsidRPr="00D0409C">
              <w:rPr>
                <w:spacing w:val="-3"/>
                <w:szCs w:val="24"/>
              </w:rPr>
              <w:t>ormalis</w:t>
            </w:r>
            <w:r>
              <w:rPr>
                <w:spacing w:val="-3"/>
                <w:szCs w:val="24"/>
              </w:rPr>
              <w:t xml:space="preserve">ing the existing </w:t>
            </w:r>
            <w:r w:rsidR="00A20CD9">
              <w:rPr>
                <w:spacing w:val="-3"/>
                <w:szCs w:val="24"/>
              </w:rPr>
              <w:t>(</w:t>
            </w:r>
            <w:r>
              <w:rPr>
                <w:spacing w:val="-3"/>
                <w:szCs w:val="24"/>
              </w:rPr>
              <w:t>informal</w:t>
            </w:r>
            <w:r w:rsidR="00A20CD9">
              <w:rPr>
                <w:spacing w:val="-3"/>
                <w:szCs w:val="24"/>
              </w:rPr>
              <w:t>)</w:t>
            </w:r>
            <w:r>
              <w:rPr>
                <w:spacing w:val="-3"/>
                <w:szCs w:val="24"/>
              </w:rPr>
              <w:t xml:space="preserve"> process</w:t>
            </w:r>
            <w:r w:rsidR="00B04C5C">
              <w:rPr>
                <w:spacing w:val="-3"/>
                <w:szCs w:val="24"/>
              </w:rPr>
              <w:t xml:space="preserve"> with the exception of </w:t>
            </w:r>
            <w:r w:rsidR="00B04C5C" w:rsidRPr="00B04C5C">
              <w:rPr>
                <w:spacing w:val="-3"/>
                <w:szCs w:val="24"/>
              </w:rPr>
              <w:t>registration transfers from SVA to CVA</w:t>
            </w:r>
            <w:r w:rsidR="00A20CD9">
              <w:rPr>
                <w:spacing w:val="-3"/>
                <w:szCs w:val="24"/>
              </w:rPr>
              <w:t>,</w:t>
            </w:r>
            <w:r>
              <w:rPr>
                <w:spacing w:val="-3"/>
                <w:szCs w:val="24"/>
              </w:rPr>
              <w:t xml:space="preserve"> </w:t>
            </w:r>
            <w:r w:rsidRPr="00D0409C">
              <w:rPr>
                <w:spacing w:val="-3"/>
                <w:szCs w:val="24"/>
              </w:rPr>
              <w:t>and expand</w:t>
            </w:r>
            <w:r>
              <w:rPr>
                <w:spacing w:val="-3"/>
                <w:szCs w:val="24"/>
              </w:rPr>
              <w:t>ing its scope to include other commissioning scenarios</w:t>
            </w:r>
            <w:r w:rsidR="00A20CD9">
              <w:rPr>
                <w:spacing w:val="-3"/>
                <w:szCs w:val="24"/>
              </w:rPr>
              <w:t>,</w:t>
            </w:r>
            <w:r>
              <w:rPr>
                <w:spacing w:val="-3"/>
                <w:szCs w:val="24"/>
              </w:rPr>
              <w:t xml:space="preserve"> will provide greater assurance </w:t>
            </w:r>
            <w:r w:rsidR="00C70BE3">
              <w:rPr>
                <w:spacing w:val="-3"/>
                <w:szCs w:val="24"/>
              </w:rPr>
              <w:t xml:space="preserve">to </w:t>
            </w:r>
            <w:r w:rsidR="00B35054">
              <w:rPr>
                <w:spacing w:val="-3"/>
                <w:szCs w:val="24"/>
              </w:rPr>
              <w:t xml:space="preserve">BSC </w:t>
            </w:r>
            <w:r>
              <w:rPr>
                <w:spacing w:val="-3"/>
                <w:szCs w:val="24"/>
              </w:rPr>
              <w:t xml:space="preserve">Parties that </w:t>
            </w:r>
            <w:r w:rsidR="001C407E">
              <w:rPr>
                <w:spacing w:val="-3"/>
                <w:szCs w:val="24"/>
              </w:rPr>
              <w:t xml:space="preserve">the CDCA and </w:t>
            </w:r>
            <w:proofErr w:type="spellStart"/>
            <w:r w:rsidR="00B35054">
              <w:rPr>
                <w:spacing w:val="-3"/>
                <w:szCs w:val="24"/>
              </w:rPr>
              <w:t>BSCCo</w:t>
            </w:r>
            <w:proofErr w:type="spellEnd"/>
            <w:r w:rsidR="001C407E">
              <w:rPr>
                <w:spacing w:val="-3"/>
                <w:szCs w:val="24"/>
              </w:rPr>
              <w:t xml:space="preserve"> are </w:t>
            </w:r>
            <w:r w:rsidR="00FF7A07">
              <w:rPr>
                <w:spacing w:val="-3"/>
                <w:szCs w:val="24"/>
              </w:rPr>
              <w:t xml:space="preserve">doing more to </w:t>
            </w:r>
            <w:r>
              <w:rPr>
                <w:spacing w:val="-3"/>
                <w:szCs w:val="24"/>
              </w:rPr>
              <w:t>protect the integrity of Settlement</w:t>
            </w:r>
            <w:r w:rsidR="00FF7A07">
              <w:rPr>
                <w:spacing w:val="-3"/>
                <w:szCs w:val="24"/>
              </w:rPr>
              <w:t xml:space="preserve">. </w:t>
            </w:r>
          </w:p>
        </w:tc>
      </w:tr>
      <w:tr w:rsidR="0054644A" w:rsidRPr="009359EA" w14:paraId="4DD94226"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bottom w:val="nil"/>
            </w:tcBorders>
            <w:tcMar>
              <w:top w:w="57" w:type="dxa"/>
              <w:left w:w="57" w:type="dxa"/>
              <w:bottom w:w="57" w:type="dxa"/>
              <w:right w:w="57" w:type="dxa"/>
            </w:tcMar>
          </w:tcPr>
          <w:p w14:paraId="0C630591" w14:textId="77777777" w:rsidR="0054644A" w:rsidRPr="009359EA" w:rsidRDefault="00D53593">
            <w:pPr>
              <w:suppressAutoHyphens/>
              <w:jc w:val="both"/>
              <w:rPr>
                <w:spacing w:val="-3"/>
                <w:szCs w:val="24"/>
              </w:rPr>
            </w:pPr>
            <w:r w:rsidRPr="009359EA">
              <w:rPr>
                <w:b/>
                <w:spacing w:val="-3"/>
                <w:szCs w:val="24"/>
              </w:rPr>
              <w:t xml:space="preserve">To which section of the Code does the CP relate, and does the CP facilitate the current provisions of the Code? </w:t>
            </w:r>
            <w:r w:rsidRPr="009359EA">
              <w:rPr>
                <w:spacing w:val="-3"/>
                <w:szCs w:val="24"/>
              </w:rPr>
              <w:t>(mandatory by originator)</w:t>
            </w:r>
          </w:p>
        </w:tc>
      </w:tr>
      <w:tr w:rsidR="0054644A" w:rsidRPr="009359EA" w14:paraId="79D37778"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nil"/>
              <w:bottom w:val="single" w:sz="4" w:space="0" w:color="auto"/>
            </w:tcBorders>
            <w:tcMar>
              <w:top w:w="57" w:type="dxa"/>
              <w:left w:w="57" w:type="dxa"/>
              <w:bottom w:w="57" w:type="dxa"/>
              <w:right w:w="57" w:type="dxa"/>
            </w:tcMar>
          </w:tcPr>
          <w:p w14:paraId="22CB87AB" w14:textId="798E5D79" w:rsidR="00B072EA" w:rsidRPr="00ED00A4" w:rsidRDefault="008573B6" w:rsidP="00ED00A4">
            <w:pPr>
              <w:pStyle w:val="ListParagraph"/>
              <w:numPr>
                <w:ilvl w:val="0"/>
                <w:numId w:val="39"/>
              </w:numPr>
              <w:suppressAutoHyphens/>
              <w:spacing w:after="240"/>
              <w:jc w:val="both"/>
              <w:rPr>
                <w:spacing w:val="-3"/>
                <w:szCs w:val="24"/>
              </w:rPr>
            </w:pPr>
            <w:hyperlink r:id="rId15" w:history="1">
              <w:r w:rsidR="00B072EA" w:rsidRPr="00ED00A4">
                <w:rPr>
                  <w:rStyle w:val="Hyperlink"/>
                  <w:spacing w:val="-3"/>
                  <w:szCs w:val="24"/>
                </w:rPr>
                <w:t>Section L ‘Metering’</w:t>
              </w:r>
            </w:hyperlink>
          </w:p>
          <w:p w14:paraId="7520791E" w14:textId="4B79BEA5" w:rsidR="00795243" w:rsidRPr="00ED00A4" w:rsidRDefault="008573B6" w:rsidP="00ED00A4">
            <w:pPr>
              <w:pStyle w:val="ListParagraph"/>
              <w:numPr>
                <w:ilvl w:val="0"/>
                <w:numId w:val="39"/>
              </w:numPr>
              <w:suppressAutoHyphens/>
              <w:spacing w:after="240"/>
              <w:jc w:val="both"/>
              <w:rPr>
                <w:b/>
                <w:spacing w:val="-3"/>
                <w:szCs w:val="24"/>
              </w:rPr>
            </w:pPr>
            <w:hyperlink r:id="rId16" w:history="1">
              <w:r w:rsidR="00795243" w:rsidRPr="00ED00A4">
                <w:rPr>
                  <w:rStyle w:val="Hyperlink"/>
                  <w:spacing w:val="-3"/>
                  <w:szCs w:val="24"/>
                </w:rPr>
                <w:t>Section K ‘</w:t>
              </w:r>
              <w:r w:rsidR="00795243" w:rsidRPr="00077CC6">
                <w:rPr>
                  <w:rStyle w:val="Hyperlink"/>
                </w:rPr>
                <w:t>Classification and Registration of Metering Systems and BM Units’</w:t>
              </w:r>
            </w:hyperlink>
          </w:p>
        </w:tc>
      </w:tr>
      <w:tr w:rsidR="0054644A" w:rsidRPr="009359EA" w14:paraId="1D588472"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bottom w:val="nil"/>
            </w:tcBorders>
            <w:tcMar>
              <w:top w:w="57" w:type="dxa"/>
              <w:left w:w="57" w:type="dxa"/>
              <w:bottom w:w="57" w:type="dxa"/>
              <w:right w:w="57" w:type="dxa"/>
            </w:tcMar>
          </w:tcPr>
          <w:p w14:paraId="409B354C" w14:textId="77777777" w:rsidR="0054644A" w:rsidRPr="009359EA" w:rsidRDefault="00D53593">
            <w:pPr>
              <w:suppressAutoHyphens/>
              <w:jc w:val="both"/>
              <w:rPr>
                <w:b/>
                <w:spacing w:val="-3"/>
                <w:szCs w:val="24"/>
              </w:rPr>
            </w:pPr>
            <w:r w:rsidRPr="009359EA">
              <w:rPr>
                <w:b/>
                <w:spacing w:val="-3"/>
                <w:szCs w:val="24"/>
              </w:rPr>
              <w:t xml:space="preserve">Estimated Implementation Costs  </w:t>
            </w:r>
            <w:r w:rsidRPr="009359EA">
              <w:rPr>
                <w:spacing w:val="-3"/>
                <w:szCs w:val="24"/>
              </w:rPr>
              <w:t xml:space="preserve">(mandatory by </w:t>
            </w:r>
            <w:proofErr w:type="spellStart"/>
            <w:r w:rsidRPr="009359EA">
              <w:rPr>
                <w:spacing w:val="-3"/>
                <w:szCs w:val="24"/>
              </w:rPr>
              <w:t>BSCCo</w:t>
            </w:r>
            <w:proofErr w:type="spellEnd"/>
            <w:r w:rsidRPr="009359EA">
              <w:rPr>
                <w:spacing w:val="-3"/>
                <w:szCs w:val="24"/>
              </w:rPr>
              <w:t>)</w:t>
            </w:r>
          </w:p>
        </w:tc>
      </w:tr>
      <w:tr w:rsidR="0054644A" w:rsidRPr="009359EA" w14:paraId="4278D36C"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nil"/>
              <w:bottom w:val="single" w:sz="4" w:space="0" w:color="auto"/>
            </w:tcBorders>
            <w:tcMar>
              <w:top w:w="57" w:type="dxa"/>
              <w:left w:w="57" w:type="dxa"/>
              <w:bottom w:w="57" w:type="dxa"/>
              <w:right w:w="57" w:type="dxa"/>
            </w:tcMar>
          </w:tcPr>
          <w:p w14:paraId="67DDC91A" w14:textId="59E3E4DD" w:rsidR="0054644A" w:rsidRPr="00D842F4" w:rsidRDefault="00D842F4" w:rsidP="00D842F4">
            <w:pPr>
              <w:pStyle w:val="ListParagraph"/>
              <w:numPr>
                <w:ilvl w:val="0"/>
                <w:numId w:val="42"/>
              </w:numPr>
              <w:suppressAutoHyphens/>
              <w:spacing w:after="240"/>
              <w:jc w:val="both"/>
              <w:rPr>
                <w:spacing w:val="-3"/>
                <w:szCs w:val="24"/>
              </w:rPr>
            </w:pPr>
            <w:r w:rsidRPr="00D842F4">
              <w:rPr>
                <w:spacing w:val="-3"/>
                <w:szCs w:val="24"/>
              </w:rPr>
              <w:t>Less than £4,000 to implement the relevant document changes</w:t>
            </w:r>
          </w:p>
        </w:tc>
      </w:tr>
      <w:tr w:rsidR="0054644A" w:rsidRPr="009359EA" w14:paraId="12971D1B"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bottom w:val="nil"/>
            </w:tcBorders>
            <w:tcMar>
              <w:top w:w="57" w:type="dxa"/>
              <w:left w:w="57" w:type="dxa"/>
              <w:bottom w:w="57" w:type="dxa"/>
              <w:right w:w="57" w:type="dxa"/>
            </w:tcMar>
          </w:tcPr>
          <w:p w14:paraId="30539C12" w14:textId="1B4AB0D6" w:rsidR="0054644A" w:rsidRPr="009359EA" w:rsidRDefault="00D53593">
            <w:pPr>
              <w:suppressAutoHyphens/>
              <w:jc w:val="both"/>
              <w:rPr>
                <w:b/>
                <w:spacing w:val="-3"/>
                <w:szCs w:val="24"/>
              </w:rPr>
            </w:pPr>
            <w:r w:rsidRPr="009359EA">
              <w:rPr>
                <w:b/>
                <w:spacing w:val="-3"/>
                <w:szCs w:val="24"/>
              </w:rPr>
              <w:t>BSC Configurable Items Affected by Proposed Solution(s)</w:t>
            </w:r>
            <w:r w:rsidRPr="009359EA">
              <w:rPr>
                <w:spacing w:val="-3"/>
                <w:szCs w:val="24"/>
              </w:rPr>
              <w:t xml:space="preserve"> (mandatory  by originator)</w:t>
            </w:r>
            <w:r w:rsidR="00077CC6">
              <w:rPr>
                <w:rStyle w:val="FootnoteReference"/>
                <w:spacing w:val="-3"/>
                <w:szCs w:val="24"/>
              </w:rPr>
              <w:footnoteReference w:id="10"/>
            </w:r>
          </w:p>
        </w:tc>
      </w:tr>
      <w:tr w:rsidR="0054644A" w:rsidRPr="009359EA" w14:paraId="0D662294"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nil"/>
              <w:bottom w:val="single" w:sz="4" w:space="0" w:color="auto"/>
            </w:tcBorders>
            <w:tcMar>
              <w:top w:w="57" w:type="dxa"/>
              <w:left w:w="57" w:type="dxa"/>
              <w:bottom w:w="57" w:type="dxa"/>
              <w:right w:w="57" w:type="dxa"/>
            </w:tcMar>
          </w:tcPr>
          <w:p w14:paraId="4A4461FC" w14:textId="77777777" w:rsidR="0054644A" w:rsidRPr="00ED00A4" w:rsidRDefault="00B072EA" w:rsidP="00ED00A4">
            <w:pPr>
              <w:pStyle w:val="ListParagraph"/>
              <w:numPr>
                <w:ilvl w:val="0"/>
                <w:numId w:val="40"/>
              </w:numPr>
              <w:suppressAutoHyphens/>
              <w:spacing w:after="240"/>
              <w:jc w:val="both"/>
              <w:rPr>
                <w:spacing w:val="-3"/>
                <w:szCs w:val="24"/>
              </w:rPr>
            </w:pPr>
            <w:r w:rsidRPr="00ED00A4">
              <w:rPr>
                <w:spacing w:val="-3"/>
                <w:szCs w:val="24"/>
              </w:rPr>
              <w:t>BSCP02 ‘Proving Test Requirements for Central Volume Allocation Metering Systems</w:t>
            </w:r>
            <w:r w:rsidR="00B64570" w:rsidRPr="00ED00A4">
              <w:rPr>
                <w:spacing w:val="-3"/>
                <w:szCs w:val="24"/>
              </w:rPr>
              <w:t>’</w:t>
            </w:r>
          </w:p>
          <w:p w14:paraId="3C6FDDD5" w14:textId="15C8EF94" w:rsidR="001C407E" w:rsidRDefault="001C407E" w:rsidP="00ED00A4">
            <w:pPr>
              <w:pStyle w:val="ListParagraph"/>
              <w:numPr>
                <w:ilvl w:val="0"/>
                <w:numId w:val="40"/>
              </w:numPr>
              <w:suppressAutoHyphens/>
              <w:spacing w:after="240"/>
              <w:jc w:val="both"/>
              <w:rPr>
                <w:spacing w:val="-3"/>
                <w:szCs w:val="24"/>
              </w:rPr>
            </w:pPr>
            <w:r w:rsidRPr="00ED00A4">
              <w:rPr>
                <w:spacing w:val="-3"/>
                <w:szCs w:val="24"/>
              </w:rPr>
              <w:t>BSCP20 ‘Registration of Metering Systems for Central Volume Allocation’</w:t>
            </w:r>
          </w:p>
          <w:p w14:paraId="589BBAAF" w14:textId="10EFEE99" w:rsidR="008573B6" w:rsidRPr="00ED00A4" w:rsidRDefault="008573B6" w:rsidP="00ED00A4">
            <w:pPr>
              <w:pStyle w:val="ListParagraph"/>
              <w:numPr>
                <w:ilvl w:val="0"/>
                <w:numId w:val="40"/>
              </w:numPr>
              <w:suppressAutoHyphens/>
              <w:spacing w:after="240"/>
              <w:jc w:val="both"/>
              <w:rPr>
                <w:spacing w:val="-3"/>
                <w:szCs w:val="24"/>
              </w:rPr>
            </w:pPr>
            <w:r>
              <w:rPr>
                <w:spacing w:val="-3"/>
                <w:szCs w:val="24"/>
              </w:rPr>
              <w:t>BSCP38 ‘A</w:t>
            </w:r>
            <w:bookmarkStart w:id="13" w:name="_GoBack"/>
            <w:bookmarkEnd w:id="13"/>
            <w:r>
              <w:rPr>
                <w:spacing w:val="-3"/>
                <w:szCs w:val="24"/>
              </w:rPr>
              <w:t>uthorisations’</w:t>
            </w:r>
          </w:p>
          <w:p w14:paraId="429F9606" w14:textId="77777777" w:rsidR="00077CC6" w:rsidRPr="00ED00A4" w:rsidRDefault="00077CC6" w:rsidP="00ED00A4">
            <w:pPr>
              <w:pStyle w:val="ListParagraph"/>
              <w:numPr>
                <w:ilvl w:val="0"/>
                <w:numId w:val="40"/>
              </w:numPr>
              <w:suppressAutoHyphens/>
              <w:spacing w:after="240"/>
              <w:jc w:val="both"/>
              <w:rPr>
                <w:spacing w:val="-3"/>
                <w:szCs w:val="24"/>
              </w:rPr>
            </w:pPr>
            <w:r w:rsidRPr="00ED00A4">
              <w:rPr>
                <w:spacing w:val="-3"/>
                <w:szCs w:val="24"/>
              </w:rPr>
              <w:t>CoP4 ‘Code of Practice for the Calibration, Testing and Commissioning Requirements of Metering Equipment for Settlement Purposes’</w:t>
            </w:r>
          </w:p>
          <w:p w14:paraId="2A9E13B0" w14:textId="061B10D7" w:rsidR="00F13F9F" w:rsidRPr="00ED00A4" w:rsidRDefault="008573B6" w:rsidP="00ED00A4">
            <w:pPr>
              <w:pStyle w:val="ListParagraph"/>
              <w:numPr>
                <w:ilvl w:val="0"/>
                <w:numId w:val="40"/>
              </w:numPr>
              <w:suppressAutoHyphens/>
              <w:spacing w:after="240"/>
              <w:jc w:val="both"/>
              <w:rPr>
                <w:spacing w:val="-3"/>
                <w:szCs w:val="24"/>
              </w:rPr>
            </w:pPr>
            <w:hyperlink r:id="rId17" w:history="1">
              <w:r w:rsidR="00077CC6" w:rsidRPr="00ED00A4">
                <w:rPr>
                  <w:rStyle w:val="Hyperlink"/>
                  <w:spacing w:val="-3"/>
                  <w:szCs w:val="24"/>
                </w:rPr>
                <w:t>Service Description ‘Central Data Collection Agent’</w:t>
              </w:r>
            </w:hyperlink>
          </w:p>
        </w:tc>
      </w:tr>
      <w:tr w:rsidR="0054644A" w:rsidRPr="009359EA" w14:paraId="6F4A217E"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bottom w:val="nil"/>
            </w:tcBorders>
            <w:tcMar>
              <w:top w:w="57" w:type="dxa"/>
              <w:left w:w="57" w:type="dxa"/>
              <w:bottom w:w="57" w:type="dxa"/>
              <w:right w:w="57" w:type="dxa"/>
            </w:tcMar>
          </w:tcPr>
          <w:p w14:paraId="224940DD" w14:textId="77777777" w:rsidR="0054644A" w:rsidRPr="009359EA" w:rsidRDefault="00D53593">
            <w:pPr>
              <w:suppressAutoHyphens/>
              <w:jc w:val="both"/>
              <w:rPr>
                <w:spacing w:val="-3"/>
                <w:szCs w:val="24"/>
              </w:rPr>
            </w:pPr>
            <w:r w:rsidRPr="009359EA">
              <w:rPr>
                <w:b/>
                <w:spacing w:val="-3"/>
                <w:szCs w:val="24"/>
              </w:rPr>
              <w:t xml:space="preserve">Impact on Core Industry Documents or System Operator-Transmission Owner Code </w:t>
            </w:r>
            <w:r w:rsidRPr="009359EA">
              <w:rPr>
                <w:spacing w:val="-3"/>
                <w:szCs w:val="24"/>
              </w:rPr>
              <w:t>(mandatory by originator)</w:t>
            </w:r>
          </w:p>
        </w:tc>
      </w:tr>
      <w:tr w:rsidR="0054644A" w:rsidRPr="009359EA" w14:paraId="6B595304"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nil"/>
              <w:bottom w:val="single" w:sz="4" w:space="0" w:color="auto"/>
            </w:tcBorders>
            <w:tcMar>
              <w:top w:w="57" w:type="dxa"/>
              <w:left w:w="57" w:type="dxa"/>
              <w:bottom w:w="57" w:type="dxa"/>
              <w:right w:w="57" w:type="dxa"/>
            </w:tcMar>
          </w:tcPr>
          <w:p w14:paraId="09F3DC5B" w14:textId="77777777" w:rsidR="0054644A" w:rsidRPr="00D0409C" w:rsidRDefault="00D0409C" w:rsidP="00D0409C">
            <w:pPr>
              <w:suppressAutoHyphens/>
              <w:spacing w:after="240"/>
              <w:jc w:val="both"/>
              <w:rPr>
                <w:spacing w:val="-3"/>
                <w:szCs w:val="24"/>
              </w:rPr>
            </w:pPr>
            <w:r w:rsidRPr="00236EF7">
              <w:rPr>
                <w:spacing w:val="-3"/>
                <w:szCs w:val="24"/>
              </w:rPr>
              <w:t>None identified.</w:t>
            </w:r>
          </w:p>
        </w:tc>
      </w:tr>
      <w:tr w:rsidR="0054644A" w:rsidRPr="009359EA" w14:paraId="1AC2EF8A"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bottom w:val="nil"/>
            </w:tcBorders>
            <w:tcMar>
              <w:top w:w="57" w:type="dxa"/>
              <w:left w:w="57" w:type="dxa"/>
              <w:bottom w:w="57" w:type="dxa"/>
              <w:right w:w="57" w:type="dxa"/>
            </w:tcMar>
          </w:tcPr>
          <w:p w14:paraId="5CD2B6FD" w14:textId="77777777" w:rsidR="0054644A" w:rsidRPr="009359EA" w:rsidRDefault="00D53593">
            <w:pPr>
              <w:suppressAutoHyphens/>
              <w:jc w:val="both"/>
              <w:rPr>
                <w:spacing w:val="-3"/>
                <w:szCs w:val="24"/>
              </w:rPr>
            </w:pPr>
            <w:r w:rsidRPr="009359EA">
              <w:rPr>
                <w:b/>
                <w:spacing w:val="-3"/>
                <w:szCs w:val="24"/>
              </w:rPr>
              <w:t xml:space="preserve">Related Changes and/or BSC Releases </w:t>
            </w:r>
            <w:r w:rsidRPr="009359EA">
              <w:rPr>
                <w:spacing w:val="-3"/>
                <w:szCs w:val="24"/>
              </w:rPr>
              <w:t xml:space="preserve">(mandatory by </w:t>
            </w:r>
            <w:proofErr w:type="spellStart"/>
            <w:r w:rsidRPr="009359EA">
              <w:rPr>
                <w:spacing w:val="-3"/>
                <w:szCs w:val="24"/>
              </w:rPr>
              <w:t>BSCCo</w:t>
            </w:r>
            <w:proofErr w:type="spellEnd"/>
            <w:r w:rsidRPr="009359EA">
              <w:rPr>
                <w:spacing w:val="-3"/>
                <w:szCs w:val="24"/>
              </w:rPr>
              <w:t>)</w:t>
            </w:r>
          </w:p>
        </w:tc>
      </w:tr>
      <w:tr w:rsidR="0054644A" w:rsidRPr="009359EA" w14:paraId="2A5EA882"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nil"/>
              <w:bottom w:val="single" w:sz="4" w:space="0" w:color="auto"/>
            </w:tcBorders>
            <w:tcMar>
              <w:top w:w="57" w:type="dxa"/>
              <w:left w:w="57" w:type="dxa"/>
              <w:bottom w:w="57" w:type="dxa"/>
              <w:right w:w="57" w:type="dxa"/>
            </w:tcMar>
          </w:tcPr>
          <w:p w14:paraId="436C3CA0" w14:textId="77777777" w:rsidR="0054644A" w:rsidRPr="00D0409C" w:rsidRDefault="00D0409C">
            <w:pPr>
              <w:suppressAutoHyphens/>
              <w:spacing w:after="240"/>
              <w:jc w:val="both"/>
              <w:rPr>
                <w:b/>
                <w:spacing w:val="-3"/>
                <w:szCs w:val="24"/>
              </w:rPr>
            </w:pPr>
            <w:r w:rsidRPr="00236EF7">
              <w:rPr>
                <w:spacing w:val="-3"/>
                <w:szCs w:val="24"/>
              </w:rPr>
              <w:t>None identified.</w:t>
            </w:r>
          </w:p>
        </w:tc>
      </w:tr>
      <w:tr w:rsidR="0054644A" w:rsidRPr="009359EA" w14:paraId="3DDDA858"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bottom w:val="nil"/>
            </w:tcBorders>
            <w:tcMar>
              <w:top w:w="57" w:type="dxa"/>
              <w:left w:w="57" w:type="dxa"/>
              <w:bottom w:w="57" w:type="dxa"/>
              <w:right w:w="57" w:type="dxa"/>
            </w:tcMar>
          </w:tcPr>
          <w:p w14:paraId="0C7349AA" w14:textId="77777777" w:rsidR="0054644A" w:rsidRPr="009359EA" w:rsidRDefault="00D53593">
            <w:pPr>
              <w:suppressAutoHyphens/>
              <w:jc w:val="both"/>
              <w:rPr>
                <w:b/>
                <w:spacing w:val="-3"/>
                <w:szCs w:val="24"/>
              </w:rPr>
            </w:pPr>
            <w:r w:rsidRPr="009359EA">
              <w:rPr>
                <w:b/>
                <w:spacing w:val="-3"/>
                <w:szCs w:val="24"/>
              </w:rPr>
              <w:t>Requested Implementation Date (mandatory by originator)</w:t>
            </w:r>
          </w:p>
        </w:tc>
      </w:tr>
      <w:tr w:rsidR="0054644A" w:rsidRPr="009359EA" w14:paraId="5FF1306A"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nil"/>
            </w:tcBorders>
            <w:tcMar>
              <w:top w:w="57" w:type="dxa"/>
              <w:left w:w="57" w:type="dxa"/>
              <w:bottom w:w="57" w:type="dxa"/>
              <w:right w:w="57" w:type="dxa"/>
            </w:tcMar>
          </w:tcPr>
          <w:p w14:paraId="7B900A89" w14:textId="0A75A446" w:rsidR="0054644A" w:rsidRPr="00D0409C" w:rsidRDefault="001B10D6" w:rsidP="002F4141">
            <w:pPr>
              <w:suppressAutoHyphens/>
              <w:spacing w:after="240"/>
              <w:jc w:val="both"/>
              <w:rPr>
                <w:spacing w:val="-3"/>
                <w:szCs w:val="24"/>
              </w:rPr>
            </w:pPr>
            <w:r>
              <w:rPr>
                <w:spacing w:val="-3"/>
                <w:szCs w:val="24"/>
              </w:rPr>
              <w:t>3</w:t>
            </w:r>
            <w:r w:rsidR="00077CC6">
              <w:rPr>
                <w:spacing w:val="-3"/>
                <w:szCs w:val="24"/>
              </w:rPr>
              <w:t xml:space="preserve"> November 2022 as part of the standard November 2022 BSC release</w:t>
            </w:r>
          </w:p>
        </w:tc>
      </w:tr>
      <w:tr w:rsidR="0054644A" w:rsidRPr="009359EA" w14:paraId="6CD1F0CA"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Mar>
              <w:top w:w="57" w:type="dxa"/>
              <w:left w:w="57" w:type="dxa"/>
              <w:bottom w:w="57" w:type="dxa"/>
              <w:right w:w="57" w:type="dxa"/>
            </w:tcMar>
          </w:tcPr>
          <w:p w14:paraId="42DB3C15" w14:textId="77777777" w:rsidR="0054644A" w:rsidRDefault="00D53593">
            <w:pPr>
              <w:suppressAutoHyphens/>
              <w:spacing w:after="240"/>
              <w:jc w:val="both"/>
              <w:rPr>
                <w:b/>
                <w:spacing w:val="-3"/>
                <w:szCs w:val="24"/>
              </w:rPr>
            </w:pPr>
            <w:r w:rsidRPr="009359EA">
              <w:rPr>
                <w:b/>
                <w:spacing w:val="-3"/>
                <w:szCs w:val="24"/>
              </w:rPr>
              <w:lastRenderedPageBreak/>
              <w:t>Reason:</w:t>
            </w:r>
          </w:p>
          <w:p w14:paraId="6F9CC8D8" w14:textId="4FC65493" w:rsidR="00D0409C" w:rsidRPr="00D0409C" w:rsidRDefault="00077CC6" w:rsidP="004C5A97">
            <w:pPr>
              <w:suppressAutoHyphens/>
              <w:spacing w:after="240"/>
              <w:jc w:val="both"/>
              <w:rPr>
                <w:spacing w:val="-3"/>
                <w:szCs w:val="24"/>
              </w:rPr>
            </w:pPr>
            <w:r>
              <w:rPr>
                <w:spacing w:val="-3"/>
                <w:szCs w:val="24"/>
              </w:rPr>
              <w:t>This is the next available BSC release this CP can target. In addition, the introduction of a</w:t>
            </w:r>
            <w:r>
              <w:t xml:space="preserve"> fully formalised CVA CEEC process will help protect BSC Settlement. Therefore, it is important that </w:t>
            </w:r>
            <w:r w:rsidR="003211CB">
              <w:t>i</w:t>
            </w:r>
            <w:r>
              <w:t>ndustry is able to benefit from this process as early as practicable.</w:t>
            </w:r>
          </w:p>
        </w:tc>
      </w:tr>
      <w:tr w:rsidR="0054644A" w:rsidRPr="009359EA" w14:paraId="467F8B83"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Mar>
              <w:top w:w="57" w:type="dxa"/>
              <w:left w:w="57" w:type="dxa"/>
              <w:bottom w:w="57" w:type="dxa"/>
              <w:right w:w="57" w:type="dxa"/>
            </w:tcMar>
          </w:tcPr>
          <w:p w14:paraId="63AEDDCA" w14:textId="3FFF0B3B" w:rsidR="00775BE0" w:rsidRPr="00D349A8" w:rsidRDefault="00D53593" w:rsidP="00077CC6">
            <w:pPr>
              <w:suppressAutoHyphens/>
              <w:spacing w:after="240"/>
              <w:jc w:val="both"/>
              <w:rPr>
                <w:spacing w:val="-3"/>
                <w:szCs w:val="24"/>
              </w:rPr>
            </w:pPr>
            <w:r w:rsidRPr="009359EA">
              <w:rPr>
                <w:b/>
                <w:spacing w:val="-3"/>
                <w:szCs w:val="24"/>
              </w:rPr>
              <w:t xml:space="preserve">Version History (mandatory by </w:t>
            </w:r>
            <w:proofErr w:type="spellStart"/>
            <w:r w:rsidRPr="009359EA">
              <w:rPr>
                <w:b/>
                <w:spacing w:val="-3"/>
                <w:szCs w:val="24"/>
              </w:rPr>
              <w:t>BSCCo</w:t>
            </w:r>
            <w:proofErr w:type="spellEnd"/>
            <w:r w:rsidRPr="009359EA">
              <w:rPr>
                <w:b/>
                <w:spacing w:val="-3"/>
                <w:szCs w:val="24"/>
              </w:rPr>
              <w:t>)</w:t>
            </w:r>
          </w:p>
        </w:tc>
      </w:tr>
      <w:tr w:rsidR="0054644A" w:rsidRPr="009359EA" w14:paraId="02E34922"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bottom w:val="single" w:sz="4" w:space="0" w:color="auto"/>
            </w:tcBorders>
            <w:tcMar>
              <w:top w:w="57" w:type="dxa"/>
              <w:left w:w="57" w:type="dxa"/>
              <w:bottom w:w="57" w:type="dxa"/>
              <w:right w:w="57" w:type="dxa"/>
            </w:tcMar>
          </w:tcPr>
          <w:p w14:paraId="26180778" w14:textId="77777777" w:rsidR="00D0409C" w:rsidRPr="009359EA" w:rsidRDefault="00D53593" w:rsidP="00D349A8">
            <w:pPr>
              <w:suppressAutoHyphens/>
              <w:spacing w:after="240"/>
              <w:jc w:val="both"/>
              <w:rPr>
                <w:b/>
                <w:i/>
                <w:spacing w:val="-3"/>
                <w:sz w:val="28"/>
                <w:szCs w:val="28"/>
              </w:rPr>
            </w:pPr>
            <w:r w:rsidRPr="009359EA">
              <w:rPr>
                <w:b/>
                <w:i/>
                <w:spacing w:val="-3"/>
                <w:sz w:val="28"/>
                <w:szCs w:val="28"/>
              </w:rPr>
              <w:t>Originator’s Details:</w:t>
            </w:r>
          </w:p>
        </w:tc>
      </w:tr>
      <w:tr w:rsidR="0054644A" w:rsidRPr="009359EA" w14:paraId="1ED39309"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single" w:sz="4" w:space="0" w:color="auto"/>
            </w:tcBorders>
            <w:tcMar>
              <w:top w:w="57" w:type="dxa"/>
              <w:left w:w="57" w:type="dxa"/>
              <w:bottom w:w="57" w:type="dxa"/>
              <w:right w:w="57" w:type="dxa"/>
            </w:tcMar>
          </w:tcPr>
          <w:p w14:paraId="64795C37" w14:textId="77777777" w:rsidR="0054644A" w:rsidRPr="009359EA" w:rsidRDefault="00D53593">
            <w:pPr>
              <w:tabs>
                <w:tab w:val="right" w:leader="dot" w:pos="8505"/>
              </w:tabs>
              <w:suppressAutoHyphens/>
              <w:spacing w:after="240"/>
              <w:jc w:val="both"/>
              <w:rPr>
                <w:b/>
                <w:i/>
                <w:spacing w:val="-3"/>
              </w:rPr>
            </w:pPr>
            <w:r w:rsidRPr="009359EA">
              <w:rPr>
                <w:b/>
                <w:i/>
                <w:spacing w:val="-3"/>
              </w:rPr>
              <w:t>BCA Name:</w:t>
            </w:r>
          </w:p>
        </w:tc>
      </w:tr>
      <w:tr w:rsidR="0054644A" w:rsidRPr="009359EA" w14:paraId="0955744D"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Mar>
              <w:top w:w="57" w:type="dxa"/>
              <w:left w:w="57" w:type="dxa"/>
              <w:bottom w:w="57" w:type="dxa"/>
              <w:right w:w="57" w:type="dxa"/>
            </w:tcMar>
          </w:tcPr>
          <w:p w14:paraId="35BC7DB6" w14:textId="77777777" w:rsidR="00D0409C" w:rsidRDefault="00D53593" w:rsidP="00D0409C">
            <w:pPr>
              <w:tabs>
                <w:tab w:val="right" w:leader="dot" w:pos="8505"/>
              </w:tabs>
              <w:suppressAutoHyphens/>
              <w:spacing w:after="240"/>
              <w:jc w:val="both"/>
              <w:rPr>
                <w:b/>
                <w:i/>
                <w:spacing w:val="-3"/>
              </w:rPr>
            </w:pPr>
            <w:r w:rsidRPr="009359EA">
              <w:rPr>
                <w:b/>
                <w:i/>
                <w:spacing w:val="-3"/>
              </w:rPr>
              <w:t>Organisation:</w:t>
            </w:r>
            <w:r w:rsidR="00D0409C">
              <w:rPr>
                <w:b/>
                <w:i/>
                <w:spacing w:val="-3"/>
              </w:rPr>
              <w:t xml:space="preserve"> </w:t>
            </w:r>
          </w:p>
          <w:p w14:paraId="1B2F86DC" w14:textId="77777777" w:rsidR="0054644A" w:rsidRPr="009359EA" w:rsidRDefault="00D0409C" w:rsidP="00400200">
            <w:pPr>
              <w:tabs>
                <w:tab w:val="right" w:leader="dot" w:pos="8505"/>
              </w:tabs>
              <w:suppressAutoHyphens/>
              <w:spacing w:after="240"/>
              <w:jc w:val="both"/>
              <w:rPr>
                <w:b/>
                <w:i/>
                <w:spacing w:val="-3"/>
              </w:rPr>
            </w:pPr>
            <w:r w:rsidRPr="00D0409C">
              <w:rPr>
                <w:spacing w:val="-3"/>
              </w:rPr>
              <w:t>E</w:t>
            </w:r>
            <w:r w:rsidR="00400200">
              <w:rPr>
                <w:spacing w:val="-3"/>
              </w:rPr>
              <w:t>lexon</w:t>
            </w:r>
            <w:r w:rsidRPr="00D0409C">
              <w:rPr>
                <w:spacing w:val="-3"/>
              </w:rPr>
              <w:t xml:space="preserve"> Ltd</w:t>
            </w:r>
          </w:p>
        </w:tc>
      </w:tr>
      <w:tr w:rsidR="0054644A" w:rsidRPr="009359EA" w14:paraId="02B08AB6"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Mar>
              <w:top w:w="57" w:type="dxa"/>
              <w:left w:w="57" w:type="dxa"/>
              <w:bottom w:w="57" w:type="dxa"/>
              <w:right w:w="57" w:type="dxa"/>
            </w:tcMar>
          </w:tcPr>
          <w:p w14:paraId="2E5B614D" w14:textId="77777777" w:rsidR="0054644A" w:rsidRPr="009359EA" w:rsidRDefault="00D53593">
            <w:pPr>
              <w:tabs>
                <w:tab w:val="right" w:leader="dot" w:pos="8505"/>
              </w:tabs>
              <w:suppressAutoHyphens/>
              <w:spacing w:after="240"/>
              <w:jc w:val="both"/>
              <w:rPr>
                <w:b/>
                <w:i/>
                <w:spacing w:val="-3"/>
              </w:rPr>
            </w:pPr>
            <w:r w:rsidRPr="009359EA">
              <w:rPr>
                <w:b/>
                <w:i/>
                <w:spacing w:val="-3"/>
              </w:rPr>
              <w:t>Email Address:</w:t>
            </w:r>
            <w:r w:rsidR="00D349A8">
              <w:rPr>
                <w:b/>
                <w:i/>
                <w:spacing w:val="-3"/>
              </w:rPr>
              <w:t xml:space="preserve"> </w:t>
            </w:r>
            <w:r w:rsidR="00D349A8" w:rsidRPr="00D842F4">
              <w:rPr>
                <w:spacing w:val="-3"/>
              </w:rPr>
              <w:t>mike.smith@elexon.co.uk</w:t>
            </w:r>
          </w:p>
        </w:tc>
      </w:tr>
      <w:tr w:rsidR="0054644A" w:rsidRPr="009359EA" w14:paraId="51485A71"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Mar>
              <w:top w:w="57" w:type="dxa"/>
              <w:left w:w="57" w:type="dxa"/>
              <w:bottom w:w="57" w:type="dxa"/>
              <w:right w:w="57" w:type="dxa"/>
            </w:tcMar>
          </w:tcPr>
          <w:p w14:paraId="49C62363" w14:textId="77777777" w:rsidR="0054644A" w:rsidRPr="009359EA" w:rsidRDefault="00D53593" w:rsidP="00D349A8">
            <w:pPr>
              <w:tabs>
                <w:tab w:val="right" w:leader="dot" w:pos="8505"/>
              </w:tabs>
              <w:suppressAutoHyphens/>
              <w:spacing w:after="240"/>
              <w:jc w:val="both"/>
              <w:rPr>
                <w:b/>
                <w:i/>
                <w:spacing w:val="-3"/>
              </w:rPr>
            </w:pPr>
            <w:r w:rsidRPr="009359EA">
              <w:rPr>
                <w:b/>
                <w:i/>
                <w:spacing w:val="-3"/>
              </w:rPr>
              <w:t>Telephone Number:</w:t>
            </w:r>
            <w:r w:rsidR="00D349A8">
              <w:rPr>
                <w:b/>
                <w:i/>
                <w:spacing w:val="-3"/>
              </w:rPr>
              <w:t xml:space="preserve"> </w:t>
            </w:r>
            <w:r w:rsidR="00D349A8" w:rsidRPr="00D842F4">
              <w:rPr>
                <w:spacing w:val="-3"/>
              </w:rPr>
              <w:t>020 7380 4033</w:t>
            </w:r>
          </w:p>
        </w:tc>
      </w:tr>
      <w:tr w:rsidR="0054644A" w:rsidRPr="009359EA" w14:paraId="455592F4"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Mar>
              <w:top w:w="57" w:type="dxa"/>
              <w:left w:w="57" w:type="dxa"/>
              <w:bottom w:w="57" w:type="dxa"/>
              <w:right w:w="57" w:type="dxa"/>
            </w:tcMar>
          </w:tcPr>
          <w:p w14:paraId="5FC28AD9" w14:textId="3E556679" w:rsidR="0054644A" w:rsidRPr="009359EA" w:rsidRDefault="00D53593" w:rsidP="00077CC6">
            <w:pPr>
              <w:tabs>
                <w:tab w:val="right" w:leader="dot" w:pos="8505"/>
              </w:tabs>
              <w:suppressAutoHyphens/>
              <w:spacing w:after="240"/>
              <w:jc w:val="both"/>
              <w:rPr>
                <w:b/>
                <w:i/>
                <w:spacing w:val="-3"/>
              </w:rPr>
            </w:pPr>
            <w:r w:rsidRPr="009359EA">
              <w:rPr>
                <w:b/>
                <w:i/>
                <w:spacing w:val="-3"/>
              </w:rPr>
              <w:t>Date:</w:t>
            </w:r>
            <w:r w:rsidR="00D349A8">
              <w:rPr>
                <w:b/>
                <w:i/>
                <w:spacing w:val="-3"/>
              </w:rPr>
              <w:t xml:space="preserve"> </w:t>
            </w:r>
            <w:r w:rsidR="00077CC6" w:rsidRPr="00D842F4">
              <w:rPr>
                <w:spacing w:val="-3"/>
              </w:rPr>
              <w:t>5 July</w:t>
            </w:r>
            <w:r w:rsidR="00BF3029" w:rsidRPr="00D842F4">
              <w:rPr>
                <w:spacing w:val="-3"/>
              </w:rPr>
              <w:t xml:space="preserve"> 2022</w:t>
            </w:r>
          </w:p>
        </w:tc>
      </w:tr>
      <w:tr w:rsidR="0054644A" w:rsidRPr="009359EA" w14:paraId="3FDF9083"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Mar>
              <w:top w:w="57" w:type="dxa"/>
              <w:left w:w="57" w:type="dxa"/>
              <w:bottom w:w="57" w:type="dxa"/>
              <w:right w:w="57" w:type="dxa"/>
            </w:tcMar>
          </w:tcPr>
          <w:p w14:paraId="406156A8" w14:textId="2B05984B" w:rsidR="001146D2" w:rsidRDefault="00D53593" w:rsidP="00077CC6">
            <w:pPr>
              <w:suppressAutoHyphens/>
              <w:spacing w:after="240"/>
              <w:jc w:val="both"/>
              <w:rPr>
                <w:b/>
                <w:spacing w:val="-3"/>
              </w:rPr>
            </w:pPr>
            <w:r w:rsidRPr="009359EA">
              <w:rPr>
                <w:spacing w:val="-3"/>
              </w:rPr>
              <w:t xml:space="preserve">Attachments: </w:t>
            </w:r>
            <w:r w:rsidRPr="009359EA">
              <w:rPr>
                <w:b/>
                <w:spacing w:val="-3"/>
              </w:rPr>
              <w:t xml:space="preserve">Y   </w:t>
            </w:r>
          </w:p>
          <w:p w14:paraId="28F49E8E" w14:textId="74D5D2E6" w:rsidR="00077CC6" w:rsidRDefault="00077CC6" w:rsidP="00077CC6">
            <w:pPr>
              <w:suppressAutoHyphens/>
              <w:spacing w:after="240"/>
              <w:jc w:val="both"/>
              <w:rPr>
                <w:spacing w:val="-3"/>
                <w:szCs w:val="24"/>
              </w:rPr>
            </w:pPr>
            <w:r w:rsidRPr="00B072EA">
              <w:rPr>
                <w:spacing w:val="-3"/>
                <w:szCs w:val="24"/>
              </w:rPr>
              <w:t>BSCP02 ‘Proving Test Requirements for Central Volume Allocation Metering Systems</w:t>
            </w:r>
            <w:r>
              <w:rPr>
                <w:spacing w:val="-3"/>
                <w:szCs w:val="24"/>
              </w:rPr>
              <w:t>’</w:t>
            </w:r>
          </w:p>
          <w:p w14:paraId="4B737571" w14:textId="7E38CB62" w:rsidR="00077CC6" w:rsidRDefault="00077CC6" w:rsidP="00077CC6">
            <w:pPr>
              <w:suppressAutoHyphens/>
              <w:spacing w:after="240"/>
              <w:jc w:val="both"/>
              <w:rPr>
                <w:spacing w:val="-3"/>
                <w:szCs w:val="24"/>
              </w:rPr>
            </w:pPr>
            <w:r>
              <w:rPr>
                <w:spacing w:val="-3"/>
                <w:szCs w:val="24"/>
              </w:rPr>
              <w:t>BSCP20 ‘</w:t>
            </w:r>
            <w:r w:rsidRPr="001C407E">
              <w:rPr>
                <w:spacing w:val="-3"/>
                <w:szCs w:val="24"/>
              </w:rPr>
              <w:t>Registration of Metering Systems for Central Volume Allocation</w:t>
            </w:r>
            <w:r>
              <w:rPr>
                <w:spacing w:val="-3"/>
                <w:szCs w:val="24"/>
              </w:rPr>
              <w:t>’</w:t>
            </w:r>
          </w:p>
          <w:p w14:paraId="63DF680F" w14:textId="44220C20" w:rsidR="00D842F4" w:rsidRDefault="00D842F4" w:rsidP="00077CC6">
            <w:pPr>
              <w:suppressAutoHyphens/>
              <w:spacing w:after="240"/>
              <w:jc w:val="both"/>
              <w:rPr>
                <w:spacing w:val="-3"/>
                <w:szCs w:val="24"/>
              </w:rPr>
            </w:pPr>
            <w:r>
              <w:rPr>
                <w:spacing w:val="-3"/>
                <w:szCs w:val="24"/>
              </w:rPr>
              <w:t>BSCP38 ‘Authorisations’</w:t>
            </w:r>
          </w:p>
          <w:p w14:paraId="276D514F" w14:textId="77777777" w:rsidR="00077CC6" w:rsidRDefault="00077CC6" w:rsidP="00077CC6">
            <w:pPr>
              <w:suppressAutoHyphens/>
              <w:spacing w:after="240"/>
              <w:jc w:val="both"/>
              <w:rPr>
                <w:spacing w:val="-3"/>
                <w:szCs w:val="24"/>
              </w:rPr>
            </w:pPr>
            <w:r>
              <w:rPr>
                <w:spacing w:val="-3"/>
                <w:szCs w:val="24"/>
              </w:rPr>
              <w:t>CoP4 ‘Code of Practice for the Calibration, Testing and Commissioning Requirements of Metering Equipment for Settlement Purposes’</w:t>
            </w:r>
          </w:p>
          <w:p w14:paraId="5D667D3E" w14:textId="59BAEF78" w:rsidR="0054644A" w:rsidRPr="009359EA" w:rsidRDefault="00077CC6" w:rsidP="00077CC6">
            <w:pPr>
              <w:suppressAutoHyphens/>
              <w:spacing w:after="120"/>
              <w:jc w:val="both"/>
              <w:rPr>
                <w:i/>
                <w:spacing w:val="-3"/>
                <w:sz w:val="20"/>
              </w:rPr>
            </w:pPr>
            <w:r>
              <w:rPr>
                <w:spacing w:val="-3"/>
                <w:szCs w:val="24"/>
              </w:rPr>
              <w:t>Service Description ‘Central Data Collection Agent (CDCA)</w:t>
            </w:r>
          </w:p>
        </w:tc>
      </w:tr>
      <w:bookmarkEnd w:id="5"/>
      <w:bookmarkEnd w:id="6"/>
      <w:bookmarkEnd w:id="7"/>
      <w:bookmarkEnd w:id="8"/>
      <w:bookmarkEnd w:id="9"/>
      <w:bookmarkEnd w:id="10"/>
      <w:bookmarkEnd w:id="11"/>
      <w:bookmarkEnd w:id="12"/>
    </w:tbl>
    <w:p w14:paraId="7EB7B506" w14:textId="77777777" w:rsidR="0054644A" w:rsidRPr="009359EA" w:rsidRDefault="0054644A">
      <w:pPr>
        <w:pStyle w:val="BodyTextIndent"/>
        <w:ind w:left="0"/>
      </w:pPr>
    </w:p>
    <w:sectPr w:rsidR="0054644A" w:rsidRPr="009359EA">
      <w:headerReference w:type="default" r:id="rId18"/>
      <w:footerReference w:type="default" r:id="rId19"/>
      <w:endnotePr>
        <w:numFmt w:val="decimal"/>
      </w:endnotePr>
      <w:pgSz w:w="11909" w:h="16834" w:code="9"/>
      <w:pgMar w:top="1418" w:right="1418" w:bottom="1418" w:left="1418" w:header="709"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6113C" w14:textId="77777777" w:rsidR="002F326A" w:rsidRDefault="002F326A">
      <w:pPr>
        <w:spacing w:line="20" w:lineRule="exact"/>
      </w:pPr>
    </w:p>
  </w:endnote>
  <w:endnote w:type="continuationSeparator" w:id="0">
    <w:p w14:paraId="0536ECD4" w14:textId="77777777" w:rsidR="002F326A" w:rsidRDefault="002F326A">
      <w:r>
        <w:t xml:space="preserve"> </w:t>
      </w:r>
    </w:p>
  </w:endnote>
  <w:endnote w:type="continuationNotice" w:id="1">
    <w:p w14:paraId="4D194FF2" w14:textId="77777777" w:rsidR="002F326A" w:rsidRDefault="002F326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03E4D" w14:textId="4F723A0D" w:rsidR="00CA2267" w:rsidRDefault="00CA2267">
    <w:pPr>
      <w:pStyle w:val="Footer"/>
      <w:pBdr>
        <w:top w:val="single" w:sz="2" w:space="6" w:color="auto"/>
      </w:pBdr>
      <w:tabs>
        <w:tab w:val="clear" w:pos="4320"/>
        <w:tab w:val="clear" w:pos="8640"/>
        <w:tab w:val="clear" w:pos="8784"/>
        <w:tab w:val="center" w:pos="4536"/>
        <w:tab w:val="right" w:pos="9072"/>
      </w:tabs>
      <w:jc w:val="left"/>
      <w:rPr>
        <w:rStyle w:val="PageNumber"/>
        <w:b/>
        <w:spacing w:val="0"/>
        <w:sz w:val="24"/>
        <w:lang w:val="en-GB"/>
      </w:rPr>
    </w:pPr>
    <w:r>
      <w:rPr>
        <w:b/>
      </w:rPr>
      <w:t>Balancing and Settlement Code</w:t>
    </w:r>
    <w:r>
      <w:rPr>
        <w:b/>
      </w:rPr>
      <w:tab/>
      <w:t>Page</w:t>
    </w:r>
    <w:r>
      <w:rPr>
        <w:rFonts w:ascii="CG Times (W1)" w:hAnsi="CG Times (W1)"/>
        <w:b/>
      </w:rPr>
      <w:t xml:space="preserve"> </w:t>
    </w:r>
    <w:r>
      <w:rPr>
        <w:rStyle w:val="PageNumber"/>
        <w:rFonts w:ascii="CG Times (W1)" w:hAnsi="CG Times (W1)"/>
        <w:b/>
      </w:rPr>
      <w:fldChar w:fldCharType="begin"/>
    </w:r>
    <w:r>
      <w:rPr>
        <w:rStyle w:val="PageNumber"/>
        <w:rFonts w:ascii="CG Times (W1)" w:hAnsi="CG Times (W1)"/>
        <w:b/>
      </w:rPr>
      <w:instrText xml:space="preserve"> PAGE </w:instrText>
    </w:r>
    <w:r>
      <w:rPr>
        <w:rStyle w:val="PageNumber"/>
        <w:rFonts w:ascii="CG Times (W1)" w:hAnsi="CG Times (W1)"/>
        <w:b/>
      </w:rPr>
      <w:fldChar w:fldCharType="separate"/>
    </w:r>
    <w:r w:rsidR="008573B6">
      <w:rPr>
        <w:rStyle w:val="PageNumber"/>
        <w:rFonts w:ascii="CG Times (W1)" w:hAnsi="CG Times (W1)"/>
        <w:b/>
        <w:noProof/>
      </w:rPr>
      <w:t>5</w:t>
    </w:r>
    <w:r>
      <w:rPr>
        <w:rStyle w:val="PageNumber"/>
        <w:rFonts w:ascii="CG Times (W1)" w:hAnsi="CG Times (W1)"/>
        <w:b/>
      </w:rPr>
      <w:fldChar w:fldCharType="end"/>
    </w:r>
    <w:r>
      <w:rPr>
        <w:b/>
      </w:rPr>
      <w:t xml:space="preserve"> </w:t>
    </w:r>
    <w:r>
      <w:rPr>
        <w:rStyle w:val="PageNumber"/>
        <w:b/>
      </w:rPr>
      <w:t xml:space="preserve">of </w:t>
    </w:r>
    <w:r>
      <w:rPr>
        <w:rStyle w:val="PageNumber"/>
        <w:b/>
      </w:rPr>
      <w:fldChar w:fldCharType="begin"/>
    </w:r>
    <w:r>
      <w:rPr>
        <w:rStyle w:val="PageNumber"/>
        <w:b/>
      </w:rPr>
      <w:instrText xml:space="preserve"> NUMPAGES </w:instrText>
    </w:r>
    <w:r>
      <w:rPr>
        <w:rStyle w:val="PageNumber"/>
        <w:b/>
      </w:rPr>
      <w:fldChar w:fldCharType="separate"/>
    </w:r>
    <w:r w:rsidR="008573B6">
      <w:rPr>
        <w:rStyle w:val="PageNumber"/>
        <w:b/>
        <w:noProof/>
      </w:rPr>
      <w:t>5</w:t>
    </w:r>
    <w:r>
      <w:rPr>
        <w:rStyle w:val="PageNumber"/>
        <w:b/>
      </w:rPr>
      <w:fldChar w:fldCharType="end"/>
    </w:r>
    <w:r>
      <w:rPr>
        <w:rStyle w:val="PageNumber"/>
        <w:b/>
      </w:rPr>
      <w:tab/>
    </w:r>
    <w:fldSimple w:instr=" DOCPROPERTY  &quot;Effective Date&quot;  \* MERGEFORMAT ">
      <w:r w:rsidRPr="003E6B73">
        <w:rPr>
          <w:b/>
        </w:rPr>
        <w:t>27 June 2019</w:t>
      </w:r>
    </w:fldSimple>
  </w:p>
  <w:p w14:paraId="3992F161" w14:textId="77777777" w:rsidR="00CA2267" w:rsidRDefault="00CA2267">
    <w:pPr>
      <w:pStyle w:val="Footer"/>
      <w:tabs>
        <w:tab w:val="clear" w:pos="4320"/>
        <w:tab w:val="clear" w:pos="8640"/>
        <w:tab w:val="clear" w:pos="8784"/>
      </w:tabs>
      <w:jc w:val="center"/>
      <w:rPr>
        <w:b/>
      </w:rPr>
    </w:pPr>
    <w:r>
      <w:rPr>
        <w:rStyle w:val="PageNumber"/>
        <w:b/>
      </w:rPr>
      <w:t>© ELEXON Limited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8DF5C" w14:textId="77777777" w:rsidR="002F326A" w:rsidRDefault="002F326A">
      <w:r>
        <w:separator/>
      </w:r>
    </w:p>
  </w:footnote>
  <w:footnote w:type="continuationSeparator" w:id="0">
    <w:p w14:paraId="635FE9B2" w14:textId="77777777" w:rsidR="002F326A" w:rsidRDefault="002F326A">
      <w:r>
        <w:continuationSeparator/>
      </w:r>
    </w:p>
  </w:footnote>
  <w:footnote w:id="1">
    <w:p w14:paraId="5853A2EB" w14:textId="5D826721" w:rsidR="00372457" w:rsidRDefault="00372457">
      <w:pPr>
        <w:pStyle w:val="FootnoteText"/>
      </w:pPr>
      <w:r w:rsidRPr="000F24F3">
        <w:rPr>
          <w:rStyle w:val="FootnoteReference"/>
          <w:sz w:val="16"/>
        </w:rPr>
        <w:footnoteRef/>
      </w:r>
      <w:r w:rsidRPr="000F24F3">
        <w:rPr>
          <w:sz w:val="16"/>
        </w:rPr>
        <w:t xml:space="preserve"> https://assets.elexon.co.uk/wp-content/uploads/2015/10/28162313/256_15_Trading-Dispute-DA797-update_PUBLIC.pdf</w:t>
      </w:r>
    </w:p>
  </w:footnote>
  <w:footnote w:id="2">
    <w:p w14:paraId="61188F16" w14:textId="240CD40A" w:rsidR="00372457" w:rsidRDefault="00372457">
      <w:pPr>
        <w:pStyle w:val="FootnoteText"/>
      </w:pPr>
      <w:r w:rsidRPr="000F24F3">
        <w:rPr>
          <w:rStyle w:val="FootnoteReference"/>
          <w:sz w:val="16"/>
        </w:rPr>
        <w:footnoteRef/>
      </w:r>
      <w:r w:rsidRPr="000F24F3">
        <w:rPr>
          <w:sz w:val="16"/>
        </w:rPr>
        <w:t xml:space="preserve"> https://www.elexon.co.uk/csd/cop-code-of-practice-4/</w:t>
      </w:r>
    </w:p>
  </w:footnote>
  <w:footnote w:id="3">
    <w:p w14:paraId="2A4C507B" w14:textId="00584534" w:rsidR="00372457" w:rsidRDefault="00372457">
      <w:pPr>
        <w:pStyle w:val="FootnoteText"/>
      </w:pPr>
      <w:r w:rsidRPr="000F24F3">
        <w:rPr>
          <w:rStyle w:val="FootnoteReference"/>
          <w:sz w:val="16"/>
        </w:rPr>
        <w:footnoteRef/>
      </w:r>
      <w:r w:rsidRPr="000F24F3">
        <w:rPr>
          <w:sz w:val="16"/>
        </w:rPr>
        <w:t xml:space="preserve"> https://www.elexon.co.uk/csd/bscp02-proving-test-requirements-for-central-volume-allocation-metering-systems/</w:t>
      </w:r>
    </w:p>
  </w:footnote>
  <w:footnote w:id="4">
    <w:p w14:paraId="0041F125" w14:textId="77777777" w:rsidR="007F24D9" w:rsidRPr="0082234F" w:rsidRDefault="007F24D9" w:rsidP="007F24D9">
      <w:pPr>
        <w:pStyle w:val="FootnoteText"/>
        <w:rPr>
          <w:sz w:val="16"/>
          <w:szCs w:val="16"/>
        </w:rPr>
      </w:pPr>
      <w:r w:rsidRPr="0082234F">
        <w:rPr>
          <w:rStyle w:val="FootnoteReference"/>
          <w:sz w:val="16"/>
          <w:szCs w:val="16"/>
        </w:rPr>
        <w:footnoteRef/>
      </w:r>
      <w:r>
        <w:rPr>
          <w:sz w:val="16"/>
          <w:szCs w:val="16"/>
        </w:rPr>
        <w:t xml:space="preserve"> </w:t>
      </w:r>
      <w:r w:rsidRPr="0082234F">
        <w:rPr>
          <w:sz w:val="16"/>
          <w:szCs w:val="16"/>
        </w:rPr>
        <w:t>Section X, Annex X-1</w:t>
      </w:r>
      <w:r>
        <w:rPr>
          <w:sz w:val="16"/>
          <w:szCs w:val="16"/>
        </w:rPr>
        <w:t xml:space="preserve"> defines</w:t>
      </w:r>
      <w:r w:rsidRPr="0082234F">
        <w:rPr>
          <w:sz w:val="16"/>
          <w:szCs w:val="16"/>
        </w:rPr>
        <w:t xml:space="preserve"> Equipment Owner</w:t>
      </w:r>
      <w:r>
        <w:rPr>
          <w:sz w:val="16"/>
          <w:szCs w:val="16"/>
        </w:rPr>
        <w:t xml:space="preserve"> as “</w:t>
      </w:r>
      <w:r w:rsidRPr="0082234F">
        <w:rPr>
          <w:sz w:val="16"/>
          <w:szCs w:val="16"/>
        </w:rPr>
        <w:t>in relation to a Metering System, a person which is the owner of Metering Equipment comprised in that Metering System but is not the Registrant of that Metering System</w:t>
      </w:r>
      <w:r>
        <w:rPr>
          <w:sz w:val="16"/>
          <w:szCs w:val="16"/>
        </w:rPr>
        <w:t>”</w:t>
      </w:r>
      <w:r w:rsidRPr="0082234F">
        <w:rPr>
          <w:sz w:val="16"/>
          <w:szCs w:val="16"/>
        </w:rPr>
        <w:t>.</w:t>
      </w:r>
    </w:p>
  </w:footnote>
  <w:footnote w:id="5">
    <w:p w14:paraId="7CCCD9C7" w14:textId="77777777" w:rsidR="007F24D9" w:rsidRPr="00AD4A07" w:rsidRDefault="007F24D9" w:rsidP="007F24D9">
      <w:pPr>
        <w:pStyle w:val="FootnoteText"/>
        <w:rPr>
          <w:sz w:val="16"/>
          <w:szCs w:val="16"/>
        </w:rPr>
      </w:pPr>
      <w:r w:rsidRPr="00AD4A07">
        <w:rPr>
          <w:rStyle w:val="FootnoteReference"/>
          <w:sz w:val="16"/>
          <w:szCs w:val="16"/>
        </w:rPr>
        <w:footnoteRef/>
      </w:r>
      <w:r w:rsidRPr="00AD4A07">
        <w:rPr>
          <w:sz w:val="16"/>
          <w:szCs w:val="16"/>
        </w:rPr>
        <w:t xml:space="preserve"> </w:t>
      </w:r>
      <w:proofErr w:type="gramStart"/>
      <w:r w:rsidRPr="00AD4A07">
        <w:rPr>
          <w:sz w:val="16"/>
          <w:szCs w:val="16"/>
        </w:rPr>
        <w:t>Primary injection testing involves applying a known current and voltage to the primary windings of the measurement transformers and confirming the output of the secondary winding</w:t>
      </w:r>
      <w:r>
        <w:rPr>
          <w:sz w:val="16"/>
          <w:szCs w:val="16"/>
        </w:rPr>
        <w:t>s</w:t>
      </w:r>
      <w:r w:rsidRPr="00AD4A07">
        <w:rPr>
          <w:sz w:val="16"/>
          <w:szCs w:val="16"/>
        </w:rPr>
        <w:t xml:space="preserve"> is as expected</w:t>
      </w:r>
      <w:r>
        <w:rPr>
          <w:sz w:val="16"/>
          <w:szCs w:val="16"/>
        </w:rPr>
        <w:t>, taking into account the ratio</w:t>
      </w:r>
      <w:r w:rsidRPr="00B4733E">
        <w:rPr>
          <w:sz w:val="16"/>
          <w:szCs w:val="16"/>
        </w:rPr>
        <w:t xml:space="preserve"> </w:t>
      </w:r>
      <w:r>
        <w:rPr>
          <w:sz w:val="16"/>
          <w:szCs w:val="16"/>
        </w:rPr>
        <w:t>and polarity of the measurement transformers,</w:t>
      </w:r>
      <w:r w:rsidRPr="00AD4A07">
        <w:rPr>
          <w:sz w:val="16"/>
          <w:szCs w:val="16"/>
        </w:rPr>
        <w:t xml:space="preserve"> at </w:t>
      </w:r>
      <w:r>
        <w:rPr>
          <w:sz w:val="16"/>
          <w:szCs w:val="16"/>
        </w:rPr>
        <w:t xml:space="preserve">certain points in the ‘measurement chain’ i.e. at the </w:t>
      </w:r>
      <w:r w:rsidRPr="00AD4A07">
        <w:rPr>
          <w:sz w:val="16"/>
          <w:szCs w:val="16"/>
        </w:rPr>
        <w:t>Meter Testing Facilit</w:t>
      </w:r>
      <w:r>
        <w:rPr>
          <w:sz w:val="16"/>
          <w:szCs w:val="16"/>
        </w:rPr>
        <w:t xml:space="preserve">y, the </w:t>
      </w:r>
      <w:r w:rsidRPr="00AD4A07">
        <w:rPr>
          <w:sz w:val="16"/>
          <w:szCs w:val="16"/>
        </w:rPr>
        <w:t>Meter</w:t>
      </w:r>
      <w:r>
        <w:rPr>
          <w:sz w:val="16"/>
          <w:szCs w:val="16"/>
        </w:rPr>
        <w:t xml:space="preserve"> terminals, the relevant Meter registers and the relevant Outstation channels</w:t>
      </w:r>
      <w:r w:rsidRPr="00AD4A07">
        <w:rPr>
          <w:sz w:val="16"/>
          <w:szCs w:val="16"/>
        </w:rPr>
        <w:t>.</w:t>
      </w:r>
      <w:proofErr w:type="gramEnd"/>
    </w:p>
  </w:footnote>
  <w:footnote w:id="6">
    <w:p w14:paraId="59CB901E" w14:textId="2976D472" w:rsidR="007F24D9" w:rsidRPr="000012D6" w:rsidRDefault="007F24D9" w:rsidP="007F24D9">
      <w:pPr>
        <w:pStyle w:val="FootnoteText"/>
        <w:rPr>
          <w:color w:val="FF0000"/>
          <w:sz w:val="16"/>
          <w:szCs w:val="16"/>
        </w:rPr>
      </w:pPr>
      <w:r w:rsidRPr="00BA3F59">
        <w:rPr>
          <w:rStyle w:val="FootnoteReference"/>
          <w:sz w:val="16"/>
          <w:szCs w:val="16"/>
        </w:rPr>
        <w:footnoteRef/>
      </w:r>
      <w:r w:rsidRPr="00BA3F59">
        <w:rPr>
          <w:sz w:val="16"/>
          <w:szCs w:val="16"/>
        </w:rPr>
        <w:t xml:space="preserve"> A prevailing load test involves waiting until the System owner/operator energises the circuit and it is carrying a sufficient load (e.g. 5 or 10% of rated </w:t>
      </w:r>
      <w:r w:rsidR="00331B64">
        <w:rPr>
          <w:sz w:val="16"/>
          <w:szCs w:val="16"/>
        </w:rPr>
        <w:t xml:space="preserve">primary </w:t>
      </w:r>
      <w:r w:rsidRPr="00BA3F59">
        <w:rPr>
          <w:sz w:val="16"/>
          <w:szCs w:val="16"/>
        </w:rPr>
        <w:t>current of the current transformers), knowing the amount of energy flowing in the circuit at the time of the test and comparing this with the energy the Meter (and its Outstation) record</w:t>
      </w:r>
      <w:r w:rsidR="00331B64">
        <w:rPr>
          <w:sz w:val="16"/>
          <w:szCs w:val="16"/>
        </w:rPr>
        <w:t>s</w:t>
      </w:r>
      <w:r w:rsidRPr="00BA3F59">
        <w:rPr>
          <w:sz w:val="16"/>
          <w:szCs w:val="16"/>
        </w:rPr>
        <w:t>.</w:t>
      </w:r>
    </w:p>
  </w:footnote>
  <w:footnote w:id="7">
    <w:p w14:paraId="31276679" w14:textId="28F7B59D" w:rsidR="00090DF9" w:rsidRDefault="00090DF9">
      <w:pPr>
        <w:pStyle w:val="FootnoteText"/>
      </w:pPr>
      <w:r w:rsidRPr="000F24F3">
        <w:rPr>
          <w:rStyle w:val="FootnoteReference"/>
          <w:sz w:val="16"/>
        </w:rPr>
        <w:footnoteRef/>
      </w:r>
      <w:r w:rsidRPr="000F24F3">
        <w:rPr>
          <w:sz w:val="16"/>
        </w:rPr>
        <w:t xml:space="preserve"> https://www.elexon.co.uk/reference/performance-assurance/performance-assurance-processes/performance-assurance-risk-evaluation-register/020-cva-risk-cva-metering-equipment-installation-and-commissioning/</w:t>
      </w:r>
    </w:p>
  </w:footnote>
  <w:footnote w:id="8">
    <w:p w14:paraId="03D203CD" w14:textId="2ED1CAB3" w:rsidR="00C71FF1" w:rsidRDefault="00C71FF1">
      <w:pPr>
        <w:pStyle w:val="FootnoteText"/>
      </w:pPr>
      <w:r w:rsidRPr="000F24F3">
        <w:rPr>
          <w:rStyle w:val="FootnoteReference"/>
          <w:sz w:val="16"/>
        </w:rPr>
        <w:footnoteRef/>
      </w:r>
      <w:r w:rsidRPr="000F24F3">
        <w:rPr>
          <w:sz w:val="16"/>
        </w:rPr>
        <w:t xml:space="preserve"> https://www.elexon.co.uk/csd/bscp20-registration-of-metering-systems-for-central-volume-allocation/</w:t>
      </w:r>
    </w:p>
  </w:footnote>
  <w:footnote w:id="9">
    <w:p w14:paraId="782EA13C" w14:textId="77777777" w:rsidR="00090DF9" w:rsidRPr="00295AA8" w:rsidRDefault="00090DF9" w:rsidP="00090DF9">
      <w:pPr>
        <w:pStyle w:val="FootnoteText"/>
        <w:rPr>
          <w:sz w:val="17"/>
          <w:szCs w:val="17"/>
        </w:rPr>
      </w:pPr>
      <w:r w:rsidRPr="00295AA8">
        <w:rPr>
          <w:rStyle w:val="FootnoteReference"/>
          <w:sz w:val="17"/>
          <w:szCs w:val="17"/>
        </w:rPr>
        <w:footnoteRef/>
      </w:r>
      <w:r w:rsidRPr="00295AA8">
        <w:rPr>
          <w:sz w:val="17"/>
          <w:szCs w:val="17"/>
        </w:rPr>
        <w:t xml:space="preserve"> A device that converts energy from one form to another</w:t>
      </w:r>
    </w:p>
  </w:footnote>
  <w:footnote w:id="10">
    <w:p w14:paraId="1B6EC4E1" w14:textId="316E9D99" w:rsidR="00077CC6" w:rsidRDefault="00077CC6">
      <w:pPr>
        <w:pStyle w:val="FootnoteText"/>
      </w:pPr>
      <w:r w:rsidRPr="000F24F3">
        <w:rPr>
          <w:rStyle w:val="FootnoteReference"/>
          <w:sz w:val="16"/>
        </w:rPr>
        <w:footnoteRef/>
      </w:r>
      <w:r w:rsidRPr="000F24F3">
        <w:rPr>
          <w:sz w:val="16"/>
        </w:rPr>
        <w:t xml:space="preserve"> https://www.elexon.co.uk/csd/service-description-for-central-data-collection/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DDD2" w14:textId="77777777" w:rsidR="00CA2267" w:rsidRDefault="00CA2267">
    <w:pPr>
      <w:pBdr>
        <w:bottom w:val="single" w:sz="2" w:space="6" w:color="auto"/>
      </w:pBdr>
      <w:tabs>
        <w:tab w:val="center" w:pos="4536"/>
        <w:tab w:val="right" w:pos="9072"/>
      </w:tabs>
      <w:suppressAutoHyphens/>
      <w:rPr>
        <w:b/>
        <w:spacing w:val="-3"/>
      </w:rPr>
    </w:pPr>
    <w:r>
      <w:rPr>
        <w:b/>
        <w:spacing w:val="-3"/>
        <w:sz w:val="20"/>
      </w:rPr>
      <w:t>BSCP40</w:t>
    </w:r>
    <w:r>
      <w:rPr>
        <w:b/>
        <w:spacing w:val="-3"/>
        <w:sz w:val="20"/>
      </w:rPr>
      <w:tab/>
      <w:t>Change Management</w:t>
    </w:r>
    <w:r>
      <w:rPr>
        <w:b/>
        <w:spacing w:val="-3"/>
        <w:sz w:val="20"/>
      </w:rPr>
      <w:tab/>
    </w:r>
    <w:fldSimple w:instr=" DOCPROPERTY  &quot;Version Number&quot;  \* MERGEFORMAT ">
      <w:r w:rsidRPr="003E6B73">
        <w:rPr>
          <w:b/>
          <w:spacing w:val="-3"/>
          <w:sz w:val="20"/>
        </w:rPr>
        <w:t>Version 19.0</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8238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682A1A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BB41E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47C78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34FC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58B9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8602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6B307A52"/>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5F6E99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FFFFFFFB"/>
    <w:multiLevelType w:val="multilevel"/>
    <w:tmpl w:val="A6245762"/>
    <w:lvl w:ilvl="0">
      <w:start w:val="1"/>
      <w:numFmt w:val="decimal"/>
      <w:pStyle w:val="Heading1"/>
      <w:lvlText w:val="%1."/>
      <w:lvlJc w:val="left"/>
      <w:pPr>
        <w:tabs>
          <w:tab w:val="num" w:pos="0"/>
        </w:tabs>
        <w:ind w:left="720" w:hanging="720"/>
      </w:pPr>
      <w:rPr>
        <w:rFonts w:hint="default"/>
        <w:u w:val="none"/>
      </w:rPr>
    </w:lvl>
    <w:lvl w:ilvl="1">
      <w:start w:val="1"/>
      <w:numFmt w:val="decimal"/>
      <w:pStyle w:val="Heading2"/>
      <w:lvlText w:val="%1.%2."/>
      <w:lvlJc w:val="left"/>
      <w:pPr>
        <w:tabs>
          <w:tab w:val="num" w:pos="0"/>
        </w:tabs>
        <w:ind w:left="1146" w:hanging="720"/>
      </w:pPr>
      <w:rPr>
        <w:rFonts w:hint="default"/>
        <w:color w:val="000000"/>
        <w:u w:val="none"/>
      </w:rPr>
    </w:lvl>
    <w:lvl w:ilvl="2">
      <w:start w:val="1"/>
      <w:numFmt w:val="decimal"/>
      <w:pStyle w:val="Heading3"/>
      <w:lvlText w:val="%3.%1.%2"/>
      <w:lvlJc w:val="left"/>
      <w:pPr>
        <w:tabs>
          <w:tab w:val="num" w:pos="0"/>
        </w:tabs>
        <w:ind w:left="2160" w:hanging="720"/>
      </w:pPr>
      <w:rPr>
        <w:rFonts w:hint="default"/>
      </w:rPr>
    </w:lvl>
    <w:lvl w:ilvl="3">
      <w:start w:val="1"/>
      <w:numFmt w:val="decimal"/>
      <w:pStyle w:val="Heading4"/>
      <w:lvlText w:val="%1.%2.%3.%4."/>
      <w:lvlJc w:val="left"/>
      <w:pPr>
        <w:tabs>
          <w:tab w:val="num" w:pos="0"/>
        </w:tabs>
        <w:ind w:left="2880" w:hanging="720"/>
      </w:pPr>
      <w:rPr>
        <w:rFonts w:hint="default"/>
      </w:rPr>
    </w:lvl>
    <w:lvl w:ilvl="4">
      <w:start w:val="1"/>
      <w:numFmt w:val="decimal"/>
      <w:pStyle w:val="Heading5"/>
      <w:lvlText w:val="%1.%2.%3.%4.%5."/>
      <w:lvlJc w:val="left"/>
      <w:pPr>
        <w:tabs>
          <w:tab w:val="num" w:pos="0"/>
        </w:tabs>
        <w:ind w:left="3600" w:hanging="720"/>
      </w:pPr>
      <w:rPr>
        <w:rFonts w:hint="default"/>
      </w:rPr>
    </w:lvl>
    <w:lvl w:ilvl="5">
      <w:start w:val="1"/>
      <w:numFmt w:val="decimal"/>
      <w:pStyle w:val="Heading6"/>
      <w:lvlText w:val="%1.%2.%3.%4.%5.%6."/>
      <w:lvlJc w:val="left"/>
      <w:pPr>
        <w:tabs>
          <w:tab w:val="num" w:pos="0"/>
        </w:tabs>
        <w:ind w:left="4320" w:hanging="720"/>
      </w:pPr>
      <w:rPr>
        <w:rFonts w:hint="default"/>
      </w:rPr>
    </w:lvl>
    <w:lvl w:ilvl="6">
      <w:start w:val="1"/>
      <w:numFmt w:val="decimal"/>
      <w:pStyle w:val="Heading7"/>
      <w:lvlText w:val="%1.%2.%3.%4.%5.%6.%7."/>
      <w:lvlJc w:val="left"/>
      <w:pPr>
        <w:tabs>
          <w:tab w:val="num" w:pos="0"/>
        </w:tabs>
        <w:ind w:left="5040" w:hanging="720"/>
      </w:pPr>
      <w:rPr>
        <w:rFonts w:hint="default"/>
      </w:rPr>
    </w:lvl>
    <w:lvl w:ilvl="7">
      <w:start w:val="1"/>
      <w:numFmt w:val="decimal"/>
      <w:pStyle w:val="Heading8"/>
      <w:lvlText w:val="%1.%2.%3.%4.%5.%6.%7.%8."/>
      <w:lvlJc w:val="left"/>
      <w:pPr>
        <w:tabs>
          <w:tab w:val="num" w:pos="0"/>
        </w:tabs>
        <w:ind w:left="5760" w:hanging="720"/>
      </w:pPr>
      <w:rPr>
        <w:rFonts w:hint="default"/>
      </w:rPr>
    </w:lvl>
    <w:lvl w:ilvl="8">
      <w:start w:val="1"/>
      <w:numFmt w:val="decimal"/>
      <w:pStyle w:val="Heading9"/>
      <w:lvlText w:val="%1.%2.%3.%4.%5.%6.%7.%8.%9."/>
      <w:lvlJc w:val="left"/>
      <w:pPr>
        <w:tabs>
          <w:tab w:val="num" w:pos="0"/>
        </w:tabs>
        <w:ind w:left="6480" w:hanging="720"/>
      </w:pPr>
      <w:rPr>
        <w:rFont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0478F6"/>
    <w:multiLevelType w:val="hybridMultilevel"/>
    <w:tmpl w:val="86086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3A86E19"/>
    <w:multiLevelType w:val="hybridMultilevel"/>
    <w:tmpl w:val="F746DC32"/>
    <w:lvl w:ilvl="0" w:tplc="08090003">
      <w:start w:val="1"/>
      <w:numFmt w:val="bullet"/>
      <w:lvlText w:val="o"/>
      <w:lvlJc w:val="left"/>
      <w:pPr>
        <w:ind w:left="2062" w:hanging="360"/>
      </w:pPr>
      <w:rPr>
        <w:rFonts w:ascii="Courier New" w:hAnsi="Courier New" w:cs="Courier New"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13" w15:restartNumberingAfterBreak="0">
    <w:nsid w:val="0401521A"/>
    <w:multiLevelType w:val="hybridMultilevel"/>
    <w:tmpl w:val="ED965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52B7FB1"/>
    <w:multiLevelType w:val="hybridMultilevel"/>
    <w:tmpl w:val="F01C1C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C3B6FD7"/>
    <w:multiLevelType w:val="hybridMultilevel"/>
    <w:tmpl w:val="B93235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11010D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1094696"/>
    <w:multiLevelType w:val="hybridMultilevel"/>
    <w:tmpl w:val="60A03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BB023D"/>
    <w:multiLevelType w:val="hybridMultilevel"/>
    <w:tmpl w:val="11AA0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FD5766"/>
    <w:multiLevelType w:val="hybridMultilevel"/>
    <w:tmpl w:val="2C4602BE"/>
    <w:lvl w:ilvl="0" w:tplc="0396FB60">
      <w:start w:val="1"/>
      <w:numFmt w:val="lowerLetter"/>
      <w:pStyle w:val="ELEXONHeading1"/>
      <w:lvlText w:val="%1)"/>
      <w:lvlJc w:val="left"/>
      <w:pPr>
        <w:tabs>
          <w:tab w:val="num" w:pos="2237"/>
        </w:tabs>
        <w:ind w:left="2237" w:hanging="360"/>
      </w:pPr>
      <w:rPr>
        <w:rFonts w:hint="default"/>
      </w:rPr>
    </w:lvl>
    <w:lvl w:ilvl="1" w:tplc="08090019" w:tentative="1">
      <w:start w:val="1"/>
      <w:numFmt w:val="lowerLetter"/>
      <w:pStyle w:val="ELEXONHeading2"/>
      <w:lvlText w:val="%2."/>
      <w:lvlJc w:val="left"/>
      <w:pPr>
        <w:tabs>
          <w:tab w:val="num" w:pos="2957"/>
        </w:tabs>
        <w:ind w:left="2957" w:hanging="360"/>
      </w:pPr>
    </w:lvl>
    <w:lvl w:ilvl="2" w:tplc="0809001B" w:tentative="1">
      <w:start w:val="1"/>
      <w:numFmt w:val="lowerRoman"/>
      <w:pStyle w:val="ELEXONHeading3"/>
      <w:lvlText w:val="%3."/>
      <w:lvlJc w:val="right"/>
      <w:pPr>
        <w:tabs>
          <w:tab w:val="num" w:pos="3677"/>
        </w:tabs>
        <w:ind w:left="3677" w:hanging="180"/>
      </w:pPr>
    </w:lvl>
    <w:lvl w:ilvl="3" w:tplc="0809000F" w:tentative="1">
      <w:start w:val="1"/>
      <w:numFmt w:val="decimal"/>
      <w:pStyle w:val="ELEXONHeading4"/>
      <w:lvlText w:val="%4."/>
      <w:lvlJc w:val="left"/>
      <w:pPr>
        <w:tabs>
          <w:tab w:val="num" w:pos="4397"/>
        </w:tabs>
        <w:ind w:left="4397" w:hanging="360"/>
      </w:pPr>
    </w:lvl>
    <w:lvl w:ilvl="4" w:tplc="08090019" w:tentative="1">
      <w:start w:val="1"/>
      <w:numFmt w:val="lowerLetter"/>
      <w:lvlText w:val="%5."/>
      <w:lvlJc w:val="left"/>
      <w:pPr>
        <w:tabs>
          <w:tab w:val="num" w:pos="5117"/>
        </w:tabs>
        <w:ind w:left="5117" w:hanging="360"/>
      </w:pPr>
    </w:lvl>
    <w:lvl w:ilvl="5" w:tplc="0809001B" w:tentative="1">
      <w:start w:val="1"/>
      <w:numFmt w:val="lowerRoman"/>
      <w:lvlText w:val="%6."/>
      <w:lvlJc w:val="right"/>
      <w:pPr>
        <w:tabs>
          <w:tab w:val="num" w:pos="5837"/>
        </w:tabs>
        <w:ind w:left="5837" w:hanging="180"/>
      </w:pPr>
    </w:lvl>
    <w:lvl w:ilvl="6" w:tplc="0809000F" w:tentative="1">
      <w:start w:val="1"/>
      <w:numFmt w:val="decimal"/>
      <w:lvlText w:val="%7."/>
      <w:lvlJc w:val="left"/>
      <w:pPr>
        <w:tabs>
          <w:tab w:val="num" w:pos="6557"/>
        </w:tabs>
        <w:ind w:left="6557" w:hanging="360"/>
      </w:pPr>
    </w:lvl>
    <w:lvl w:ilvl="7" w:tplc="08090019" w:tentative="1">
      <w:start w:val="1"/>
      <w:numFmt w:val="lowerLetter"/>
      <w:lvlText w:val="%8."/>
      <w:lvlJc w:val="left"/>
      <w:pPr>
        <w:tabs>
          <w:tab w:val="num" w:pos="7277"/>
        </w:tabs>
        <w:ind w:left="7277" w:hanging="360"/>
      </w:pPr>
    </w:lvl>
    <w:lvl w:ilvl="8" w:tplc="0809001B" w:tentative="1">
      <w:start w:val="1"/>
      <w:numFmt w:val="lowerRoman"/>
      <w:lvlText w:val="%9."/>
      <w:lvlJc w:val="right"/>
      <w:pPr>
        <w:tabs>
          <w:tab w:val="num" w:pos="7997"/>
        </w:tabs>
        <w:ind w:left="7997" w:hanging="180"/>
      </w:pPr>
    </w:lvl>
  </w:abstractNum>
  <w:abstractNum w:abstractNumId="20" w15:restartNumberingAfterBreak="0">
    <w:nsid w:val="240A426C"/>
    <w:multiLevelType w:val="hybridMultilevel"/>
    <w:tmpl w:val="22B61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9C1E14"/>
    <w:multiLevelType w:val="hybridMultilevel"/>
    <w:tmpl w:val="30101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213151"/>
    <w:multiLevelType w:val="hybridMultilevel"/>
    <w:tmpl w:val="54800632"/>
    <w:lvl w:ilvl="0" w:tplc="08090005">
      <w:start w:val="1"/>
      <w:numFmt w:val="bullet"/>
      <w:lvlText w:val=""/>
      <w:lvlJc w:val="left"/>
      <w:pPr>
        <w:tabs>
          <w:tab w:val="num" w:pos="2062"/>
        </w:tabs>
        <w:ind w:left="2062" w:hanging="360"/>
      </w:pPr>
      <w:rPr>
        <w:rFonts w:ascii="Wingdings" w:hAnsi="Wingdings" w:hint="default"/>
      </w:rPr>
    </w:lvl>
    <w:lvl w:ilvl="1" w:tplc="08090003" w:tentative="1">
      <w:start w:val="1"/>
      <w:numFmt w:val="bullet"/>
      <w:lvlText w:val="o"/>
      <w:lvlJc w:val="left"/>
      <w:pPr>
        <w:tabs>
          <w:tab w:val="num" w:pos="2782"/>
        </w:tabs>
        <w:ind w:left="2782" w:hanging="360"/>
      </w:pPr>
      <w:rPr>
        <w:rFonts w:ascii="Courier New" w:hAnsi="Courier New" w:cs="Courier New" w:hint="default"/>
      </w:rPr>
    </w:lvl>
    <w:lvl w:ilvl="2" w:tplc="08090005" w:tentative="1">
      <w:start w:val="1"/>
      <w:numFmt w:val="bullet"/>
      <w:lvlText w:val=""/>
      <w:lvlJc w:val="left"/>
      <w:pPr>
        <w:tabs>
          <w:tab w:val="num" w:pos="3502"/>
        </w:tabs>
        <w:ind w:left="3502" w:hanging="360"/>
      </w:pPr>
      <w:rPr>
        <w:rFonts w:ascii="Wingdings" w:hAnsi="Wingdings" w:hint="default"/>
      </w:rPr>
    </w:lvl>
    <w:lvl w:ilvl="3" w:tplc="08090001" w:tentative="1">
      <w:start w:val="1"/>
      <w:numFmt w:val="bullet"/>
      <w:lvlText w:val=""/>
      <w:lvlJc w:val="left"/>
      <w:pPr>
        <w:tabs>
          <w:tab w:val="num" w:pos="4222"/>
        </w:tabs>
        <w:ind w:left="4222" w:hanging="360"/>
      </w:pPr>
      <w:rPr>
        <w:rFonts w:ascii="Symbol" w:hAnsi="Symbol" w:hint="default"/>
      </w:rPr>
    </w:lvl>
    <w:lvl w:ilvl="4" w:tplc="08090003" w:tentative="1">
      <w:start w:val="1"/>
      <w:numFmt w:val="bullet"/>
      <w:lvlText w:val="o"/>
      <w:lvlJc w:val="left"/>
      <w:pPr>
        <w:tabs>
          <w:tab w:val="num" w:pos="4942"/>
        </w:tabs>
        <w:ind w:left="4942" w:hanging="360"/>
      </w:pPr>
      <w:rPr>
        <w:rFonts w:ascii="Courier New" w:hAnsi="Courier New" w:cs="Courier New" w:hint="default"/>
      </w:rPr>
    </w:lvl>
    <w:lvl w:ilvl="5" w:tplc="08090005" w:tentative="1">
      <w:start w:val="1"/>
      <w:numFmt w:val="bullet"/>
      <w:lvlText w:val=""/>
      <w:lvlJc w:val="left"/>
      <w:pPr>
        <w:tabs>
          <w:tab w:val="num" w:pos="5662"/>
        </w:tabs>
        <w:ind w:left="5662" w:hanging="360"/>
      </w:pPr>
      <w:rPr>
        <w:rFonts w:ascii="Wingdings" w:hAnsi="Wingdings" w:hint="default"/>
      </w:rPr>
    </w:lvl>
    <w:lvl w:ilvl="6" w:tplc="08090001" w:tentative="1">
      <w:start w:val="1"/>
      <w:numFmt w:val="bullet"/>
      <w:lvlText w:val=""/>
      <w:lvlJc w:val="left"/>
      <w:pPr>
        <w:tabs>
          <w:tab w:val="num" w:pos="6382"/>
        </w:tabs>
        <w:ind w:left="6382" w:hanging="360"/>
      </w:pPr>
      <w:rPr>
        <w:rFonts w:ascii="Symbol" w:hAnsi="Symbol" w:hint="default"/>
      </w:rPr>
    </w:lvl>
    <w:lvl w:ilvl="7" w:tplc="08090003" w:tentative="1">
      <w:start w:val="1"/>
      <w:numFmt w:val="bullet"/>
      <w:lvlText w:val="o"/>
      <w:lvlJc w:val="left"/>
      <w:pPr>
        <w:tabs>
          <w:tab w:val="num" w:pos="7102"/>
        </w:tabs>
        <w:ind w:left="7102" w:hanging="360"/>
      </w:pPr>
      <w:rPr>
        <w:rFonts w:ascii="Courier New" w:hAnsi="Courier New" w:cs="Courier New" w:hint="default"/>
      </w:rPr>
    </w:lvl>
    <w:lvl w:ilvl="8" w:tplc="08090005" w:tentative="1">
      <w:start w:val="1"/>
      <w:numFmt w:val="bullet"/>
      <w:lvlText w:val=""/>
      <w:lvlJc w:val="left"/>
      <w:pPr>
        <w:tabs>
          <w:tab w:val="num" w:pos="7822"/>
        </w:tabs>
        <w:ind w:left="7822" w:hanging="360"/>
      </w:pPr>
      <w:rPr>
        <w:rFonts w:ascii="Wingdings" w:hAnsi="Wingdings" w:hint="default"/>
      </w:rPr>
    </w:lvl>
  </w:abstractNum>
  <w:abstractNum w:abstractNumId="23" w15:restartNumberingAfterBreak="0">
    <w:nsid w:val="383F7EF2"/>
    <w:multiLevelType w:val="hybridMultilevel"/>
    <w:tmpl w:val="B50ABD7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A93904"/>
    <w:multiLevelType w:val="singleLevel"/>
    <w:tmpl w:val="FFFFFFFF"/>
    <w:lvl w:ilvl="0">
      <w:numFmt w:val="decimal"/>
      <w:lvlText w:val="*"/>
      <w:lvlJc w:val="left"/>
    </w:lvl>
  </w:abstractNum>
  <w:abstractNum w:abstractNumId="25" w15:restartNumberingAfterBreak="0">
    <w:nsid w:val="3DFD4371"/>
    <w:multiLevelType w:val="hybridMultilevel"/>
    <w:tmpl w:val="EDFEB870"/>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30B42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418227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8" w15:restartNumberingAfterBreak="0">
    <w:nsid w:val="4F222007"/>
    <w:multiLevelType w:val="hybridMultilevel"/>
    <w:tmpl w:val="C0AE7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2B2F1C"/>
    <w:multiLevelType w:val="hybridMultilevel"/>
    <w:tmpl w:val="E7BA7F2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0" w15:restartNumberingAfterBreak="0">
    <w:nsid w:val="60887CFD"/>
    <w:multiLevelType w:val="hybridMultilevel"/>
    <w:tmpl w:val="42BECF56"/>
    <w:lvl w:ilvl="0" w:tplc="04090017">
      <w:start w:val="1"/>
      <w:numFmt w:val="lowerLetter"/>
      <w:lvlText w:val="%1)"/>
      <w:lvlJc w:val="left"/>
      <w:pPr>
        <w:tabs>
          <w:tab w:val="num" w:pos="2160"/>
        </w:tabs>
        <w:ind w:left="2160" w:hanging="360"/>
      </w:pPr>
      <w:rPr>
        <w:rFonts w:hint="default"/>
      </w:rPr>
    </w:lvl>
    <w:lvl w:ilvl="1" w:tplc="C2888382">
      <w:numFmt w:val="bullet"/>
      <w:lvlText w:val="•"/>
      <w:lvlJc w:val="left"/>
      <w:pPr>
        <w:ind w:left="2880" w:hanging="360"/>
      </w:pPr>
      <w:rPr>
        <w:rFonts w:ascii="Times New Roman" w:eastAsia="Times New Roman" w:hAnsi="Times New Roman" w:cs="Times New Roman"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6181631E"/>
    <w:multiLevelType w:val="hybridMultilevel"/>
    <w:tmpl w:val="3184EBF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4CC2841"/>
    <w:multiLevelType w:val="hybridMultilevel"/>
    <w:tmpl w:val="B44EA0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73111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8B405F9"/>
    <w:multiLevelType w:val="hybridMultilevel"/>
    <w:tmpl w:val="A9C8C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3F5232"/>
    <w:multiLevelType w:val="hybridMultilevel"/>
    <w:tmpl w:val="F9D8797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1D662F2"/>
    <w:multiLevelType w:val="hybridMultilevel"/>
    <w:tmpl w:val="77C661C4"/>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2D2291B"/>
    <w:multiLevelType w:val="hybridMultilevel"/>
    <w:tmpl w:val="A2C4A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B9093E"/>
    <w:multiLevelType w:val="hybridMultilevel"/>
    <w:tmpl w:val="7B968E0C"/>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9" w15:restartNumberingAfterBreak="0">
    <w:nsid w:val="7D8775C3"/>
    <w:multiLevelType w:val="multilevel"/>
    <w:tmpl w:val="E290683E"/>
    <w:lvl w:ilvl="0">
      <w:start w:val="1"/>
      <w:numFmt w:val="decimal"/>
      <w:lvlText w:val="%1."/>
      <w:lvlJc w:val="left"/>
      <w:pPr>
        <w:tabs>
          <w:tab w:val="num" w:pos="720"/>
        </w:tabs>
        <w:ind w:left="720" w:hanging="360"/>
      </w:pPr>
      <w:rPr>
        <w:rFonts w:hint="default"/>
      </w:rPr>
    </w:lvl>
    <w:lvl w:ilvl="1">
      <w:start w:val="9"/>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0" w15:restartNumberingAfterBreak="0">
    <w:nsid w:val="7DEC2CD9"/>
    <w:multiLevelType w:val="hybridMultilevel"/>
    <w:tmpl w:val="98B03D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7"/>
  </w:num>
  <w:num w:numId="2">
    <w:abstractNumId w:val="8"/>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 w:numId="11">
    <w:abstractNumId w:val="39"/>
  </w:num>
  <w:num w:numId="12">
    <w:abstractNumId w:val="19"/>
  </w:num>
  <w:num w:numId="13">
    <w:abstractNumId w:val="30"/>
  </w:num>
  <w:num w:numId="14">
    <w:abstractNumId w:val="10"/>
    <w:lvlOverride w:ilvl="0">
      <w:lvl w:ilvl="0">
        <w:start w:val="1"/>
        <w:numFmt w:val="bullet"/>
        <w:lvlText w:val=""/>
        <w:legacy w:legacy="1" w:legacySpace="0" w:legacyIndent="360"/>
        <w:lvlJc w:val="left"/>
        <w:pPr>
          <w:ind w:left="2062" w:hanging="360"/>
        </w:pPr>
        <w:rPr>
          <w:rFonts w:ascii="Symbol" w:hAnsi="Symbol" w:hint="default"/>
        </w:rPr>
      </w:lvl>
    </w:lvlOverride>
  </w:num>
  <w:num w:numId="15">
    <w:abstractNumId w:val="36"/>
  </w:num>
  <w:num w:numId="16">
    <w:abstractNumId w:val="25"/>
  </w:num>
  <w:num w:numId="17">
    <w:abstractNumId w:val="31"/>
  </w:num>
  <w:num w:numId="18">
    <w:abstractNumId w:val="35"/>
  </w:num>
  <w:num w:numId="19">
    <w:abstractNumId w:val="16"/>
  </w:num>
  <w:num w:numId="20">
    <w:abstractNumId w:val="26"/>
  </w:num>
  <w:num w:numId="21">
    <w:abstractNumId w:val="33"/>
  </w:num>
  <w:num w:numId="22">
    <w:abstractNumId w:val="32"/>
  </w:num>
  <w:num w:numId="23">
    <w:abstractNumId w:val="22"/>
  </w:num>
  <w:num w:numId="24">
    <w:abstractNumId w:val="23"/>
  </w:num>
  <w:num w:numId="25">
    <w:abstractNumId w:val="9"/>
  </w:num>
  <w:num w:numId="26">
    <w:abstractNumId w:val="12"/>
  </w:num>
  <w:num w:numId="27">
    <w:abstractNumId w:val="15"/>
  </w:num>
  <w:num w:numId="28">
    <w:abstractNumId w:val="9"/>
  </w:num>
  <w:num w:numId="29">
    <w:abstractNumId w:val="11"/>
  </w:num>
  <w:num w:numId="30">
    <w:abstractNumId w:val="40"/>
  </w:num>
  <w:num w:numId="31">
    <w:abstractNumId w:val="24"/>
  </w:num>
  <w:num w:numId="32">
    <w:abstractNumId w:val="38"/>
  </w:num>
  <w:num w:numId="33">
    <w:abstractNumId w:val="20"/>
  </w:num>
  <w:num w:numId="34">
    <w:abstractNumId w:val="29"/>
  </w:num>
  <w:num w:numId="35">
    <w:abstractNumId w:val="13"/>
  </w:num>
  <w:num w:numId="36">
    <w:abstractNumId w:val="37"/>
  </w:num>
  <w:num w:numId="37">
    <w:abstractNumId w:val="34"/>
  </w:num>
  <w:num w:numId="38">
    <w:abstractNumId w:val="14"/>
  </w:num>
  <w:num w:numId="39">
    <w:abstractNumId w:val="18"/>
  </w:num>
  <w:num w:numId="40">
    <w:abstractNumId w:val="21"/>
  </w:num>
  <w:num w:numId="41">
    <w:abstractNumId w:val="17"/>
  </w:num>
  <w:num w:numId="42">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44A"/>
    <w:rsid w:val="00077CC6"/>
    <w:rsid w:val="0009004E"/>
    <w:rsid w:val="00090DF9"/>
    <w:rsid w:val="0009604A"/>
    <w:rsid w:val="000B0253"/>
    <w:rsid w:val="000B4ED9"/>
    <w:rsid w:val="000C3F26"/>
    <w:rsid w:val="000D5D33"/>
    <w:rsid w:val="000D6CAC"/>
    <w:rsid w:val="000E3C39"/>
    <w:rsid w:val="000F24F3"/>
    <w:rsid w:val="000F4188"/>
    <w:rsid w:val="000F5DA8"/>
    <w:rsid w:val="00112FED"/>
    <w:rsid w:val="001133BE"/>
    <w:rsid w:val="00113D9D"/>
    <w:rsid w:val="001146D2"/>
    <w:rsid w:val="00114C19"/>
    <w:rsid w:val="00117989"/>
    <w:rsid w:val="00124CB5"/>
    <w:rsid w:val="00125995"/>
    <w:rsid w:val="0012644F"/>
    <w:rsid w:val="0013221C"/>
    <w:rsid w:val="00141B30"/>
    <w:rsid w:val="00145A55"/>
    <w:rsid w:val="001631C9"/>
    <w:rsid w:val="00166886"/>
    <w:rsid w:val="0017097A"/>
    <w:rsid w:val="00186313"/>
    <w:rsid w:val="001974F4"/>
    <w:rsid w:val="001A0BC8"/>
    <w:rsid w:val="001B10D6"/>
    <w:rsid w:val="001B628B"/>
    <w:rsid w:val="001C407E"/>
    <w:rsid w:val="001D2EF7"/>
    <w:rsid w:val="001E1910"/>
    <w:rsid w:val="001E4E00"/>
    <w:rsid w:val="001F0594"/>
    <w:rsid w:val="001F4A27"/>
    <w:rsid w:val="001F7B14"/>
    <w:rsid w:val="002268B7"/>
    <w:rsid w:val="00226E07"/>
    <w:rsid w:val="00226FFC"/>
    <w:rsid w:val="0023592B"/>
    <w:rsid w:val="00236EF7"/>
    <w:rsid w:val="00241DA7"/>
    <w:rsid w:val="002734EF"/>
    <w:rsid w:val="002806F6"/>
    <w:rsid w:val="002923A5"/>
    <w:rsid w:val="002A18BF"/>
    <w:rsid w:val="002B18D9"/>
    <w:rsid w:val="002B1F29"/>
    <w:rsid w:val="002B42CA"/>
    <w:rsid w:val="002B7BCB"/>
    <w:rsid w:val="002C7984"/>
    <w:rsid w:val="002D4304"/>
    <w:rsid w:val="002D652A"/>
    <w:rsid w:val="002D6DE1"/>
    <w:rsid w:val="002D7CE2"/>
    <w:rsid w:val="002F326A"/>
    <w:rsid w:val="002F4141"/>
    <w:rsid w:val="002F5C54"/>
    <w:rsid w:val="002F6A80"/>
    <w:rsid w:val="002F6F0B"/>
    <w:rsid w:val="003068D8"/>
    <w:rsid w:val="00317A3F"/>
    <w:rsid w:val="00317B22"/>
    <w:rsid w:val="003211CB"/>
    <w:rsid w:val="003247CD"/>
    <w:rsid w:val="003315F5"/>
    <w:rsid w:val="00331B64"/>
    <w:rsid w:val="00333371"/>
    <w:rsid w:val="003357E7"/>
    <w:rsid w:val="00340A25"/>
    <w:rsid w:val="00340C84"/>
    <w:rsid w:val="003478E7"/>
    <w:rsid w:val="0035737E"/>
    <w:rsid w:val="00372457"/>
    <w:rsid w:val="003B4D68"/>
    <w:rsid w:val="003C24AA"/>
    <w:rsid w:val="003E6B73"/>
    <w:rsid w:val="003F548F"/>
    <w:rsid w:val="00400200"/>
    <w:rsid w:val="0042011A"/>
    <w:rsid w:val="004575D2"/>
    <w:rsid w:val="00463706"/>
    <w:rsid w:val="00464FFA"/>
    <w:rsid w:val="00474439"/>
    <w:rsid w:val="004843E7"/>
    <w:rsid w:val="0048450A"/>
    <w:rsid w:val="00497EAC"/>
    <w:rsid w:val="004C5A97"/>
    <w:rsid w:val="004D2736"/>
    <w:rsid w:val="004D4BFB"/>
    <w:rsid w:val="004F26D0"/>
    <w:rsid w:val="0050014D"/>
    <w:rsid w:val="00503BE9"/>
    <w:rsid w:val="00504C54"/>
    <w:rsid w:val="005216F8"/>
    <w:rsid w:val="00527B12"/>
    <w:rsid w:val="0054168B"/>
    <w:rsid w:val="00542F40"/>
    <w:rsid w:val="00543B9C"/>
    <w:rsid w:val="0054644A"/>
    <w:rsid w:val="005808BB"/>
    <w:rsid w:val="005A1475"/>
    <w:rsid w:val="005B2AD3"/>
    <w:rsid w:val="005C0BA4"/>
    <w:rsid w:val="005C6FBD"/>
    <w:rsid w:val="005D5182"/>
    <w:rsid w:val="005D754C"/>
    <w:rsid w:val="005E0B09"/>
    <w:rsid w:val="005E2916"/>
    <w:rsid w:val="005F58A6"/>
    <w:rsid w:val="006062BC"/>
    <w:rsid w:val="00611977"/>
    <w:rsid w:val="00616E95"/>
    <w:rsid w:val="00627C8E"/>
    <w:rsid w:val="0063185A"/>
    <w:rsid w:val="006530F3"/>
    <w:rsid w:val="006825FF"/>
    <w:rsid w:val="006A55AE"/>
    <w:rsid w:val="006B14C7"/>
    <w:rsid w:val="006D48AA"/>
    <w:rsid w:val="006D70A3"/>
    <w:rsid w:val="006E68DD"/>
    <w:rsid w:val="006E7AE5"/>
    <w:rsid w:val="006F0D31"/>
    <w:rsid w:val="006F2FDE"/>
    <w:rsid w:val="006F7B44"/>
    <w:rsid w:val="00724531"/>
    <w:rsid w:val="00725B92"/>
    <w:rsid w:val="0073538C"/>
    <w:rsid w:val="0075127B"/>
    <w:rsid w:val="007539D6"/>
    <w:rsid w:val="00754F4E"/>
    <w:rsid w:val="007679FB"/>
    <w:rsid w:val="00775BE0"/>
    <w:rsid w:val="00780D96"/>
    <w:rsid w:val="00784BB7"/>
    <w:rsid w:val="00793536"/>
    <w:rsid w:val="00795243"/>
    <w:rsid w:val="007A0549"/>
    <w:rsid w:val="007D15EF"/>
    <w:rsid w:val="007D5DF2"/>
    <w:rsid w:val="007F24D9"/>
    <w:rsid w:val="007F2A02"/>
    <w:rsid w:val="007F66E2"/>
    <w:rsid w:val="007F6899"/>
    <w:rsid w:val="007F742F"/>
    <w:rsid w:val="00802FCE"/>
    <w:rsid w:val="008079D6"/>
    <w:rsid w:val="00811353"/>
    <w:rsid w:val="00821D75"/>
    <w:rsid w:val="0082234F"/>
    <w:rsid w:val="00824BD2"/>
    <w:rsid w:val="008318FB"/>
    <w:rsid w:val="00833578"/>
    <w:rsid w:val="00845F3E"/>
    <w:rsid w:val="00847493"/>
    <w:rsid w:val="00855BB8"/>
    <w:rsid w:val="008573B6"/>
    <w:rsid w:val="00867503"/>
    <w:rsid w:val="00874A06"/>
    <w:rsid w:val="008918A9"/>
    <w:rsid w:val="00895736"/>
    <w:rsid w:val="008B6F92"/>
    <w:rsid w:val="008B778E"/>
    <w:rsid w:val="008C0B85"/>
    <w:rsid w:val="008C5058"/>
    <w:rsid w:val="008D56FB"/>
    <w:rsid w:val="009047B4"/>
    <w:rsid w:val="009312D8"/>
    <w:rsid w:val="00931A54"/>
    <w:rsid w:val="009359EA"/>
    <w:rsid w:val="00940C64"/>
    <w:rsid w:val="00952D17"/>
    <w:rsid w:val="00954860"/>
    <w:rsid w:val="00954DA5"/>
    <w:rsid w:val="0097737D"/>
    <w:rsid w:val="009801CC"/>
    <w:rsid w:val="009951C0"/>
    <w:rsid w:val="009963E0"/>
    <w:rsid w:val="009A4E7D"/>
    <w:rsid w:val="009A6A2D"/>
    <w:rsid w:val="009B66C9"/>
    <w:rsid w:val="009C12EA"/>
    <w:rsid w:val="009C3FEB"/>
    <w:rsid w:val="009C4106"/>
    <w:rsid w:val="009F5A84"/>
    <w:rsid w:val="009F63F9"/>
    <w:rsid w:val="009F7603"/>
    <w:rsid w:val="00A00E8B"/>
    <w:rsid w:val="00A10311"/>
    <w:rsid w:val="00A20CD9"/>
    <w:rsid w:val="00A210C1"/>
    <w:rsid w:val="00A22751"/>
    <w:rsid w:val="00A27F2C"/>
    <w:rsid w:val="00A44494"/>
    <w:rsid w:val="00A445B4"/>
    <w:rsid w:val="00A80F72"/>
    <w:rsid w:val="00A83301"/>
    <w:rsid w:val="00A9732C"/>
    <w:rsid w:val="00AA4906"/>
    <w:rsid w:val="00AB37B6"/>
    <w:rsid w:val="00AC5D9E"/>
    <w:rsid w:val="00AD4A07"/>
    <w:rsid w:val="00AD6C5C"/>
    <w:rsid w:val="00AF036B"/>
    <w:rsid w:val="00AF608A"/>
    <w:rsid w:val="00AF67CE"/>
    <w:rsid w:val="00B04C5C"/>
    <w:rsid w:val="00B072EA"/>
    <w:rsid w:val="00B107AF"/>
    <w:rsid w:val="00B10E48"/>
    <w:rsid w:val="00B125EB"/>
    <w:rsid w:val="00B13D4B"/>
    <w:rsid w:val="00B16C90"/>
    <w:rsid w:val="00B35054"/>
    <w:rsid w:val="00B357D4"/>
    <w:rsid w:val="00B4591B"/>
    <w:rsid w:val="00B504B3"/>
    <w:rsid w:val="00B56310"/>
    <w:rsid w:val="00B64570"/>
    <w:rsid w:val="00B66A5B"/>
    <w:rsid w:val="00B7216B"/>
    <w:rsid w:val="00B74FCA"/>
    <w:rsid w:val="00B83758"/>
    <w:rsid w:val="00B9699B"/>
    <w:rsid w:val="00BA3F59"/>
    <w:rsid w:val="00BB30B7"/>
    <w:rsid w:val="00BC0DF2"/>
    <w:rsid w:val="00BD12AC"/>
    <w:rsid w:val="00BD72AF"/>
    <w:rsid w:val="00BE3B2A"/>
    <w:rsid w:val="00BF3029"/>
    <w:rsid w:val="00C12211"/>
    <w:rsid w:val="00C2469A"/>
    <w:rsid w:val="00C3121A"/>
    <w:rsid w:val="00C4425D"/>
    <w:rsid w:val="00C63A49"/>
    <w:rsid w:val="00C70BE3"/>
    <w:rsid w:val="00C71FF1"/>
    <w:rsid w:val="00C90CE2"/>
    <w:rsid w:val="00C9390A"/>
    <w:rsid w:val="00C94840"/>
    <w:rsid w:val="00CA2267"/>
    <w:rsid w:val="00CA7E8E"/>
    <w:rsid w:val="00CB1226"/>
    <w:rsid w:val="00CB3392"/>
    <w:rsid w:val="00CC3DA5"/>
    <w:rsid w:val="00CD38F6"/>
    <w:rsid w:val="00CE6C29"/>
    <w:rsid w:val="00CF3DB0"/>
    <w:rsid w:val="00D0409C"/>
    <w:rsid w:val="00D13190"/>
    <w:rsid w:val="00D16511"/>
    <w:rsid w:val="00D27E9F"/>
    <w:rsid w:val="00D349A8"/>
    <w:rsid w:val="00D37AD8"/>
    <w:rsid w:val="00D42B67"/>
    <w:rsid w:val="00D445FC"/>
    <w:rsid w:val="00D4734B"/>
    <w:rsid w:val="00D53593"/>
    <w:rsid w:val="00D5586C"/>
    <w:rsid w:val="00D57F0B"/>
    <w:rsid w:val="00D610DB"/>
    <w:rsid w:val="00D6146E"/>
    <w:rsid w:val="00D842F4"/>
    <w:rsid w:val="00DA02C8"/>
    <w:rsid w:val="00DC32AC"/>
    <w:rsid w:val="00DD0FFC"/>
    <w:rsid w:val="00DD6218"/>
    <w:rsid w:val="00DF36DC"/>
    <w:rsid w:val="00E13B53"/>
    <w:rsid w:val="00E216DE"/>
    <w:rsid w:val="00E22777"/>
    <w:rsid w:val="00E316B9"/>
    <w:rsid w:val="00E31873"/>
    <w:rsid w:val="00E53E20"/>
    <w:rsid w:val="00E6578C"/>
    <w:rsid w:val="00E707A7"/>
    <w:rsid w:val="00E72E50"/>
    <w:rsid w:val="00E75566"/>
    <w:rsid w:val="00EA5523"/>
    <w:rsid w:val="00EB6DE3"/>
    <w:rsid w:val="00EC0C86"/>
    <w:rsid w:val="00EC7240"/>
    <w:rsid w:val="00EC7879"/>
    <w:rsid w:val="00ED00A4"/>
    <w:rsid w:val="00EE1312"/>
    <w:rsid w:val="00EE340D"/>
    <w:rsid w:val="00EF4EFE"/>
    <w:rsid w:val="00F13F9F"/>
    <w:rsid w:val="00F155E7"/>
    <w:rsid w:val="00F34D90"/>
    <w:rsid w:val="00F57493"/>
    <w:rsid w:val="00F57DA3"/>
    <w:rsid w:val="00F66F6A"/>
    <w:rsid w:val="00F709E3"/>
    <w:rsid w:val="00F92264"/>
    <w:rsid w:val="00FA45B9"/>
    <w:rsid w:val="00FB0E4F"/>
    <w:rsid w:val="00FB2C00"/>
    <w:rsid w:val="00FC1B22"/>
    <w:rsid w:val="00FD7230"/>
    <w:rsid w:val="00FE17C9"/>
    <w:rsid w:val="00FE58A1"/>
    <w:rsid w:val="00FE6839"/>
    <w:rsid w:val="00FF7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3A0E85E"/>
  <w15:docId w15:val="{A21DA99F-8A4A-429E-A515-96A5798E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25"/>
      </w:numPr>
      <w:spacing w:before="240" w:after="240"/>
      <w:outlineLvl w:val="0"/>
    </w:pPr>
    <w:rPr>
      <w:b/>
      <w:kern w:val="28"/>
      <w:u w:val="single"/>
    </w:rPr>
  </w:style>
  <w:style w:type="paragraph" w:styleId="Heading2">
    <w:name w:val="heading 2"/>
    <w:basedOn w:val="Normal"/>
    <w:next w:val="BodyTextIndent"/>
    <w:link w:val="Heading2Char"/>
    <w:qFormat/>
    <w:pPr>
      <w:keepNext/>
      <w:numPr>
        <w:ilvl w:val="1"/>
        <w:numId w:val="25"/>
      </w:numPr>
      <w:spacing w:before="240" w:after="240"/>
      <w:outlineLvl w:val="1"/>
    </w:pPr>
    <w:rPr>
      <w:b/>
    </w:rPr>
  </w:style>
  <w:style w:type="paragraph" w:styleId="Heading3">
    <w:name w:val="heading 3"/>
    <w:basedOn w:val="Normal"/>
    <w:next w:val="BodyTextIndent"/>
    <w:qFormat/>
    <w:pPr>
      <w:keepNext/>
      <w:numPr>
        <w:ilvl w:val="2"/>
        <w:numId w:val="25"/>
      </w:numPr>
      <w:spacing w:after="240"/>
      <w:outlineLvl w:val="2"/>
    </w:pPr>
    <w:rPr>
      <w:i/>
    </w:rPr>
  </w:style>
  <w:style w:type="paragraph" w:styleId="Heading4">
    <w:name w:val="heading 4"/>
    <w:basedOn w:val="Normal"/>
    <w:next w:val="Normal"/>
    <w:qFormat/>
    <w:pPr>
      <w:keepNext/>
      <w:numPr>
        <w:ilvl w:val="3"/>
        <w:numId w:val="25"/>
      </w:numPr>
      <w:spacing w:before="240" w:after="60"/>
      <w:outlineLvl w:val="3"/>
    </w:pPr>
    <w:rPr>
      <w:b/>
      <w:i/>
    </w:rPr>
  </w:style>
  <w:style w:type="paragraph" w:styleId="Heading5">
    <w:name w:val="heading 5"/>
    <w:aliases w:val="Heading 5   Appendix A to X,Appendix A to X"/>
    <w:basedOn w:val="Normal"/>
    <w:next w:val="Normal"/>
    <w:qFormat/>
    <w:pPr>
      <w:numPr>
        <w:ilvl w:val="4"/>
        <w:numId w:val="25"/>
      </w:numPr>
      <w:spacing w:before="240" w:after="60"/>
      <w:outlineLvl w:val="4"/>
    </w:pPr>
    <w:rPr>
      <w:rFonts w:ascii="Arial" w:hAnsi="Arial"/>
      <w:sz w:val="22"/>
    </w:rPr>
  </w:style>
  <w:style w:type="paragraph" w:styleId="Heading6">
    <w:name w:val="heading 6"/>
    <w:basedOn w:val="Normal"/>
    <w:next w:val="Normal"/>
    <w:qFormat/>
    <w:pPr>
      <w:numPr>
        <w:ilvl w:val="5"/>
        <w:numId w:val="25"/>
      </w:numPr>
      <w:spacing w:before="240" w:after="60"/>
      <w:outlineLvl w:val="5"/>
    </w:pPr>
    <w:rPr>
      <w:rFonts w:ascii="Arial" w:hAnsi="Arial"/>
      <w:i/>
      <w:sz w:val="22"/>
    </w:rPr>
  </w:style>
  <w:style w:type="paragraph" w:styleId="Heading7">
    <w:name w:val="heading 7"/>
    <w:basedOn w:val="Normal"/>
    <w:next w:val="Normal"/>
    <w:qFormat/>
    <w:pPr>
      <w:numPr>
        <w:ilvl w:val="6"/>
        <w:numId w:val="25"/>
      </w:numPr>
      <w:spacing w:before="240" w:after="60"/>
      <w:outlineLvl w:val="6"/>
    </w:pPr>
    <w:rPr>
      <w:rFonts w:ascii="Arial" w:hAnsi="Arial"/>
    </w:rPr>
  </w:style>
  <w:style w:type="paragraph" w:styleId="Heading8">
    <w:name w:val="heading 8"/>
    <w:basedOn w:val="Normal"/>
    <w:next w:val="Normal"/>
    <w:qFormat/>
    <w:pPr>
      <w:numPr>
        <w:ilvl w:val="7"/>
        <w:numId w:val="25"/>
      </w:numPr>
      <w:spacing w:before="240" w:after="60"/>
      <w:outlineLvl w:val="7"/>
    </w:pPr>
    <w:rPr>
      <w:rFonts w:ascii="Arial" w:hAnsi="Arial"/>
      <w:i/>
    </w:rPr>
  </w:style>
  <w:style w:type="paragraph" w:styleId="Heading9">
    <w:name w:val="heading 9"/>
    <w:basedOn w:val="Normal"/>
    <w:next w:val="Normal"/>
    <w:qFormat/>
    <w:pPr>
      <w:numPr>
        <w:ilvl w:val="8"/>
        <w:numId w:val="25"/>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link w:val="FootnoteTextChar"/>
    <w:semiHidden/>
  </w:style>
  <w:style w:type="character" w:styleId="FootnoteReference">
    <w:name w:val="footnote reference"/>
    <w:basedOn w:val="DefaultParagraphFont"/>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G Times" w:hAnsi="CG Times"/>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firstLine="720"/>
    </w:pPr>
    <w:rPr>
      <w:b/>
      <w:sz w:val="28"/>
      <w:lang w:val="en-US"/>
    </w:rPr>
  </w:style>
  <w:style w:type="paragraph" w:customStyle="1" w:styleId="RightPar2">
    <w:name w:val="Right Par 2"/>
    <w:pPr>
      <w:tabs>
        <w:tab w:val="left" w:pos="-720"/>
        <w:tab w:val="left" w:pos="0"/>
        <w:tab w:val="left" w:pos="720"/>
        <w:tab w:val="decimal" w:pos="1440"/>
      </w:tabs>
      <w:suppressAutoHyphens/>
      <w:ind w:firstLine="1440"/>
    </w:pPr>
    <w:rPr>
      <w:b/>
      <w:sz w:val="28"/>
      <w:lang w:val="en-US"/>
    </w:rPr>
  </w:style>
  <w:style w:type="character" w:customStyle="1" w:styleId="Document3">
    <w:name w:val="Document 3"/>
    <w:basedOn w:val="DefaultParagraphFont"/>
    <w:rPr>
      <w:rFonts w:ascii="CG Times" w:hAnsi="CG Times"/>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firstLine="2160"/>
    </w:pPr>
    <w:rPr>
      <w:b/>
      <w:sz w:val="28"/>
      <w:lang w:val="en-US"/>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b/>
      <w:sz w:val="28"/>
      <w:lang w:val="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b/>
      <w:sz w:val="28"/>
      <w:lang w:val="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b/>
      <w:sz w:val="28"/>
      <w:lang w:val="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b/>
      <w:sz w:val="28"/>
      <w:lang w:val="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b/>
      <w:sz w:val="28"/>
      <w:lang w:val="en-US"/>
    </w:rPr>
  </w:style>
  <w:style w:type="paragraph" w:customStyle="1" w:styleId="Document1">
    <w:name w:val="Document 1"/>
    <w:pPr>
      <w:keepNext/>
      <w:keepLines/>
      <w:tabs>
        <w:tab w:val="left" w:pos="-720"/>
      </w:tabs>
      <w:suppressAutoHyphens/>
    </w:pPr>
    <w:rPr>
      <w:rFonts w:ascii="CG Times" w:hAnsi="CG Times"/>
      <w:sz w:val="24"/>
      <w:lang w:val="en-US"/>
    </w:rPr>
  </w:style>
  <w:style w:type="character" w:customStyle="1" w:styleId="TechInit">
    <w:name w:val="Tech Init"/>
    <w:basedOn w:val="DefaultParagraphFont"/>
    <w:rPr>
      <w:rFonts w:ascii="CG Times" w:hAnsi="CG Times"/>
      <w:noProof w:val="0"/>
      <w:sz w:val="24"/>
      <w:lang w:val="en-US"/>
    </w:rPr>
  </w:style>
  <w:style w:type="paragraph" w:customStyle="1" w:styleId="Technical5">
    <w:name w:val="Technical 5"/>
    <w:pPr>
      <w:tabs>
        <w:tab w:val="left" w:pos="-720"/>
      </w:tabs>
      <w:suppressAutoHyphens/>
      <w:ind w:firstLine="720"/>
    </w:pPr>
    <w:rPr>
      <w:rFonts w:ascii="CG Times" w:hAnsi="CG Times"/>
      <w:b/>
      <w:sz w:val="24"/>
      <w:lang w:val="en-US"/>
    </w:rPr>
  </w:style>
  <w:style w:type="paragraph" w:customStyle="1" w:styleId="Technical6">
    <w:name w:val="Technical 6"/>
    <w:pPr>
      <w:tabs>
        <w:tab w:val="left" w:pos="-720"/>
      </w:tabs>
      <w:suppressAutoHyphens/>
      <w:ind w:firstLine="720"/>
    </w:pPr>
    <w:rPr>
      <w:rFonts w:ascii="CG Times" w:hAnsi="CG Times"/>
      <w:b/>
      <w:sz w:val="24"/>
      <w:lang w:val="en-US"/>
    </w:rPr>
  </w:style>
  <w:style w:type="character" w:customStyle="1" w:styleId="Technical2">
    <w:name w:val="Technical 2"/>
    <w:basedOn w:val="DefaultParagraphFont"/>
    <w:rPr>
      <w:rFonts w:ascii="CG Times" w:hAnsi="CG Times"/>
      <w:noProof w:val="0"/>
      <w:sz w:val="24"/>
      <w:lang w:val="en-US"/>
    </w:rPr>
  </w:style>
  <w:style w:type="character" w:customStyle="1" w:styleId="Technical3">
    <w:name w:val="Technical 3"/>
    <w:basedOn w:val="DefaultParagraphFont"/>
    <w:rPr>
      <w:rFonts w:ascii="CG Times" w:hAnsi="CG Times"/>
      <w:noProof w:val="0"/>
      <w:sz w:val="24"/>
      <w:lang w:val="en-US"/>
    </w:rPr>
  </w:style>
  <w:style w:type="paragraph" w:customStyle="1" w:styleId="Technical4">
    <w:name w:val="Technical 4"/>
    <w:pPr>
      <w:tabs>
        <w:tab w:val="left" w:pos="-720"/>
      </w:tabs>
      <w:suppressAutoHyphens/>
    </w:pPr>
    <w:rPr>
      <w:rFonts w:ascii="CG Times" w:hAnsi="CG Times"/>
      <w:b/>
      <w:sz w:val="24"/>
      <w:lang w:val="en-US"/>
    </w:rPr>
  </w:style>
  <w:style w:type="character" w:customStyle="1" w:styleId="Technical1">
    <w:name w:val="Technical 1"/>
    <w:basedOn w:val="DefaultParagraphFont"/>
    <w:rPr>
      <w:rFonts w:ascii="CG Times" w:hAnsi="CG Times"/>
      <w:noProof w:val="0"/>
      <w:sz w:val="24"/>
      <w:lang w:val="en-US"/>
    </w:rPr>
  </w:style>
  <w:style w:type="paragraph" w:customStyle="1" w:styleId="Technical7">
    <w:name w:val="Technical 7"/>
    <w:pPr>
      <w:tabs>
        <w:tab w:val="left" w:pos="-720"/>
      </w:tabs>
      <w:suppressAutoHyphens/>
      <w:ind w:firstLine="720"/>
    </w:pPr>
    <w:rPr>
      <w:rFonts w:ascii="CG Times" w:hAnsi="CG Times"/>
      <w:b/>
      <w:sz w:val="24"/>
      <w:lang w:val="en-US"/>
    </w:rPr>
  </w:style>
  <w:style w:type="paragraph" w:customStyle="1" w:styleId="Technical8">
    <w:name w:val="Technical 8"/>
    <w:pPr>
      <w:tabs>
        <w:tab w:val="left" w:pos="-720"/>
      </w:tabs>
      <w:suppressAutoHyphens/>
      <w:ind w:firstLine="720"/>
    </w:pPr>
    <w:rPr>
      <w:rFonts w:ascii="CG Times" w:hAnsi="CG Times"/>
      <w:b/>
      <w:sz w:val="24"/>
      <w:lang w:val="en-US"/>
    </w:rPr>
  </w:style>
  <w:style w:type="character" w:customStyle="1" w:styleId="DocInit">
    <w:name w:val="Doc Init"/>
    <w:basedOn w:val="DefaultParagraphFont"/>
  </w:style>
  <w:style w:type="paragraph" w:styleId="TOC1">
    <w:name w:val="toc 1"/>
    <w:basedOn w:val="Normal"/>
    <w:next w:val="Normal"/>
    <w:uiPriority w:val="39"/>
    <w:rsid w:val="006825FF"/>
    <w:pPr>
      <w:tabs>
        <w:tab w:val="left" w:pos="567"/>
        <w:tab w:val="right" w:pos="9072"/>
      </w:tabs>
      <w:spacing w:before="60" w:after="60"/>
    </w:pPr>
    <w:rPr>
      <w:b/>
    </w:rPr>
  </w:style>
  <w:style w:type="paragraph" w:styleId="TOC2">
    <w:name w:val="toc 2"/>
    <w:basedOn w:val="Normal"/>
    <w:next w:val="Normal"/>
    <w:uiPriority w:val="39"/>
    <w:pPr>
      <w:tabs>
        <w:tab w:val="left" w:pos="567"/>
        <w:tab w:val="right" w:pos="9072"/>
      </w:tabs>
      <w:spacing w:before="120"/>
      <w:ind w:left="567" w:hanging="567"/>
    </w:pPr>
    <w:rPr>
      <w:sz w:val="20"/>
    </w:rPr>
  </w:style>
  <w:style w:type="paragraph" w:styleId="TOC3">
    <w:name w:val="toc 3"/>
    <w:basedOn w:val="Normal"/>
    <w:next w:val="Normal"/>
    <w:uiPriority w:val="39"/>
    <w:pPr>
      <w:tabs>
        <w:tab w:val="right" w:leader="dot" w:pos="9648"/>
      </w:tabs>
      <w:ind w:left="480"/>
    </w:pPr>
    <w:rPr>
      <w:sz w:val="20"/>
    </w:rPr>
  </w:style>
  <w:style w:type="paragraph" w:styleId="TOC4">
    <w:name w:val="toc 4"/>
    <w:basedOn w:val="Normal"/>
    <w:next w:val="Normal"/>
    <w:semiHidden/>
    <w:pPr>
      <w:tabs>
        <w:tab w:val="right" w:leader="dot" w:pos="9648"/>
      </w:tabs>
      <w:ind w:left="720"/>
    </w:pPr>
    <w:rPr>
      <w:sz w:val="20"/>
    </w:rPr>
  </w:style>
  <w:style w:type="paragraph" w:styleId="TOC5">
    <w:name w:val="toc 5"/>
    <w:basedOn w:val="Normal"/>
    <w:next w:val="Normal"/>
    <w:semiHidden/>
    <w:pPr>
      <w:tabs>
        <w:tab w:val="right" w:leader="dot" w:pos="9648"/>
      </w:tabs>
      <w:ind w:left="960"/>
    </w:pPr>
    <w:rPr>
      <w:sz w:val="20"/>
    </w:rPr>
  </w:style>
  <w:style w:type="paragraph" w:styleId="TOC6">
    <w:name w:val="toc 6"/>
    <w:basedOn w:val="Normal"/>
    <w:next w:val="Normal"/>
    <w:semiHidden/>
    <w:pPr>
      <w:tabs>
        <w:tab w:val="right" w:leader="dot" w:pos="9648"/>
      </w:tabs>
      <w:ind w:left="1200"/>
    </w:pPr>
    <w:rPr>
      <w:sz w:val="20"/>
    </w:rPr>
  </w:style>
  <w:style w:type="paragraph" w:styleId="TOC7">
    <w:name w:val="toc 7"/>
    <w:basedOn w:val="Normal"/>
    <w:next w:val="Normal"/>
    <w:semiHidden/>
    <w:pPr>
      <w:tabs>
        <w:tab w:val="right" w:leader="dot" w:pos="9648"/>
      </w:tabs>
      <w:ind w:left="1440"/>
    </w:pPr>
    <w:rPr>
      <w:sz w:val="20"/>
    </w:rPr>
  </w:style>
  <w:style w:type="paragraph" w:styleId="TOC8">
    <w:name w:val="toc 8"/>
    <w:basedOn w:val="Normal"/>
    <w:next w:val="Normal"/>
    <w:semiHidden/>
    <w:pPr>
      <w:tabs>
        <w:tab w:val="right" w:leader="dot" w:pos="9648"/>
      </w:tabs>
      <w:ind w:left="1680"/>
    </w:pPr>
    <w:rPr>
      <w:sz w:val="20"/>
    </w:rPr>
  </w:style>
  <w:style w:type="paragraph" w:styleId="TOC9">
    <w:name w:val="toc 9"/>
    <w:basedOn w:val="Normal"/>
    <w:next w:val="Normal"/>
    <w:semiHidden/>
    <w:pPr>
      <w:tabs>
        <w:tab w:val="right" w:leader="dot" w:pos="9648"/>
      </w:tabs>
      <w:ind w:left="1920"/>
    </w:pPr>
    <w:rPr>
      <w:sz w:val="20"/>
    </w:rPr>
  </w:style>
  <w:style w:type="paragraph" w:styleId="Index1">
    <w:name w:val="index 1"/>
    <w:basedOn w:val="Normal"/>
    <w:next w:val="Normal"/>
    <w:semiHidden/>
    <w:pPr>
      <w:tabs>
        <w:tab w:val="left" w:leader="dot" w:pos="9000"/>
        <w:tab w:val="right" w:pos="9360"/>
      </w:tabs>
      <w:suppressAutoHyphens/>
      <w:ind w:left="1440" w:right="720" w:hanging="1440"/>
    </w:pPr>
    <w:rPr>
      <w:b/>
      <w:sz w:val="28"/>
      <w:lang w:val="en-US"/>
    </w:rPr>
  </w:style>
  <w:style w:type="paragraph" w:styleId="Index2">
    <w:name w:val="index 2"/>
    <w:basedOn w:val="Normal"/>
    <w:next w:val="Normal"/>
    <w:semiHidden/>
    <w:pPr>
      <w:tabs>
        <w:tab w:val="left" w:leader="dot" w:pos="9000"/>
        <w:tab w:val="right" w:pos="9360"/>
      </w:tabs>
      <w:suppressAutoHyphens/>
      <w:ind w:left="1440" w:right="720" w:hanging="720"/>
    </w:pPr>
    <w:rPr>
      <w:b/>
      <w:sz w:val="28"/>
      <w:lang w:val="en-US"/>
    </w:rPr>
  </w:style>
  <w:style w:type="paragraph" w:styleId="TOAHeading">
    <w:name w:val="toa heading"/>
    <w:basedOn w:val="Normal"/>
    <w:next w:val="Normal"/>
    <w:semiHidden/>
    <w:pPr>
      <w:tabs>
        <w:tab w:val="left" w:pos="9000"/>
        <w:tab w:val="right" w:pos="9360"/>
      </w:tabs>
      <w:suppressAutoHyphens/>
    </w:pPr>
    <w:rPr>
      <w:b/>
      <w:sz w:val="28"/>
      <w:lang w:val="en-US"/>
    </w:r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320"/>
        <w:tab w:val="right" w:pos="8640"/>
        <w:tab w:val="right" w:pos="8784"/>
      </w:tabs>
      <w:suppressAutoHyphens/>
      <w:jc w:val="both"/>
    </w:pPr>
    <w:rPr>
      <w:spacing w:val="-2"/>
      <w:sz w:val="20"/>
      <w:lang w:val="en-US"/>
    </w:rPr>
  </w:style>
  <w:style w:type="character" w:styleId="PageNumber">
    <w:name w:val="page number"/>
    <w:basedOn w:val="DefaultParagraphFont"/>
  </w:style>
  <w:style w:type="character" w:customStyle="1" w:styleId="-Footer">
    <w:name w:val="- Footer"/>
    <w:basedOn w:val="DefaultParagraphFont"/>
    <w:rPr>
      <w:sz w:val="24"/>
    </w:rPr>
  </w:style>
  <w:style w:type="character" w:customStyle="1" w:styleId="-Header">
    <w:name w:val="- Header"/>
    <w:basedOn w:val="DefaultParagraphFont"/>
  </w:style>
  <w:style w:type="paragraph" w:customStyle="1" w:styleId="AppSection">
    <w:name w:val="App. Section"/>
    <w:pPr>
      <w:suppressAutoHyphens/>
    </w:pPr>
    <w:rPr>
      <w:rFonts w:ascii="CG Times" w:hAnsi="CG Times"/>
      <w:sz w:val="24"/>
      <w:lang w:val="en-US"/>
    </w:rPr>
  </w:style>
  <w:style w:type="paragraph" w:styleId="BodyText">
    <w:name w:val="Body Text"/>
    <w:basedOn w:val="Normal"/>
    <w:pPr>
      <w:spacing w:after="120"/>
      <w:jc w:val="both"/>
    </w:pPr>
  </w:style>
  <w:style w:type="paragraph" w:styleId="BodyTextIndent">
    <w:name w:val="Body Text Indent"/>
    <w:basedOn w:val="BodyText"/>
    <w:link w:val="BodyTextIndentChar"/>
    <w:pPr>
      <w:spacing w:after="240"/>
      <w:ind w:left="1418"/>
    </w:pPr>
  </w:style>
  <w:style w:type="character" w:customStyle="1" w:styleId="bullet1">
    <w:name w:val="bullet 1"/>
    <w:basedOn w:val="DefaultParagraphFont"/>
  </w:style>
  <w:style w:type="character" w:customStyle="1" w:styleId="bullet2">
    <w:name w:val="bullet 2"/>
    <w:basedOn w:val="DefaultParagraphFont"/>
  </w:style>
  <w:style w:type="character" w:customStyle="1" w:styleId="BulletList">
    <w:name w:val="Bullet List"/>
    <w:basedOn w:val="DefaultParagraphFont"/>
  </w:style>
  <w:style w:type="character" w:customStyle="1" w:styleId="DefaultPara">
    <w:name w:val="Default Para"/>
    <w:basedOn w:val="DefaultParagraphFont"/>
  </w:style>
  <w:style w:type="paragraph" w:customStyle="1" w:styleId="LANDSEC">
    <w:name w:val="LANDSEC"/>
    <w:pPr>
      <w:tabs>
        <w:tab w:val="left" w:pos="-720"/>
      </w:tabs>
      <w:suppressAutoHyphens/>
    </w:pPr>
    <w:rPr>
      <w:rFonts w:ascii="Arial" w:hAnsi="Arial"/>
      <w:sz w:val="48"/>
      <w:lang w:val="en-US"/>
    </w:rPr>
  </w:style>
  <w:style w:type="paragraph" w:customStyle="1" w:styleId="lettbull">
    <w:name w:val="lettbull"/>
    <w:pPr>
      <w:tabs>
        <w:tab w:val="left" w:pos="-720"/>
      </w:tabs>
      <w:suppressAutoHyphens/>
      <w:ind w:firstLine="1080"/>
    </w:pPr>
    <w:rPr>
      <w:rFonts w:ascii="CG Times" w:hAnsi="CG Times"/>
      <w:sz w:val="24"/>
      <w:lang w:val="en-US"/>
    </w:rPr>
  </w:style>
  <w:style w:type="paragraph" w:customStyle="1" w:styleId="MainSection">
    <w:name w:val="Main Section"/>
    <w:pPr>
      <w:tabs>
        <w:tab w:val="left" w:pos="-720"/>
      </w:tabs>
      <w:suppressAutoHyphens/>
    </w:pPr>
    <w:rPr>
      <w:rFonts w:ascii="Arial" w:hAnsi="Arial"/>
      <w:sz w:val="48"/>
      <w:lang w:val="en-US"/>
    </w:rPr>
  </w:style>
  <w:style w:type="paragraph" w:customStyle="1" w:styleId="MAJOR">
    <w:name w:val="MAJOR"/>
    <w:pPr>
      <w:tabs>
        <w:tab w:val="left" w:pos="-720"/>
      </w:tabs>
      <w:suppressAutoHyphens/>
    </w:pPr>
    <w:rPr>
      <w:rFonts w:ascii="Arial" w:hAnsi="Arial"/>
      <w:sz w:val="36"/>
      <w:lang w:val="en-US"/>
    </w:rPr>
  </w:style>
  <w:style w:type="paragraph" w:customStyle="1" w:styleId="MINOR">
    <w:name w:val="MINOR"/>
    <w:pPr>
      <w:tabs>
        <w:tab w:val="left" w:pos="-720"/>
      </w:tabs>
      <w:suppressAutoHyphens/>
    </w:pPr>
    <w:rPr>
      <w:rFonts w:ascii="Arial" w:hAnsi="Arial"/>
      <w:sz w:val="28"/>
      <w:lang w:val="en-US"/>
    </w:rPr>
  </w:style>
  <w:style w:type="paragraph" w:customStyle="1" w:styleId="Pleading">
    <w:name w:val="Pleading"/>
    <w:pPr>
      <w:tabs>
        <w:tab w:val="left" w:pos="-720"/>
      </w:tabs>
      <w:suppressAutoHyphens/>
      <w:spacing w:line="240" w:lineRule="exact"/>
    </w:pPr>
    <w:rPr>
      <w:rFonts w:ascii="CG Times" w:hAnsi="CG Times"/>
      <w:sz w:val="24"/>
      <w:lang w:val="en-US"/>
    </w:rPr>
  </w:style>
  <w:style w:type="paragraph" w:customStyle="1" w:styleId="report">
    <w:name w:val="report"/>
    <w:pPr>
      <w:tabs>
        <w:tab w:val="left" w:pos="846"/>
        <w:tab w:val="left" w:pos="2124"/>
        <w:tab w:val="left" w:pos="2694"/>
        <w:tab w:val="left" w:pos="3258"/>
        <w:tab w:val="left" w:pos="3402"/>
        <w:tab w:val="left" w:pos="3828"/>
        <w:tab w:val="left" w:pos="5808"/>
        <w:tab w:val="left" w:pos="7200"/>
        <w:tab w:val="left" w:pos="7938"/>
      </w:tabs>
      <w:suppressAutoHyphens/>
      <w:jc w:val="both"/>
    </w:pPr>
    <w:rPr>
      <w:spacing w:val="-2"/>
      <w:sz w:val="16"/>
      <w:lang w:val="en-US"/>
    </w:rPr>
  </w:style>
  <w:style w:type="character" w:customStyle="1" w:styleId="Reporton">
    <w:name w:val="Report on"/>
    <w:basedOn w:val="DefaultParagraphFont"/>
    <w:rPr>
      <w:rFonts w:ascii="Arial" w:hAnsi="Arial"/>
      <w:noProof w:val="0"/>
      <w:sz w:val="24"/>
      <w:lang w:val="en-US"/>
    </w:rPr>
  </w:style>
  <w:style w:type="paragraph" w:customStyle="1" w:styleId="SECTION">
    <w:name w:val="SECTION"/>
    <w:pPr>
      <w:tabs>
        <w:tab w:val="left" w:pos="-720"/>
      </w:tabs>
      <w:suppressAutoHyphens/>
    </w:pPr>
    <w:rPr>
      <w:rFonts w:ascii="Arial" w:hAnsi="Arial"/>
      <w:sz w:val="48"/>
      <w:lang w:val="en-US"/>
    </w:rPr>
  </w:style>
  <w:style w:type="paragraph" w:customStyle="1" w:styleId="SUB-MINOR">
    <w:name w:val="SUB-MINOR"/>
    <w:pPr>
      <w:tabs>
        <w:tab w:val="left" w:pos="-720"/>
      </w:tabs>
      <w:suppressAutoHyphens/>
    </w:pPr>
    <w:rPr>
      <w:rFonts w:ascii="Arial" w:hAnsi="Arial"/>
      <w:sz w:val="24"/>
      <w:lang w:val="en-US"/>
    </w:rPr>
  </w:style>
  <w:style w:type="paragraph" w:customStyle="1" w:styleId="SUBHEADING">
    <w:name w:val="SUBHEADING"/>
    <w:pPr>
      <w:tabs>
        <w:tab w:val="left" w:pos="-720"/>
      </w:tabs>
      <w:suppressAutoHyphens/>
    </w:pPr>
    <w:rPr>
      <w:rFonts w:ascii="Arial" w:hAnsi="Arial"/>
      <w:b/>
      <w:sz w:val="36"/>
      <w:lang w:val="en-US"/>
    </w:rPr>
  </w:style>
  <w:style w:type="paragraph" w:styleId="List">
    <w:name w:val="List"/>
    <w:basedOn w:val="Normal"/>
    <w:pPr>
      <w:ind w:left="360" w:hanging="360"/>
    </w:pPr>
  </w:style>
  <w:style w:type="paragraph" w:styleId="List2">
    <w:name w:val="List 2"/>
    <w:basedOn w:val="Normal"/>
    <w:pPr>
      <w:ind w:left="720" w:hanging="360"/>
    </w:pPr>
  </w:style>
  <w:style w:type="paragraph" w:styleId="ListBullet2">
    <w:name w:val="List Bullet 2"/>
    <w:basedOn w:val="Normal"/>
    <w:pPr>
      <w:ind w:left="720" w:hanging="360"/>
    </w:pPr>
  </w:style>
  <w:style w:type="paragraph" w:styleId="ListContinue2">
    <w:name w:val="List Continue 2"/>
    <w:basedOn w:val="Normal"/>
    <w:pPr>
      <w:spacing w:after="120"/>
      <w:ind w:left="720"/>
    </w:pPr>
  </w:style>
  <w:style w:type="paragraph" w:styleId="BodyText3">
    <w:name w:val="Body Text 3"/>
    <w:basedOn w:val="BodyTextIndent"/>
  </w:style>
  <w:style w:type="paragraph" w:styleId="BodyText2">
    <w:name w:val="Body Text 2"/>
    <w:basedOn w:val="Normal"/>
    <w:rPr>
      <w:sz w:val="20"/>
    </w:rPr>
  </w:style>
  <w:style w:type="paragraph" w:customStyle="1" w:styleId="qmstext">
    <w:name w:val="qmstext"/>
    <w:basedOn w:val="Normal"/>
    <w:pPr>
      <w:spacing w:after="120"/>
      <w:ind w:left="720"/>
    </w:pPr>
    <w:rPr>
      <w:rFonts w:ascii="Univers (W1)" w:hAnsi="Univers (W1)"/>
      <w:sz w:val="20"/>
    </w:rPr>
  </w:style>
  <w:style w:type="paragraph" w:customStyle="1" w:styleId="qmscell">
    <w:name w:val="qmscell"/>
    <w:basedOn w:val="Normal"/>
    <w:pPr>
      <w:spacing w:after="60"/>
    </w:pPr>
    <w:rPr>
      <w:rFonts w:ascii="Univers" w:hAnsi="Univers"/>
      <w:snapToGrid w:val="0"/>
      <w:sz w:val="20"/>
      <w:lang w:val="en-US" w:eastAsia="en-US"/>
    </w:rPr>
  </w:style>
  <w:style w:type="paragraph" w:styleId="BodyTextIndent2">
    <w:name w:val="Body Text Indent 2"/>
    <w:basedOn w:val="Normal"/>
    <w:pPr>
      <w:ind w:left="1418"/>
    </w:pPr>
  </w:style>
  <w:style w:type="paragraph" w:customStyle="1" w:styleId="qmstext-cell">
    <w:name w:val="qmstext-cell"/>
    <w:basedOn w:val="Normal"/>
    <w:pPr>
      <w:keepLines/>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after="80"/>
      <w:jc w:val="both"/>
    </w:pPr>
    <w:rPr>
      <w:rFonts w:ascii="Univers" w:hAnsi="Univers"/>
      <w:sz w:val="20"/>
    </w:rPr>
  </w:style>
  <w:style w:type="paragraph" w:styleId="BlockText">
    <w:name w:val="Block Text"/>
    <w:basedOn w:val="Normal"/>
    <w:pPr>
      <w:spacing w:after="120"/>
      <w:ind w:left="1440" w:right="1440"/>
    </w:pPr>
  </w:style>
  <w:style w:type="paragraph" w:styleId="BodyTextFirstIndent">
    <w:name w:val="Body Text First Indent"/>
    <w:basedOn w:val="BodyText"/>
    <w:pPr>
      <w:ind w:firstLine="210"/>
      <w:jc w:val="left"/>
    </w:pPr>
  </w:style>
  <w:style w:type="paragraph" w:styleId="BodyTextFirstIndent2">
    <w:name w:val="Body Text First Indent 2"/>
    <w:basedOn w:val="BodyTextIndent"/>
    <w:pPr>
      <w:spacing w:after="120"/>
      <w:ind w:left="283" w:firstLine="210"/>
      <w:jc w:val="left"/>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ccHeading1">
    <w:name w:val="ccHeading1"/>
    <w:basedOn w:val="ccNormal"/>
    <w:pPr>
      <w:spacing w:before="360" w:after="120"/>
      <w:outlineLvl w:val="0"/>
    </w:pPr>
    <w:rPr>
      <w:b/>
    </w:rPr>
  </w:style>
  <w:style w:type="paragraph" w:customStyle="1" w:styleId="ccNormal">
    <w:name w:val="ccNormal"/>
    <w:basedOn w:val="Normal"/>
    <w:pPr>
      <w:spacing w:line="280" w:lineRule="atLeast"/>
      <w:jc w:val="both"/>
    </w:pPr>
    <w:rPr>
      <w:rFonts w:ascii="Tahoma" w:eastAsia="Times" w:hAnsi="Tahoma"/>
      <w:sz w:val="20"/>
    </w:rPr>
  </w:style>
  <w:style w:type="character" w:styleId="Hyperlink">
    <w:name w:val="Hyperlink"/>
    <w:basedOn w:val="DefaultParagraphFont"/>
    <w:uiPriority w:val="99"/>
    <w:rPr>
      <w:color w:val="0000FF"/>
      <w:u w:val="single"/>
    </w:rPr>
  </w:style>
  <w:style w:type="paragraph" w:customStyle="1" w:styleId="ELEXONBody">
    <w:name w:val="ELEXON Body"/>
    <w:basedOn w:val="Normal"/>
    <w:pPr>
      <w:spacing w:after="140" w:line="280" w:lineRule="exact"/>
      <w:ind w:left="1080"/>
    </w:pPr>
    <w:rPr>
      <w:rFonts w:ascii="Tahoma" w:hAnsi="Tahoma"/>
      <w:sz w:val="20"/>
      <w:lang w:eastAsia="en-US"/>
    </w:rPr>
  </w:style>
  <w:style w:type="paragraph" w:styleId="BalloonText">
    <w:name w:val="Balloon Text"/>
    <w:basedOn w:val="Normal"/>
    <w:semiHidden/>
    <w:rPr>
      <w:rFonts w:ascii="Tahoma" w:hAnsi="Tahoma" w:cs="Tahoma"/>
      <w:sz w:val="16"/>
      <w:szCs w:val="16"/>
    </w:rPr>
  </w:style>
  <w:style w:type="paragraph" w:customStyle="1" w:styleId="NormalCentered">
    <w:name w:val="Normal + Centered"/>
    <w:basedOn w:val="Normal"/>
    <w:pPr>
      <w:jc w:val="center"/>
    </w:pPr>
  </w:style>
  <w:style w:type="paragraph" w:customStyle="1" w:styleId="ELEXONHeading1">
    <w:name w:val="ELEXON Heading 1"/>
    <w:basedOn w:val="Heading1"/>
    <w:next w:val="ELEXONBody"/>
    <w:pPr>
      <w:pageBreakBefore/>
      <w:numPr>
        <w:numId w:val="12"/>
      </w:numPr>
      <w:tabs>
        <w:tab w:val="right" w:pos="9072"/>
      </w:tabs>
      <w:spacing w:before="280" w:after="140" w:line="280" w:lineRule="exact"/>
    </w:pPr>
    <w:rPr>
      <w:rFonts w:ascii="Tahoma" w:eastAsia="Times" w:hAnsi="Tahoma"/>
      <w:caps/>
      <w:kern w:val="0"/>
      <w:u w:val="none"/>
      <w:lang w:eastAsia="en-US"/>
    </w:rPr>
  </w:style>
  <w:style w:type="paragraph" w:customStyle="1" w:styleId="ELEXONHeading2">
    <w:name w:val="ELEXON Heading 2"/>
    <w:basedOn w:val="ELEXONHeading1"/>
    <w:next w:val="ELEXONBody"/>
    <w:pPr>
      <w:pageBreakBefore w:val="0"/>
      <w:numPr>
        <w:ilvl w:val="1"/>
      </w:numPr>
      <w:spacing w:before="140"/>
    </w:pPr>
    <w:rPr>
      <w:caps w:val="0"/>
    </w:rPr>
  </w:style>
  <w:style w:type="paragraph" w:customStyle="1" w:styleId="ELEXONHeading3">
    <w:name w:val="ELEXON Heading 3"/>
    <w:basedOn w:val="Heading2"/>
    <w:next w:val="ELEXONBody"/>
    <w:pPr>
      <w:numPr>
        <w:ilvl w:val="2"/>
        <w:numId w:val="12"/>
      </w:numPr>
      <w:spacing w:before="140" w:after="140" w:line="280" w:lineRule="exact"/>
    </w:pPr>
    <w:rPr>
      <w:rFonts w:ascii="Tahoma" w:eastAsia="Times" w:hAnsi="Tahoma"/>
      <w:b w:val="0"/>
      <w:sz w:val="20"/>
      <w:lang w:eastAsia="en-US"/>
    </w:rPr>
  </w:style>
  <w:style w:type="paragraph" w:customStyle="1" w:styleId="ELEXONHeading4">
    <w:name w:val="ELEXON Heading 4"/>
    <w:basedOn w:val="Heading1"/>
    <w:next w:val="ELEXONBody"/>
    <w:pPr>
      <w:numPr>
        <w:ilvl w:val="3"/>
        <w:numId w:val="12"/>
      </w:numPr>
      <w:tabs>
        <w:tab w:val="left" w:pos="1080"/>
      </w:tabs>
      <w:spacing w:before="140" w:after="0" w:line="280" w:lineRule="exact"/>
    </w:pPr>
    <w:rPr>
      <w:rFonts w:ascii="Tahoma" w:eastAsia="Times" w:hAnsi="Tahoma"/>
      <w:i/>
      <w:kern w:val="0"/>
      <w:sz w:val="20"/>
      <w:u w:val="none"/>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pPr>
      <w:spacing w:after="160"/>
    </w:pPr>
    <w:rPr>
      <w:rFonts w:ascii="Tahoma" w:hAnsi="Tahoma"/>
      <w:sz w:val="16"/>
    </w:rPr>
  </w:style>
  <w:style w:type="paragraph" w:customStyle="1" w:styleId="CoverHeading">
    <w:name w:val="Cover Heading"/>
    <w:link w:val="CoverHeadingChar"/>
    <w:pPr>
      <w:spacing w:before="113" w:after="113"/>
    </w:pPr>
    <w:rPr>
      <w:rFonts w:ascii="Tahoma" w:hAnsi="Tahoma"/>
      <w:b/>
      <w:sz w:val="24"/>
      <w:szCs w:val="24"/>
    </w:rPr>
  </w:style>
  <w:style w:type="character" w:customStyle="1" w:styleId="CoverHeadingChar">
    <w:name w:val="Cover Heading Char"/>
    <w:basedOn w:val="DefaultParagraphFont"/>
    <w:link w:val="CoverHeading"/>
    <w:rPr>
      <w:rFonts w:ascii="Tahoma" w:hAnsi="Tahoma"/>
      <w:b/>
      <w:sz w:val="24"/>
      <w:szCs w:val="24"/>
      <w:lang w:val="en-GB" w:eastAsia="en-GB" w:bidi="ar-SA"/>
    </w:rPr>
  </w:style>
  <w:style w:type="paragraph" w:customStyle="1" w:styleId="StyleHeading1Before0pt">
    <w:name w:val="Style Heading 1 + Before:  0 pt"/>
    <w:basedOn w:val="Heading1"/>
    <w:pPr>
      <w:spacing w:before="0"/>
    </w:pPr>
    <w:rPr>
      <w:b w:val="0"/>
      <w:bCs/>
      <w:sz w:val="28"/>
      <w:u w:val="none"/>
    </w:rPr>
  </w:style>
  <w:style w:type="character" w:styleId="FollowedHyperlink">
    <w:name w:val="FollowedHyperlink"/>
    <w:basedOn w:val="DefaultParagraphFont"/>
    <w:rPr>
      <w:color w:val="800080"/>
      <w:u w:val="single"/>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rPr>
      <w:b/>
      <w:sz w:val="24"/>
    </w:rPr>
  </w:style>
  <w:style w:type="character" w:customStyle="1" w:styleId="BodyTextIndentChar">
    <w:name w:val="Body Text Indent Char"/>
    <w:basedOn w:val="DefaultParagraphFont"/>
    <w:link w:val="BodyTextIndent"/>
    <w:rPr>
      <w:sz w:val="24"/>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style>
  <w:style w:type="character" w:customStyle="1" w:styleId="CommentSubjectChar">
    <w:name w:val="Comment Subject Char"/>
    <w:basedOn w:val="CommentTextChar"/>
    <w:link w:val="CommentSubject"/>
    <w:uiPriority w:val="99"/>
    <w:semiHidden/>
    <w:rPr>
      <w:b/>
      <w:bCs/>
    </w:rPr>
  </w:style>
  <w:style w:type="paragraph" w:styleId="Revision">
    <w:name w:val="Revision"/>
    <w:hidden/>
    <w:uiPriority w:val="99"/>
    <w:semiHidden/>
    <w:rPr>
      <w:sz w:val="24"/>
    </w:rPr>
  </w:style>
  <w:style w:type="character" w:customStyle="1" w:styleId="FootnoteTextChar">
    <w:name w:val="Footnote Text Char"/>
    <w:basedOn w:val="DefaultParagraphFont"/>
    <w:link w:val="FootnoteText"/>
    <w:semiHidden/>
    <w:rsid w:val="0047443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55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elexon.co.uk/wp-content/uploads/2015/10/28162313/256_15_Trading-Dispute-DA797-update_PUBLIC.pdf" TargetMode="External"/><Relationship Id="rId13" Type="http://schemas.openxmlformats.org/officeDocument/2006/relationships/hyperlink" Target="https://www.elexon.co.uk/csd/bscp20-registration-of-metering-systems-for-central-volume-allocatio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lexon.co.uk/csd/bscp20-registration-of-metering-systems-for-central-volume-allocation/" TargetMode="External"/><Relationship Id="rId17" Type="http://schemas.openxmlformats.org/officeDocument/2006/relationships/hyperlink" Target="https://www.elexon.co.uk/csd/service-description-for-central-data-collection/" TargetMode="External"/><Relationship Id="rId2" Type="http://schemas.openxmlformats.org/officeDocument/2006/relationships/numbering" Target="numbering.xml"/><Relationship Id="rId16" Type="http://schemas.openxmlformats.org/officeDocument/2006/relationships/hyperlink" Target="https://www.elexon.co.uk/the-bsc/bsc-section-k-classification-and-registration-of-metering-systems-and-bm-uni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exon.co.uk/reference/performance-assurance/performance-assurance-processes/performance-assurance-risk-evaluation-register/020-cva-risk-cva-metering-equipment-installation-and-commissioning/" TargetMode="External"/><Relationship Id="rId5" Type="http://schemas.openxmlformats.org/officeDocument/2006/relationships/webSettings" Target="webSettings.xml"/><Relationship Id="rId15" Type="http://schemas.openxmlformats.org/officeDocument/2006/relationships/hyperlink" Target="https://www.elexon.co.uk/the-bsc/bsc-section-l-metering/" TargetMode="External"/><Relationship Id="rId10" Type="http://schemas.openxmlformats.org/officeDocument/2006/relationships/hyperlink" Target="https://www.elexon.co.uk/csd/bscp02-proving-test-requirements-for-central-volume-allocation-metering-system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lexon.co.uk/csd/cop-code-of-practice-4/" TargetMode="External"/><Relationship Id="rId14" Type="http://schemas.openxmlformats.org/officeDocument/2006/relationships/hyperlink" Target="https://www.elexon.co.uk/csd/bscp68-transfer-of-registration-of-metering-systems-between-cmrs-and-s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19CA9-391A-4047-8E7F-B642F2FD5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1361</Words>
  <Characters>9032</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BSCP40: Change Management</vt:lpstr>
    </vt:vector>
  </TitlesOfParts>
  <Company>ELEXON</Company>
  <LinksUpToDate>false</LinksUpToDate>
  <CharactersWithSpaces>10373</CharactersWithSpaces>
  <SharedDoc>false</SharedDoc>
  <HLinks>
    <vt:vector size="6" baseType="variant">
      <vt:variant>
        <vt:i4>2490460</vt:i4>
      </vt:variant>
      <vt:variant>
        <vt:i4>123</vt:i4>
      </vt:variant>
      <vt:variant>
        <vt:i4>0</vt:i4>
      </vt:variant>
      <vt:variant>
        <vt:i4>5</vt:i4>
      </vt:variant>
      <vt:variant>
        <vt:lpwstr/>
      </vt:variant>
      <vt:variant>
        <vt:lpwstr>_2.2_List_of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BSCP40: Change Management</dc:title>
  <dc:subject>BSCP40:  No longer includes the Modification Proposal form, which is available to download separately from the Change and BSCP sections of the BSC Website.</dc:subject>
  <dc:creator>ELEXON</dc:creator>
  <cp:keywords>BSCP40,Change,Management,Modification,Change,Proposal</cp:keywords>
  <cp:lastModifiedBy>Stanley Dikeocha</cp:lastModifiedBy>
  <cp:revision>4</cp:revision>
  <cp:lastPrinted>2019-03-28T09:06:00Z</cp:lastPrinted>
  <dcterms:created xsi:type="dcterms:W3CDTF">2022-06-23T15:07:00Z</dcterms:created>
  <dcterms:modified xsi:type="dcterms:W3CDTF">2022-06-24T08:00:00Z</dcterms:modified>
  <cp:category>BSCP</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ffective Date">
    <vt:lpwstr>27 June 2019</vt:lpwstr>
  </property>
  <property fmtid="{D5CDD505-2E9C-101B-9397-08002B2CF9AE}" pid="3" name="Version Number">
    <vt:lpwstr>Version 19.0</vt:lpwstr>
  </property>
</Properties>
</file>