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F053BC" w14:textId="77777777" w:rsidR="00B63954" w:rsidRPr="00881961" w:rsidRDefault="006209D4" w:rsidP="00B63954">
      <w:pPr>
        <w:pStyle w:val="Heading1"/>
      </w:pPr>
      <w:r>
        <w:t>Performance Thresholds</w:t>
      </w:r>
    </w:p>
    <w:p w14:paraId="7BC90E43" w14:textId="77777777" w:rsidR="00B63954" w:rsidRPr="00881961" w:rsidRDefault="0083462B" w:rsidP="00694395">
      <w:pPr>
        <w:pStyle w:val="Heading2"/>
      </w:pPr>
      <w:r>
        <w:rPr>
          <w:rStyle w:val="Strong"/>
          <w:b/>
          <w:bCs/>
          <w:color w:val="00008C"/>
        </w:rPr>
        <w:t>Performance Assurance Board (PAB)</w:t>
      </w:r>
    </w:p>
    <w:tbl>
      <w:tblPr>
        <w:tblStyle w:val="TableGrid"/>
        <w:tblW w:w="10546" w:type="dxa"/>
        <w:jc w:val="center"/>
        <w:tblBorders>
          <w:left w:val="single" w:sz="4" w:space="0" w:color="auto"/>
          <w:right w:val="single" w:sz="4" w:space="0" w:color="auto"/>
        </w:tblBorders>
        <w:tblCellMar>
          <w:left w:w="0" w:type="dxa"/>
          <w:right w:w="0" w:type="dxa"/>
        </w:tblCellMar>
        <w:tblLook w:val="04A0" w:firstRow="1" w:lastRow="0" w:firstColumn="1" w:lastColumn="0" w:noHBand="0" w:noVBand="1"/>
      </w:tblPr>
      <w:tblGrid>
        <w:gridCol w:w="1701"/>
        <w:gridCol w:w="3453"/>
        <w:gridCol w:w="237"/>
        <w:gridCol w:w="1555"/>
        <w:gridCol w:w="3600"/>
      </w:tblGrid>
      <w:tr w:rsidR="00E92F8B" w:rsidRPr="00881961" w14:paraId="640758A4" w14:textId="77777777" w:rsidTr="004F575B">
        <w:trPr>
          <w:trHeight w:val="680"/>
          <w:jc w:val="center"/>
        </w:trPr>
        <w:tc>
          <w:tcPr>
            <w:tcW w:w="1701" w:type="dxa"/>
            <w:tcBorders>
              <w:top w:val="single" w:sz="4" w:space="0" w:color="231F20" w:themeColor="text2"/>
              <w:left w:val="nil"/>
              <w:right w:val="nil"/>
            </w:tcBorders>
          </w:tcPr>
          <w:p w14:paraId="6B351EAB" w14:textId="77777777" w:rsidR="00E92F8B" w:rsidRPr="00881961" w:rsidRDefault="00E92F8B" w:rsidP="00E92F8B">
            <w:pPr>
              <w:pStyle w:val="ElexonTableTextSmall"/>
            </w:pPr>
            <w:r w:rsidRPr="00881961">
              <w:t>Date of meeting</w:t>
            </w:r>
          </w:p>
        </w:tc>
        <w:tc>
          <w:tcPr>
            <w:tcW w:w="3453" w:type="dxa"/>
            <w:tcBorders>
              <w:top w:val="single" w:sz="4" w:space="0" w:color="231F20" w:themeColor="text2"/>
              <w:left w:val="nil"/>
              <w:right w:val="nil"/>
            </w:tcBorders>
          </w:tcPr>
          <w:p w14:paraId="6FE6807A" w14:textId="77777777" w:rsidR="00E92F8B" w:rsidRPr="00881961" w:rsidRDefault="00972F78" w:rsidP="00827C18">
            <w:pPr>
              <w:pStyle w:val="ElexonTableTextLarge"/>
              <w:rPr>
                <w:rStyle w:val="Strong"/>
              </w:rPr>
            </w:pPr>
            <w:r>
              <w:rPr>
                <w:rStyle w:val="Strong"/>
              </w:rPr>
              <w:t>27 May</w:t>
            </w:r>
            <w:r w:rsidR="00827C18">
              <w:rPr>
                <w:rStyle w:val="Strong"/>
              </w:rPr>
              <w:t xml:space="preserve"> 2021</w:t>
            </w:r>
          </w:p>
        </w:tc>
        <w:tc>
          <w:tcPr>
            <w:tcW w:w="237" w:type="dxa"/>
            <w:tcBorders>
              <w:top w:val="nil"/>
              <w:left w:val="nil"/>
              <w:bottom w:val="nil"/>
            </w:tcBorders>
          </w:tcPr>
          <w:p w14:paraId="78DBB9FC" w14:textId="77777777" w:rsidR="00E92F8B" w:rsidRPr="00881961" w:rsidRDefault="00E92F8B" w:rsidP="00E92F8B"/>
        </w:tc>
        <w:tc>
          <w:tcPr>
            <w:tcW w:w="1555" w:type="dxa"/>
            <w:tcBorders>
              <w:right w:val="nil"/>
            </w:tcBorders>
          </w:tcPr>
          <w:p w14:paraId="207AE785" w14:textId="77777777" w:rsidR="00E92F8B" w:rsidRPr="00881961" w:rsidRDefault="00E92F8B" w:rsidP="00E92F8B">
            <w:pPr>
              <w:pStyle w:val="ElexonTableTextSmall"/>
            </w:pPr>
            <w:r w:rsidRPr="00881961">
              <w:t>Paper number</w:t>
            </w:r>
          </w:p>
        </w:tc>
        <w:tc>
          <w:tcPr>
            <w:tcW w:w="3600" w:type="dxa"/>
            <w:tcBorders>
              <w:right w:val="nil"/>
            </w:tcBorders>
          </w:tcPr>
          <w:p w14:paraId="26108D3E" w14:textId="77777777" w:rsidR="00E92F8B" w:rsidRPr="00881961" w:rsidRDefault="009866E6" w:rsidP="00972F78">
            <w:pPr>
              <w:pStyle w:val="ElexonTableTextLarge"/>
              <w:rPr>
                <w:rStyle w:val="Strong"/>
              </w:rPr>
            </w:pPr>
            <w:r>
              <w:rPr>
                <w:rStyle w:val="Strong"/>
              </w:rPr>
              <w:t>PAB2</w:t>
            </w:r>
            <w:r w:rsidR="00972F78">
              <w:rPr>
                <w:rStyle w:val="Strong"/>
              </w:rPr>
              <w:t>44/XX</w:t>
            </w:r>
          </w:p>
        </w:tc>
      </w:tr>
      <w:tr w:rsidR="00E92F8B" w:rsidRPr="00881961" w14:paraId="3F9C6C99" w14:textId="77777777" w:rsidTr="009F28C7">
        <w:trPr>
          <w:trHeight w:val="680"/>
          <w:jc w:val="center"/>
        </w:trPr>
        <w:tc>
          <w:tcPr>
            <w:tcW w:w="1701" w:type="dxa"/>
            <w:tcBorders>
              <w:top w:val="single" w:sz="4" w:space="0" w:color="231F20" w:themeColor="text2"/>
              <w:left w:val="nil"/>
              <w:bottom w:val="single" w:sz="4" w:space="0" w:color="auto"/>
              <w:right w:val="nil"/>
            </w:tcBorders>
          </w:tcPr>
          <w:p w14:paraId="08E0729C" w14:textId="77777777" w:rsidR="00E92F8B" w:rsidRPr="00881961" w:rsidRDefault="00E92F8B" w:rsidP="00E92F8B">
            <w:pPr>
              <w:pStyle w:val="ElexonTableTextSmall"/>
            </w:pPr>
            <w:r w:rsidRPr="00881961">
              <w:t>Owner/author</w:t>
            </w:r>
          </w:p>
        </w:tc>
        <w:tc>
          <w:tcPr>
            <w:tcW w:w="3453" w:type="dxa"/>
            <w:tcBorders>
              <w:top w:val="single" w:sz="4" w:space="0" w:color="231F20" w:themeColor="text2"/>
              <w:left w:val="nil"/>
              <w:bottom w:val="single" w:sz="4" w:space="0" w:color="auto"/>
              <w:right w:val="nil"/>
            </w:tcBorders>
          </w:tcPr>
          <w:p w14:paraId="259974C9" w14:textId="77777777" w:rsidR="00E92F8B" w:rsidRPr="00881961" w:rsidRDefault="0032638D" w:rsidP="00535B5A">
            <w:pPr>
              <w:pStyle w:val="ElexonTableTextLarge"/>
              <w:rPr>
                <w:rStyle w:val="Strong"/>
              </w:rPr>
            </w:pPr>
            <w:r>
              <w:rPr>
                <w:rStyle w:val="Strong"/>
              </w:rPr>
              <w:t>Anna Millar</w:t>
            </w:r>
          </w:p>
        </w:tc>
        <w:tc>
          <w:tcPr>
            <w:tcW w:w="237" w:type="dxa"/>
            <w:tcBorders>
              <w:top w:val="nil"/>
              <w:left w:val="nil"/>
              <w:bottom w:val="nil"/>
            </w:tcBorders>
          </w:tcPr>
          <w:p w14:paraId="0B21F9A5" w14:textId="77777777" w:rsidR="00E92F8B" w:rsidRPr="00881961" w:rsidRDefault="00E92F8B" w:rsidP="000117E1"/>
        </w:tc>
        <w:tc>
          <w:tcPr>
            <w:tcW w:w="1555" w:type="dxa"/>
            <w:tcBorders>
              <w:right w:val="nil"/>
            </w:tcBorders>
          </w:tcPr>
          <w:p w14:paraId="3172F261" w14:textId="77777777" w:rsidR="00E92F8B" w:rsidRPr="00881961" w:rsidRDefault="00E92F8B" w:rsidP="00E92F8B">
            <w:pPr>
              <w:pStyle w:val="ElexonTableTextSmall"/>
            </w:pPr>
            <w:r w:rsidRPr="00881961">
              <w:t>Purpose of paper</w:t>
            </w:r>
          </w:p>
        </w:tc>
        <w:tc>
          <w:tcPr>
            <w:tcW w:w="3600" w:type="dxa"/>
            <w:tcBorders>
              <w:right w:val="nil"/>
            </w:tcBorders>
          </w:tcPr>
          <w:p w14:paraId="21C93900" w14:textId="77777777" w:rsidR="00E92F8B" w:rsidRPr="00881961" w:rsidRDefault="00166330" w:rsidP="00166330">
            <w:pPr>
              <w:pStyle w:val="ElexonTableTextLarge"/>
              <w:rPr>
                <w:rStyle w:val="Strong"/>
              </w:rPr>
            </w:pPr>
            <w:r>
              <w:rPr>
                <w:rStyle w:val="Strong"/>
              </w:rPr>
              <w:t>Attachment</w:t>
            </w:r>
          </w:p>
        </w:tc>
      </w:tr>
      <w:tr w:rsidR="008375C3" w:rsidRPr="00881961" w14:paraId="67D3A4A7" w14:textId="77777777" w:rsidTr="009F28C7">
        <w:trPr>
          <w:trHeight w:val="680"/>
          <w:jc w:val="center"/>
        </w:trPr>
        <w:tc>
          <w:tcPr>
            <w:tcW w:w="1701" w:type="dxa"/>
            <w:tcBorders>
              <w:top w:val="single" w:sz="4" w:space="0" w:color="231F20" w:themeColor="text2"/>
              <w:left w:val="nil"/>
              <w:bottom w:val="single" w:sz="4" w:space="0" w:color="auto"/>
              <w:right w:val="nil"/>
            </w:tcBorders>
          </w:tcPr>
          <w:p w14:paraId="6EFEFAE0" w14:textId="77777777" w:rsidR="008375C3" w:rsidRPr="00881961" w:rsidRDefault="008375C3" w:rsidP="00E92F8B">
            <w:pPr>
              <w:pStyle w:val="ElexonTableTextSmall"/>
            </w:pPr>
            <w:r w:rsidRPr="00881961">
              <w:t>Classification</w:t>
            </w:r>
          </w:p>
        </w:tc>
        <w:tc>
          <w:tcPr>
            <w:tcW w:w="3453" w:type="dxa"/>
            <w:tcBorders>
              <w:top w:val="single" w:sz="4" w:space="0" w:color="231F20" w:themeColor="text2"/>
              <w:left w:val="nil"/>
              <w:bottom w:val="single" w:sz="4" w:space="0" w:color="auto"/>
              <w:right w:val="nil"/>
            </w:tcBorders>
          </w:tcPr>
          <w:p w14:paraId="46EB66A6" w14:textId="77777777" w:rsidR="008375C3" w:rsidRPr="00881961" w:rsidRDefault="00E24E48" w:rsidP="00535B5A">
            <w:pPr>
              <w:pStyle w:val="ElexonTableTextLarge"/>
              <w:rPr>
                <w:rStyle w:val="Strong"/>
              </w:rPr>
            </w:pPr>
            <w:sdt>
              <w:sdtPr>
                <w:rPr>
                  <w:rStyle w:val="Strong"/>
                </w:rPr>
                <w:id w:val="537404265"/>
                <w:placeholder>
                  <w:docPart w:val="FBA330934620417486583590388CBDBA"/>
                </w:placeholder>
                <w:dropDownList>
                  <w:listItem w:value="Choose an item:"/>
                  <w:listItem w:displayText="Restricted" w:value="Restricted"/>
                  <w:listItem w:displayText="Commercial in confidence" w:value="Commercial in confidence"/>
                  <w:listItem w:displayText="Confidential" w:value="Confidential"/>
                  <w:listItem w:displayText="Public" w:value="Public"/>
                </w:dropDownList>
              </w:sdtPr>
              <w:sdtEndPr>
                <w:rPr>
                  <w:rStyle w:val="DefaultParagraphFont"/>
                  <w:rFonts w:ascii="Tahoma" w:eastAsia="Times New Roman" w:hAnsi="Tahoma" w:cs="Tahoma"/>
                  <w:b w:val="0"/>
                  <w:bCs w:val="0"/>
                  <w:color w:val="000000"/>
                  <w:sz w:val="20"/>
                  <w:szCs w:val="20"/>
                </w:rPr>
              </w:sdtEndPr>
              <w:sdtContent>
                <w:r w:rsidR="00827C18">
                  <w:rPr>
                    <w:rStyle w:val="Strong"/>
                  </w:rPr>
                  <w:t>Public</w:t>
                </w:r>
              </w:sdtContent>
            </w:sdt>
          </w:p>
        </w:tc>
        <w:tc>
          <w:tcPr>
            <w:tcW w:w="237" w:type="dxa"/>
            <w:tcBorders>
              <w:top w:val="nil"/>
              <w:left w:val="nil"/>
              <w:bottom w:val="nil"/>
            </w:tcBorders>
          </w:tcPr>
          <w:p w14:paraId="4FCDD122" w14:textId="77777777" w:rsidR="008375C3" w:rsidRPr="00881961" w:rsidRDefault="008375C3" w:rsidP="000117E1"/>
        </w:tc>
        <w:tc>
          <w:tcPr>
            <w:tcW w:w="1555" w:type="dxa"/>
            <w:tcBorders>
              <w:right w:val="nil"/>
            </w:tcBorders>
          </w:tcPr>
          <w:p w14:paraId="25DCF599" w14:textId="77777777" w:rsidR="008375C3" w:rsidRPr="00881961" w:rsidRDefault="008375C3" w:rsidP="00E92F8B">
            <w:pPr>
              <w:pStyle w:val="ElexonTableTextSmall"/>
            </w:pPr>
            <w:r w:rsidRPr="00881961">
              <w:t>Document version</w:t>
            </w:r>
          </w:p>
        </w:tc>
        <w:tc>
          <w:tcPr>
            <w:tcW w:w="3600" w:type="dxa"/>
            <w:tcBorders>
              <w:right w:val="nil"/>
            </w:tcBorders>
          </w:tcPr>
          <w:p w14:paraId="28C6A5CE" w14:textId="03E79271" w:rsidR="008375C3" w:rsidRPr="00881961" w:rsidRDefault="00972F78" w:rsidP="00DF22C0">
            <w:pPr>
              <w:pStyle w:val="ElexonTableTextLarge"/>
              <w:rPr>
                <w:rStyle w:val="Strong"/>
              </w:rPr>
            </w:pPr>
            <w:r>
              <w:rPr>
                <w:rStyle w:val="Strong"/>
              </w:rPr>
              <w:t>0.</w:t>
            </w:r>
            <w:r w:rsidR="00DF22C0">
              <w:rPr>
                <w:rStyle w:val="Strong"/>
              </w:rPr>
              <w:t>2</w:t>
            </w:r>
          </w:p>
        </w:tc>
      </w:tr>
    </w:tbl>
    <w:p w14:paraId="3D608C2F" w14:textId="77777777" w:rsidR="00694395" w:rsidRPr="00881961" w:rsidRDefault="00694395"/>
    <w:p w14:paraId="3ABD936F" w14:textId="77777777" w:rsidR="00C14A97" w:rsidRPr="00C14A97" w:rsidRDefault="00C14A97" w:rsidP="00C14A97">
      <w:pPr>
        <w:pStyle w:val="List"/>
      </w:pPr>
      <w:bookmarkStart w:id="0" w:name="_Hlk39571051"/>
      <w:r w:rsidRPr="00C14A97">
        <w:t>Background</w:t>
      </w:r>
    </w:p>
    <w:bookmarkEnd w:id="0"/>
    <w:p w14:paraId="15CDDFCB" w14:textId="77777777" w:rsidR="008E5C73" w:rsidRPr="00246857" w:rsidRDefault="00C14A97" w:rsidP="00D02A2F">
      <w:pPr>
        <w:numPr>
          <w:ilvl w:val="1"/>
          <w:numId w:val="10"/>
        </w:numPr>
        <w:suppressAutoHyphens/>
        <w:autoSpaceDE w:val="0"/>
        <w:autoSpaceDN w:val="0"/>
        <w:adjustRightInd w:val="0"/>
        <w:spacing w:after="120" w:line="260" w:lineRule="atLeast"/>
        <w:textAlignment w:val="center"/>
        <w:rPr>
          <w:rFonts w:ascii="Arial" w:hAnsi="Arial" w:cs="Arial"/>
          <w:color w:val="000000"/>
          <w:szCs w:val="18"/>
        </w:rPr>
      </w:pPr>
      <w:r w:rsidRPr="00C14A97">
        <w:rPr>
          <w:rFonts w:ascii="Arial" w:hAnsi="Arial" w:cs="Arial"/>
          <w:color w:val="000000"/>
          <w:szCs w:val="18"/>
        </w:rPr>
        <w:t xml:space="preserve">In October 2020, the PAB carefully considered the best approach to take to monitoring and managing issues associated with the Performance Standards, including the deployment of </w:t>
      </w:r>
      <w:r w:rsidR="00241B56">
        <w:rPr>
          <w:rFonts w:ascii="Arial" w:hAnsi="Arial" w:cs="Arial"/>
          <w:color w:val="000000"/>
          <w:szCs w:val="18"/>
        </w:rPr>
        <w:t>Error and Failure</w:t>
      </w:r>
      <w:r w:rsidR="000405E2">
        <w:rPr>
          <w:rFonts w:ascii="Arial" w:hAnsi="Arial" w:cs="Arial"/>
          <w:color w:val="000000"/>
          <w:szCs w:val="18"/>
        </w:rPr>
        <w:t xml:space="preserve"> Resolution</w:t>
      </w:r>
      <w:r w:rsidR="00241B56">
        <w:rPr>
          <w:rFonts w:ascii="Arial" w:hAnsi="Arial" w:cs="Arial"/>
          <w:color w:val="000000"/>
          <w:szCs w:val="18"/>
        </w:rPr>
        <w:t xml:space="preserve"> </w:t>
      </w:r>
      <w:r w:rsidR="000405E2">
        <w:rPr>
          <w:rFonts w:ascii="Arial" w:hAnsi="Arial" w:cs="Arial"/>
          <w:color w:val="000000"/>
          <w:szCs w:val="18"/>
        </w:rPr>
        <w:t>(</w:t>
      </w:r>
      <w:r w:rsidRPr="00C14A97">
        <w:rPr>
          <w:rFonts w:ascii="Arial" w:hAnsi="Arial" w:cs="Arial"/>
          <w:color w:val="000000"/>
          <w:szCs w:val="18"/>
        </w:rPr>
        <w:t>EFR</w:t>
      </w:r>
      <w:r w:rsidR="008E5C73">
        <w:rPr>
          <w:rFonts w:ascii="Arial" w:hAnsi="Arial" w:cs="Arial"/>
          <w:color w:val="000000"/>
          <w:szCs w:val="18"/>
        </w:rPr>
        <w:t>)</w:t>
      </w:r>
      <w:r w:rsidRPr="00C14A97">
        <w:rPr>
          <w:rFonts w:ascii="Arial" w:hAnsi="Arial" w:cs="Arial"/>
          <w:color w:val="000000"/>
          <w:szCs w:val="18"/>
        </w:rPr>
        <w:t xml:space="preserve">. </w:t>
      </w:r>
    </w:p>
    <w:p w14:paraId="160F39C1" w14:textId="77777777" w:rsidR="00C14A97" w:rsidRPr="00C14A97" w:rsidRDefault="00C14A97" w:rsidP="00D02A2F">
      <w:pPr>
        <w:numPr>
          <w:ilvl w:val="1"/>
          <w:numId w:val="10"/>
        </w:numPr>
        <w:suppressAutoHyphens/>
        <w:autoSpaceDE w:val="0"/>
        <w:autoSpaceDN w:val="0"/>
        <w:adjustRightInd w:val="0"/>
        <w:spacing w:after="120" w:line="260" w:lineRule="atLeast"/>
        <w:textAlignment w:val="center"/>
        <w:rPr>
          <w:rFonts w:ascii="Arial" w:hAnsi="Arial" w:cs="Arial"/>
          <w:color w:val="000000"/>
          <w:szCs w:val="18"/>
        </w:rPr>
      </w:pPr>
      <w:r w:rsidRPr="00C14A97">
        <w:rPr>
          <w:rFonts w:ascii="Arial" w:hAnsi="Arial" w:cs="Arial"/>
          <w:color w:val="000000"/>
          <w:szCs w:val="18"/>
        </w:rPr>
        <w:t xml:space="preserve">The committee agreed </w:t>
      </w:r>
      <w:r w:rsidR="000405E2">
        <w:rPr>
          <w:rFonts w:ascii="Arial" w:hAnsi="Arial" w:cs="Arial"/>
          <w:color w:val="000000"/>
          <w:szCs w:val="18"/>
        </w:rPr>
        <w:t>that:</w:t>
      </w:r>
    </w:p>
    <w:p w14:paraId="3BDF624C" w14:textId="4EB125E2" w:rsidR="00166330" w:rsidRPr="00C14A97" w:rsidRDefault="00C14A97" w:rsidP="00D02A2F">
      <w:pPr>
        <w:numPr>
          <w:ilvl w:val="0"/>
          <w:numId w:val="12"/>
        </w:numPr>
        <w:spacing w:after="120" w:line="260" w:lineRule="atLeast"/>
        <w:ind w:left="714" w:hanging="357"/>
        <w:contextualSpacing/>
      </w:pPr>
      <w:r w:rsidRPr="00C14A97">
        <w:t xml:space="preserve">There would be an ongoing quarterly review approach taken to managing performance standards and the application of EFR as a response to these issues. </w:t>
      </w:r>
    </w:p>
    <w:p w14:paraId="165C581A" w14:textId="2150F5C0" w:rsidR="00166330" w:rsidRPr="00C14A97" w:rsidRDefault="00C14A97" w:rsidP="00D02A2F">
      <w:pPr>
        <w:numPr>
          <w:ilvl w:val="0"/>
          <w:numId w:val="12"/>
        </w:numPr>
        <w:spacing w:after="120" w:line="260" w:lineRule="atLeast"/>
        <w:ind w:left="714" w:hanging="357"/>
        <w:contextualSpacing/>
      </w:pPr>
      <w:r w:rsidRPr="00C14A97">
        <w:t>Elexon and the PAB’s efforts would be predominantly focused on Suppliers with the largest volume of non-compliant estimation (‘focus Suppliers’);</w:t>
      </w:r>
    </w:p>
    <w:p w14:paraId="4A2C6050" w14:textId="11B3FBDA" w:rsidR="00166330" w:rsidRPr="00C14A97" w:rsidRDefault="00C14A97" w:rsidP="00D02A2F">
      <w:pPr>
        <w:numPr>
          <w:ilvl w:val="0"/>
          <w:numId w:val="12"/>
        </w:numPr>
        <w:spacing w:after="120" w:line="260" w:lineRule="atLeast"/>
        <w:ind w:left="714" w:hanging="357"/>
        <w:contextualSpacing/>
      </w:pPr>
      <w:r w:rsidRPr="00C14A97">
        <w:t xml:space="preserve">Whilst there were significant restrictions, </w:t>
      </w:r>
      <w:r w:rsidR="008E5C73">
        <w:t xml:space="preserve">the PAB would not require </w:t>
      </w:r>
      <w:r w:rsidRPr="00C14A97">
        <w:t>Suppliers in EFR to submit a performance improvement forecast. However, the committee highlighted that it will be beneficial if Suppliers begin to consider forecasts and include them in their plans where possible along with confidence levels. The committee woul</w:t>
      </w:r>
      <w:r w:rsidR="000405E2">
        <w:t>d understand</w:t>
      </w:r>
      <w:r w:rsidRPr="00C14A97">
        <w:t xml:space="preserve"> if </w:t>
      </w:r>
      <w:r w:rsidR="000405E2">
        <w:t>Suppliers miss targets</w:t>
      </w:r>
      <w:r w:rsidRPr="00C14A97">
        <w:t xml:space="preserve"> and</w:t>
      </w:r>
      <w:r w:rsidR="008E5C73">
        <w:t xml:space="preserve"> it would not apply</w:t>
      </w:r>
      <w:r w:rsidRPr="00C14A97">
        <w:t xml:space="preserve"> EFR escalation whilst there were significant restrictions in place.</w:t>
      </w:r>
    </w:p>
    <w:p w14:paraId="41351EA9" w14:textId="0C6AF826" w:rsidR="00166330" w:rsidRPr="00C14A97" w:rsidRDefault="00C14A97" w:rsidP="00D02A2F">
      <w:pPr>
        <w:numPr>
          <w:ilvl w:val="0"/>
          <w:numId w:val="12"/>
        </w:numPr>
        <w:spacing w:after="120" w:line="260" w:lineRule="atLeast"/>
        <w:ind w:left="714" w:hanging="357"/>
        <w:contextualSpacing/>
      </w:pPr>
      <w:r w:rsidRPr="00C14A97">
        <w:t xml:space="preserve">Suppliers within EFR could provide performance improvement plans over a quarter and then update them for the following quarter, until the impacts from COVID-19 have stabilised; </w:t>
      </w:r>
    </w:p>
    <w:p w14:paraId="6F73EB58" w14:textId="6D4028F8" w:rsidR="00166330" w:rsidRPr="00C14A97" w:rsidRDefault="00C14A97" w:rsidP="00D02A2F">
      <w:pPr>
        <w:numPr>
          <w:ilvl w:val="0"/>
          <w:numId w:val="12"/>
        </w:numPr>
        <w:spacing w:after="120" w:line="260" w:lineRule="atLeast"/>
        <w:ind w:left="714" w:hanging="357"/>
        <w:contextualSpacing/>
      </w:pPr>
      <w:r w:rsidRPr="00C14A97">
        <w:t>The EFR e</w:t>
      </w:r>
      <w:r w:rsidR="00804402">
        <w:t xml:space="preserve">xit threshold for Suppliers in </w:t>
      </w:r>
      <w:r w:rsidRPr="00C14A97">
        <w:t>EFR would be to have a volume of less than 1,000MWh of non-compliant estimation a month; and</w:t>
      </w:r>
    </w:p>
    <w:p w14:paraId="4D188594" w14:textId="6E461947" w:rsidR="00166330" w:rsidRPr="00C14A97" w:rsidRDefault="00C14A97" w:rsidP="00D02A2F">
      <w:pPr>
        <w:numPr>
          <w:ilvl w:val="0"/>
          <w:numId w:val="12"/>
        </w:numPr>
        <w:spacing w:after="120" w:line="260" w:lineRule="atLeast"/>
        <w:ind w:left="714" w:hanging="357"/>
      </w:pPr>
      <w:r w:rsidRPr="00C14A97">
        <w:t>That the PAB expected all Suppliers, not just the focus Suppliers, to work to meet or mai</w:t>
      </w:r>
      <w:r w:rsidR="00D02A2F">
        <w:t>ntain the Settlement standards.</w:t>
      </w:r>
    </w:p>
    <w:p w14:paraId="40C96D49" w14:textId="77777777" w:rsidR="000405E2" w:rsidRDefault="00246857" w:rsidP="00D02A2F">
      <w:pPr>
        <w:pStyle w:val="List2"/>
      </w:pPr>
      <w:r>
        <w:t>In October</w:t>
      </w:r>
      <w:r w:rsidR="00670DD3">
        <w:t xml:space="preserve"> 2020</w:t>
      </w:r>
      <w:r>
        <w:t>, the PAB agreed that the focus Suppliers should be those with a</w:t>
      </w:r>
      <w:r w:rsidR="000405E2" w:rsidRPr="000405E2">
        <w:t xml:space="preserve"> monthly non-compliant esti</w:t>
      </w:r>
      <w:r>
        <w:t>mation volume of above 2,000MWh</w:t>
      </w:r>
      <w:r w:rsidR="00670DD3">
        <w:t xml:space="preserve"> in Half Hourly (HH) Measurement Class (MC) C, HH Sub 100kW and Non Half Hourly (NHH) markets respectively</w:t>
      </w:r>
      <w:r w:rsidR="00904254">
        <w:t xml:space="preserve">. This </w:t>
      </w:r>
      <w:r w:rsidR="00670DD3">
        <w:t>increased in February 2021 to 4,000MWh</w:t>
      </w:r>
      <w:r w:rsidR="00904254">
        <w:t xml:space="preserve"> for the period from March 2021 to May 2021</w:t>
      </w:r>
      <w:r w:rsidR="00670DD3">
        <w:t>. This was due to:</w:t>
      </w:r>
    </w:p>
    <w:p w14:paraId="0A72604A" w14:textId="77777777" w:rsidR="00E40FD4" w:rsidRDefault="00E40FD4" w:rsidP="00D02A2F">
      <w:pPr>
        <w:pStyle w:val="List2"/>
        <w:numPr>
          <w:ilvl w:val="0"/>
          <w:numId w:val="25"/>
        </w:numPr>
        <w:ind w:left="714" w:hanging="357"/>
        <w:contextualSpacing/>
      </w:pPr>
      <w:r>
        <w:t xml:space="preserve">An increased number of focus Suppliers within the 2,000MWh threshold and the need </w:t>
      </w:r>
      <w:r w:rsidR="001D7641">
        <w:t>for the number of focus Supplier to be manageable in order to maintain sufficient oversight by Elexon and the PAB could be sustained;</w:t>
      </w:r>
    </w:p>
    <w:p w14:paraId="60E4B765" w14:textId="77777777" w:rsidR="00670DD3" w:rsidRDefault="00670DD3" w:rsidP="00D02A2F">
      <w:pPr>
        <w:pStyle w:val="List2"/>
        <w:numPr>
          <w:ilvl w:val="0"/>
          <w:numId w:val="25"/>
        </w:numPr>
        <w:ind w:left="714" w:hanging="357"/>
        <w:contextualSpacing/>
      </w:pPr>
      <w:r>
        <w:t>An understanding that the lockdown that was in place at that time throughout the UK would make it more challenging to obtain reads</w:t>
      </w:r>
      <w:r w:rsidR="00E40FD4">
        <w:t>;</w:t>
      </w:r>
    </w:p>
    <w:p w14:paraId="415C8697" w14:textId="77777777" w:rsidR="00E40FD4" w:rsidRDefault="00E40FD4" w:rsidP="00D02A2F">
      <w:pPr>
        <w:pStyle w:val="ListParagraph"/>
        <w:numPr>
          <w:ilvl w:val="0"/>
          <w:numId w:val="25"/>
        </w:numPr>
        <w:spacing w:after="120" w:line="260" w:lineRule="atLeast"/>
        <w:ind w:left="714" w:hanging="357"/>
        <w:rPr>
          <w:rFonts w:ascii="Arial" w:hAnsi="Arial" w:cs="Arial"/>
          <w:color w:val="000000"/>
          <w:szCs w:val="18"/>
        </w:rPr>
      </w:pPr>
      <w:r>
        <w:rPr>
          <w:rFonts w:ascii="Arial" w:hAnsi="Arial" w:cs="Arial"/>
          <w:color w:val="000000"/>
          <w:szCs w:val="18"/>
        </w:rPr>
        <w:t xml:space="preserve">At that point, there were still three months until </w:t>
      </w:r>
      <w:r w:rsidRPr="00E40FD4">
        <w:rPr>
          <w:rFonts w:ascii="Arial" w:hAnsi="Arial" w:cs="Arial"/>
          <w:color w:val="000000"/>
          <w:szCs w:val="18"/>
        </w:rPr>
        <w:t>RF hit the lowest point reached at R3 prior to some recovery</w:t>
      </w:r>
      <w:r w:rsidR="00A252E3">
        <w:rPr>
          <w:rFonts w:ascii="Arial" w:hAnsi="Arial" w:cs="Arial"/>
          <w:color w:val="000000"/>
          <w:szCs w:val="18"/>
        </w:rPr>
        <w:t>. This, along with the lockdown restrictions in place at that time, meant that it would be unlike to see a significant NHH recovery during the quarter; and</w:t>
      </w:r>
    </w:p>
    <w:p w14:paraId="576EF2AD" w14:textId="59E4AEC4" w:rsidR="00A91D5C" w:rsidRPr="00D02A2F" w:rsidRDefault="00904254" w:rsidP="00D02A2F">
      <w:pPr>
        <w:pStyle w:val="ListParagraph"/>
        <w:numPr>
          <w:ilvl w:val="0"/>
          <w:numId w:val="25"/>
        </w:numPr>
        <w:spacing w:after="120" w:line="260" w:lineRule="atLeast"/>
        <w:rPr>
          <w:rFonts w:ascii="Arial" w:hAnsi="Arial" w:cs="Arial"/>
          <w:color w:val="000000"/>
          <w:szCs w:val="18"/>
        </w:rPr>
      </w:pPr>
      <w:r>
        <w:rPr>
          <w:rFonts w:ascii="Arial" w:hAnsi="Arial" w:cs="Arial"/>
          <w:color w:val="000000"/>
          <w:szCs w:val="18"/>
        </w:rPr>
        <w:t>Elexon expecting the</w:t>
      </w:r>
      <w:r w:rsidR="00A252E3">
        <w:rPr>
          <w:rFonts w:ascii="Arial" w:hAnsi="Arial" w:cs="Arial"/>
          <w:color w:val="000000"/>
          <w:szCs w:val="18"/>
        </w:rPr>
        <w:t xml:space="preserve"> total volume of</w:t>
      </w:r>
      <w:r>
        <w:rPr>
          <w:rFonts w:ascii="Arial" w:hAnsi="Arial" w:cs="Arial"/>
          <w:color w:val="000000"/>
          <w:szCs w:val="18"/>
        </w:rPr>
        <w:t xml:space="preserve"> energy</w:t>
      </w:r>
      <w:r w:rsidR="00B903A1">
        <w:rPr>
          <w:rFonts w:ascii="Arial" w:hAnsi="Arial" w:cs="Arial"/>
          <w:color w:val="000000"/>
          <w:szCs w:val="18"/>
        </w:rPr>
        <w:t xml:space="preserve"> </w:t>
      </w:r>
      <w:r w:rsidR="00B903A1" w:rsidRPr="00074C9C">
        <w:rPr>
          <w:rFonts w:ascii="Arial" w:hAnsi="Arial" w:cs="Arial"/>
          <w:color w:val="000000"/>
          <w:szCs w:val="18"/>
        </w:rPr>
        <w:t>(and therefore the volume of estimation under the stand</w:t>
      </w:r>
      <w:r w:rsidR="00B903A1">
        <w:rPr>
          <w:rFonts w:ascii="Arial" w:hAnsi="Arial" w:cs="Arial"/>
          <w:color w:val="000000"/>
          <w:szCs w:val="18"/>
        </w:rPr>
        <w:t>ard</w:t>
      </w:r>
      <w:r w:rsidR="00B903A1" w:rsidRPr="00074C9C">
        <w:rPr>
          <w:rFonts w:ascii="Arial" w:hAnsi="Arial" w:cs="Arial"/>
          <w:color w:val="000000"/>
          <w:szCs w:val="18"/>
        </w:rPr>
        <w:t>)</w:t>
      </w:r>
      <w:r w:rsidR="00A252E3">
        <w:rPr>
          <w:rFonts w:ascii="Arial" w:hAnsi="Arial" w:cs="Arial"/>
          <w:color w:val="000000"/>
          <w:szCs w:val="18"/>
        </w:rPr>
        <w:t xml:space="preserve"> </w:t>
      </w:r>
      <w:r>
        <w:rPr>
          <w:rFonts w:ascii="Arial" w:hAnsi="Arial" w:cs="Arial"/>
          <w:color w:val="000000"/>
          <w:szCs w:val="18"/>
        </w:rPr>
        <w:t xml:space="preserve">to increase for all three </w:t>
      </w:r>
      <w:r w:rsidR="00637A4E">
        <w:rPr>
          <w:rFonts w:ascii="Arial" w:hAnsi="Arial" w:cs="Arial"/>
          <w:color w:val="000000"/>
          <w:szCs w:val="18"/>
        </w:rPr>
        <w:t xml:space="preserve">of the </w:t>
      </w:r>
      <w:r>
        <w:rPr>
          <w:rFonts w:ascii="Arial" w:hAnsi="Arial" w:cs="Arial"/>
          <w:color w:val="000000"/>
          <w:szCs w:val="18"/>
        </w:rPr>
        <w:t xml:space="preserve">market areas </w:t>
      </w:r>
      <w:r w:rsidR="00F94AF8">
        <w:rPr>
          <w:rFonts w:ascii="Arial" w:hAnsi="Arial" w:cs="Arial"/>
          <w:color w:val="000000"/>
          <w:szCs w:val="18"/>
        </w:rPr>
        <w:t>for the first two months of</w:t>
      </w:r>
      <w:r>
        <w:rPr>
          <w:rFonts w:ascii="Arial" w:hAnsi="Arial" w:cs="Arial"/>
          <w:color w:val="000000"/>
          <w:szCs w:val="18"/>
        </w:rPr>
        <w:t xml:space="preserve"> that qu</w:t>
      </w:r>
      <w:r w:rsidR="00B903A1">
        <w:rPr>
          <w:rFonts w:ascii="Arial" w:hAnsi="Arial" w:cs="Arial"/>
          <w:color w:val="000000"/>
          <w:szCs w:val="18"/>
        </w:rPr>
        <w:t>arter</w:t>
      </w:r>
      <w:r>
        <w:rPr>
          <w:rFonts w:ascii="Arial" w:hAnsi="Arial" w:cs="Arial"/>
          <w:color w:val="000000"/>
          <w:szCs w:val="18"/>
        </w:rPr>
        <w:t xml:space="preserve"> </w:t>
      </w:r>
      <w:r w:rsidR="00B903A1">
        <w:rPr>
          <w:rFonts w:ascii="Arial" w:hAnsi="Arial" w:cs="Arial"/>
          <w:color w:val="000000"/>
          <w:szCs w:val="18"/>
        </w:rPr>
        <w:t>which could lead to an increase in the number of focus Suppliers if it remained at 2,000MWh.</w:t>
      </w:r>
    </w:p>
    <w:p w14:paraId="5660CA03" w14:textId="77777777" w:rsidR="00C14A97" w:rsidRPr="00C14A97" w:rsidRDefault="00A91D5C" w:rsidP="00D02A2F">
      <w:pPr>
        <w:numPr>
          <w:ilvl w:val="1"/>
          <w:numId w:val="10"/>
        </w:numPr>
        <w:suppressAutoHyphens/>
        <w:autoSpaceDE w:val="0"/>
        <w:autoSpaceDN w:val="0"/>
        <w:adjustRightInd w:val="0"/>
        <w:spacing w:after="120" w:line="260" w:lineRule="atLeast"/>
        <w:textAlignment w:val="center"/>
        <w:rPr>
          <w:rFonts w:ascii="Arial" w:hAnsi="Arial" w:cs="Arial"/>
          <w:color w:val="000000"/>
          <w:szCs w:val="18"/>
        </w:rPr>
      </w:pPr>
      <w:r>
        <w:rPr>
          <w:rFonts w:ascii="Arial" w:hAnsi="Arial" w:cs="Arial"/>
          <w:color w:val="000000"/>
          <w:szCs w:val="18"/>
        </w:rPr>
        <w:t>In February, the</w:t>
      </w:r>
      <w:r w:rsidR="00C14A97" w:rsidRPr="00C14A97">
        <w:rPr>
          <w:rFonts w:ascii="Arial" w:hAnsi="Arial" w:cs="Arial"/>
          <w:color w:val="000000"/>
          <w:szCs w:val="18"/>
        </w:rPr>
        <w:t xml:space="preserve"> committee acknowledged that </w:t>
      </w:r>
      <w:r>
        <w:rPr>
          <w:rFonts w:ascii="Arial" w:hAnsi="Arial" w:cs="Arial"/>
          <w:color w:val="000000"/>
          <w:szCs w:val="18"/>
        </w:rPr>
        <w:t>lockdown measures</w:t>
      </w:r>
      <w:r w:rsidR="00C14A97" w:rsidRPr="00C14A97">
        <w:rPr>
          <w:rFonts w:ascii="Arial" w:hAnsi="Arial" w:cs="Arial"/>
          <w:color w:val="000000"/>
          <w:szCs w:val="18"/>
        </w:rPr>
        <w:t xml:space="preserve"> would frustrate Suppliers attempts to get Meter Reads but also noted the potential impacts on the industry of estimated energy including:</w:t>
      </w:r>
    </w:p>
    <w:p w14:paraId="5A32B5E5" w14:textId="77777777" w:rsidR="00C14A97" w:rsidRPr="00C14A97" w:rsidRDefault="00C14A97" w:rsidP="00D02A2F">
      <w:pPr>
        <w:numPr>
          <w:ilvl w:val="0"/>
          <w:numId w:val="12"/>
        </w:numPr>
        <w:spacing w:after="120" w:line="260" w:lineRule="atLeast"/>
        <w:contextualSpacing/>
      </w:pPr>
      <w:r w:rsidRPr="00C14A97">
        <w:lastRenderedPageBreak/>
        <w:t>Incorrect Settlement volumes and charges;</w:t>
      </w:r>
    </w:p>
    <w:p w14:paraId="6679061A" w14:textId="77777777" w:rsidR="00C14A97" w:rsidRPr="00C14A97" w:rsidRDefault="00C14A97" w:rsidP="00D02A2F">
      <w:pPr>
        <w:numPr>
          <w:ilvl w:val="0"/>
          <w:numId w:val="12"/>
        </w:numPr>
        <w:spacing w:after="120" w:line="260" w:lineRule="atLeast"/>
        <w:contextualSpacing/>
      </w:pPr>
      <w:r w:rsidRPr="00C14A97">
        <w:t>Increased imbalance charges as Suppliers are not using the correct volumes to forecast; and</w:t>
      </w:r>
    </w:p>
    <w:p w14:paraId="3AB7B91B" w14:textId="03471765" w:rsidR="00166330" w:rsidRPr="00C14A97" w:rsidRDefault="00C14A97" w:rsidP="00D02A2F">
      <w:pPr>
        <w:numPr>
          <w:ilvl w:val="0"/>
          <w:numId w:val="12"/>
        </w:numPr>
        <w:spacing w:after="120" w:line="260" w:lineRule="atLeast"/>
        <w:ind w:left="714" w:hanging="357"/>
      </w:pPr>
      <w:r w:rsidRPr="00C14A97">
        <w:t>Increased issues with customer billing and complaints.</w:t>
      </w:r>
    </w:p>
    <w:p w14:paraId="35451E52" w14:textId="77777777" w:rsidR="00C14A97" w:rsidRDefault="00C14A97" w:rsidP="00D02A2F">
      <w:pPr>
        <w:numPr>
          <w:ilvl w:val="1"/>
          <w:numId w:val="10"/>
        </w:numPr>
        <w:suppressAutoHyphens/>
        <w:autoSpaceDE w:val="0"/>
        <w:autoSpaceDN w:val="0"/>
        <w:adjustRightInd w:val="0"/>
        <w:spacing w:after="120" w:line="260" w:lineRule="atLeast"/>
        <w:textAlignment w:val="center"/>
        <w:rPr>
          <w:rFonts w:ascii="Arial" w:hAnsi="Arial" w:cs="Arial"/>
          <w:color w:val="000000"/>
          <w:szCs w:val="18"/>
        </w:rPr>
      </w:pPr>
      <w:r w:rsidRPr="00C14A97">
        <w:rPr>
          <w:rFonts w:ascii="Arial" w:hAnsi="Arial" w:cs="Arial"/>
          <w:color w:val="000000"/>
          <w:szCs w:val="18"/>
        </w:rPr>
        <w:t xml:space="preserve">These issues could increase the likelihood of Suppliers </w:t>
      </w:r>
      <w:r w:rsidR="00637A4E" w:rsidRPr="00C14A97">
        <w:rPr>
          <w:rFonts w:ascii="Arial" w:hAnsi="Arial" w:cs="Arial"/>
          <w:color w:val="000000"/>
          <w:szCs w:val="18"/>
        </w:rPr>
        <w:t>failing, which</w:t>
      </w:r>
      <w:r w:rsidRPr="00C14A97">
        <w:rPr>
          <w:rFonts w:ascii="Arial" w:hAnsi="Arial" w:cs="Arial"/>
          <w:color w:val="000000"/>
          <w:szCs w:val="18"/>
        </w:rPr>
        <w:t>, in turn, place</w:t>
      </w:r>
      <w:r w:rsidR="00567262">
        <w:rPr>
          <w:rFonts w:ascii="Arial" w:hAnsi="Arial" w:cs="Arial"/>
          <w:color w:val="000000"/>
          <w:szCs w:val="18"/>
        </w:rPr>
        <w:t>s</w:t>
      </w:r>
      <w:r w:rsidRPr="00C14A97">
        <w:rPr>
          <w:rFonts w:ascii="Arial" w:hAnsi="Arial" w:cs="Arial"/>
          <w:color w:val="000000"/>
          <w:szCs w:val="18"/>
        </w:rPr>
        <w:t xml:space="preserve"> a further </w:t>
      </w:r>
      <w:r>
        <w:rPr>
          <w:rFonts w:ascii="Arial" w:hAnsi="Arial" w:cs="Arial"/>
          <w:color w:val="000000"/>
          <w:szCs w:val="18"/>
        </w:rPr>
        <w:t>financial burden on BSC Parties.</w:t>
      </w:r>
    </w:p>
    <w:p w14:paraId="37A8FDA4" w14:textId="77777777" w:rsidR="00A91D5C" w:rsidRDefault="00A91D5C" w:rsidP="00D02A2F">
      <w:pPr>
        <w:pStyle w:val="List2"/>
      </w:pPr>
      <w:r w:rsidRPr="00A91D5C">
        <w:t xml:space="preserve">It also reviewed the estimation inaccuracy analysis undertaken by Elexon </w:t>
      </w:r>
      <w:r>
        <w:t>which</w:t>
      </w:r>
      <w:r w:rsidRPr="00A91D5C">
        <w:t xml:space="preserve"> concluded</w:t>
      </w:r>
      <w:r>
        <w:t>:</w:t>
      </w:r>
    </w:p>
    <w:p w14:paraId="69174BDA" w14:textId="2AA50C88" w:rsidR="00A91D5C" w:rsidRDefault="00006667" w:rsidP="00D02A2F">
      <w:pPr>
        <w:numPr>
          <w:ilvl w:val="0"/>
          <w:numId w:val="12"/>
        </w:numPr>
        <w:spacing w:after="120" w:line="260" w:lineRule="atLeast"/>
        <w:ind w:left="714" w:hanging="357"/>
        <w:contextualSpacing/>
      </w:pPr>
      <w:r>
        <w:t>There</w:t>
      </w:r>
      <w:r w:rsidR="00A91D5C">
        <w:t xml:space="preserve"> is a tendency for estimation to understate domestic consumption and therefore there is a risk of under allocation of Settlement volumes to those Suppliers;</w:t>
      </w:r>
    </w:p>
    <w:p w14:paraId="3DC5CAC7" w14:textId="77777777" w:rsidR="00A91D5C" w:rsidRDefault="00A91D5C" w:rsidP="00D02A2F">
      <w:pPr>
        <w:numPr>
          <w:ilvl w:val="0"/>
          <w:numId w:val="12"/>
        </w:numPr>
        <w:spacing w:after="120" w:line="260" w:lineRule="atLeast"/>
        <w:ind w:left="714" w:hanging="357"/>
        <w:contextualSpacing/>
      </w:pPr>
      <w:r>
        <w:t>Conversely, there is a tendency for estimation to overstate non-domestic consumption and therefore there is a risk of over allocation of Settlement volumes to those Suppliers;</w:t>
      </w:r>
    </w:p>
    <w:p w14:paraId="6801134D" w14:textId="78C0D2EB" w:rsidR="00A91D5C" w:rsidRDefault="00006667" w:rsidP="00D02A2F">
      <w:pPr>
        <w:numPr>
          <w:ilvl w:val="0"/>
          <w:numId w:val="12"/>
        </w:numPr>
        <w:spacing w:after="120" w:line="260" w:lineRule="atLeast"/>
        <w:ind w:left="714" w:hanging="357"/>
        <w:contextualSpacing/>
      </w:pPr>
      <w:r>
        <w:t xml:space="preserve">Elexon’s </w:t>
      </w:r>
      <w:r w:rsidR="00A91D5C">
        <w:t>monitoring suggests an overall dominance of under-stated domestic volumes has led to an increase in GSP Group Correction Factors</w:t>
      </w:r>
      <w:r w:rsidR="00FD1203">
        <w:t xml:space="preserve"> (GCFs)</w:t>
      </w:r>
      <w:r w:rsidR="00A91D5C">
        <w:t xml:space="preserve"> across the board which is shared evenly across all NHH Suppliers (predominately);</w:t>
      </w:r>
    </w:p>
    <w:p w14:paraId="0C4E571A" w14:textId="2CB3B0B3" w:rsidR="00A91D5C" w:rsidRDefault="00A91D5C" w:rsidP="00D02A2F">
      <w:pPr>
        <w:numPr>
          <w:ilvl w:val="0"/>
          <w:numId w:val="12"/>
        </w:numPr>
        <w:spacing w:after="120" w:line="260" w:lineRule="atLeast"/>
        <w:ind w:left="714" w:hanging="357"/>
        <w:contextualSpacing/>
      </w:pPr>
      <w:r>
        <w:t>This is likely to result in a double impact to non-domestic Suppliers, the first through the under-allocation in Settlement and the second through the GSP G</w:t>
      </w:r>
      <w:r w:rsidR="00FD1203">
        <w:t>CF</w:t>
      </w:r>
      <w:r>
        <w:t xml:space="preserve"> application; and</w:t>
      </w:r>
    </w:p>
    <w:p w14:paraId="52D4B041" w14:textId="4982CA27" w:rsidR="00006667" w:rsidRDefault="00A91D5C" w:rsidP="00D02A2F">
      <w:pPr>
        <w:numPr>
          <w:ilvl w:val="0"/>
          <w:numId w:val="12"/>
        </w:numPr>
        <w:spacing w:after="120" w:line="260" w:lineRule="atLeast"/>
        <w:ind w:left="714" w:hanging="357"/>
      </w:pPr>
      <w:r>
        <w:t xml:space="preserve">As we come out of lockdown this effect is likely to reverse as the reads collected are likely to reflect the period of lockdown and not the </w:t>
      </w:r>
      <w:r w:rsidR="00637A4E">
        <w:t>forward-looking</w:t>
      </w:r>
      <w:r>
        <w:t xml:space="preserve"> consumption. This could lead to</w:t>
      </w:r>
      <w:r w:rsidR="00637A4E">
        <w:t xml:space="preserve"> domestic Suppliers experiencing</w:t>
      </w:r>
      <w:r>
        <w:t xml:space="preserve"> a double Settlement impact. We do not anticipate this impact to be to the same extent however, as it appears that some of the lockdown consumption behaviour, such as greater working from home, may endure after the pandemic.</w:t>
      </w:r>
    </w:p>
    <w:p w14:paraId="2D630B07" w14:textId="7CE376D9" w:rsidR="00006667" w:rsidRPr="00D02A2F" w:rsidRDefault="00006667" w:rsidP="00D02A2F">
      <w:pPr>
        <w:numPr>
          <w:ilvl w:val="1"/>
          <w:numId w:val="10"/>
        </w:numPr>
        <w:suppressAutoHyphens/>
        <w:autoSpaceDE w:val="0"/>
        <w:autoSpaceDN w:val="0"/>
        <w:adjustRightInd w:val="0"/>
        <w:spacing w:after="120" w:line="260" w:lineRule="atLeast"/>
        <w:textAlignment w:val="center"/>
        <w:rPr>
          <w:rFonts w:ascii="Arial" w:hAnsi="Arial" w:cs="Arial"/>
          <w:color w:val="000000"/>
          <w:szCs w:val="18"/>
        </w:rPr>
      </w:pPr>
      <w:r w:rsidRPr="00006667">
        <w:rPr>
          <w:rFonts w:ascii="Arial" w:hAnsi="Arial" w:cs="Arial"/>
          <w:color w:val="000000"/>
          <w:szCs w:val="18"/>
        </w:rPr>
        <w:t>The PAB commented that this analysis supported the need to work to</w:t>
      </w:r>
      <w:r w:rsidR="00B073A4">
        <w:rPr>
          <w:rFonts w:ascii="Arial" w:hAnsi="Arial" w:cs="Arial"/>
          <w:color w:val="000000"/>
          <w:szCs w:val="18"/>
        </w:rPr>
        <w:t xml:space="preserve"> </w:t>
      </w:r>
      <w:r w:rsidRPr="00006667">
        <w:rPr>
          <w:rFonts w:ascii="Arial" w:hAnsi="Arial" w:cs="Arial"/>
          <w:color w:val="000000"/>
          <w:szCs w:val="18"/>
        </w:rPr>
        <w:t>monitor Supplier’s efforts to reduce the volume of non-compliant estimation.</w:t>
      </w:r>
    </w:p>
    <w:p w14:paraId="4BAAD439" w14:textId="77777777" w:rsidR="00C14A97" w:rsidRPr="00C14A97" w:rsidRDefault="00C14A97" w:rsidP="00D02A2F">
      <w:pPr>
        <w:numPr>
          <w:ilvl w:val="1"/>
          <w:numId w:val="10"/>
        </w:numPr>
        <w:suppressAutoHyphens/>
        <w:autoSpaceDE w:val="0"/>
        <w:autoSpaceDN w:val="0"/>
        <w:adjustRightInd w:val="0"/>
        <w:spacing w:after="120" w:line="260" w:lineRule="atLeast"/>
        <w:textAlignment w:val="center"/>
        <w:rPr>
          <w:rFonts w:ascii="Arial" w:hAnsi="Arial" w:cs="Arial"/>
          <w:color w:val="000000"/>
          <w:szCs w:val="18"/>
        </w:rPr>
      </w:pPr>
      <w:r w:rsidRPr="00C14A97">
        <w:rPr>
          <w:rFonts w:ascii="Arial" w:hAnsi="Arial" w:cs="Arial"/>
          <w:color w:val="000000"/>
          <w:szCs w:val="18"/>
        </w:rPr>
        <w:t>This quarterly review provides:</w:t>
      </w:r>
    </w:p>
    <w:p w14:paraId="739C6FE3" w14:textId="77777777" w:rsidR="00C14A97" w:rsidRPr="00C14A97" w:rsidRDefault="00C14A97" w:rsidP="00D02A2F">
      <w:pPr>
        <w:numPr>
          <w:ilvl w:val="0"/>
          <w:numId w:val="13"/>
        </w:numPr>
        <w:suppressAutoHyphens/>
        <w:autoSpaceDE w:val="0"/>
        <w:autoSpaceDN w:val="0"/>
        <w:adjustRightInd w:val="0"/>
        <w:spacing w:after="120" w:line="260" w:lineRule="atLeast"/>
        <w:ind w:left="714" w:hanging="357"/>
        <w:contextualSpacing/>
        <w:textAlignment w:val="center"/>
        <w:rPr>
          <w:rFonts w:ascii="Arial" w:hAnsi="Arial" w:cs="Arial"/>
          <w:color w:val="000000"/>
          <w:szCs w:val="18"/>
        </w:rPr>
      </w:pPr>
      <w:r w:rsidRPr="00C14A97">
        <w:rPr>
          <w:rFonts w:ascii="Arial" w:hAnsi="Arial" w:cs="Arial"/>
          <w:color w:val="000000"/>
          <w:szCs w:val="18"/>
        </w:rPr>
        <w:t xml:space="preserve">Updated analysis on the inaccuracy associated with estimated data; </w:t>
      </w:r>
    </w:p>
    <w:p w14:paraId="537D47DB" w14:textId="77777777" w:rsidR="00C14A97" w:rsidRPr="00C14A97" w:rsidRDefault="00C14A97" w:rsidP="00D02A2F">
      <w:pPr>
        <w:numPr>
          <w:ilvl w:val="0"/>
          <w:numId w:val="13"/>
        </w:numPr>
        <w:suppressAutoHyphens/>
        <w:autoSpaceDE w:val="0"/>
        <w:autoSpaceDN w:val="0"/>
        <w:adjustRightInd w:val="0"/>
        <w:spacing w:after="120" w:line="260" w:lineRule="atLeast"/>
        <w:ind w:left="714" w:hanging="357"/>
        <w:contextualSpacing/>
        <w:textAlignment w:val="center"/>
        <w:rPr>
          <w:rFonts w:ascii="Arial" w:hAnsi="Arial" w:cs="Arial"/>
          <w:color w:val="000000"/>
          <w:szCs w:val="18"/>
        </w:rPr>
      </w:pPr>
      <w:r w:rsidRPr="00C14A97">
        <w:rPr>
          <w:rFonts w:ascii="Arial" w:hAnsi="Arial" w:cs="Arial"/>
          <w:color w:val="000000"/>
          <w:szCs w:val="18"/>
        </w:rPr>
        <w:t>A re-appraisal of the threshold of non-compliant estimation for the focussed Suppliers and</w:t>
      </w:r>
      <w:r w:rsidR="00006667">
        <w:rPr>
          <w:rFonts w:ascii="Arial" w:hAnsi="Arial" w:cs="Arial"/>
          <w:color w:val="000000"/>
          <w:szCs w:val="18"/>
        </w:rPr>
        <w:t xml:space="preserve"> the current EFR exit criteria;</w:t>
      </w:r>
    </w:p>
    <w:p w14:paraId="083A8816" w14:textId="77777777" w:rsidR="00C14A97" w:rsidRDefault="00006667" w:rsidP="00D02A2F">
      <w:pPr>
        <w:numPr>
          <w:ilvl w:val="0"/>
          <w:numId w:val="13"/>
        </w:numPr>
        <w:suppressAutoHyphens/>
        <w:autoSpaceDE w:val="0"/>
        <w:autoSpaceDN w:val="0"/>
        <w:adjustRightInd w:val="0"/>
        <w:spacing w:after="120" w:line="260" w:lineRule="atLeast"/>
        <w:ind w:left="714" w:hanging="357"/>
        <w:contextualSpacing/>
        <w:textAlignment w:val="center"/>
        <w:rPr>
          <w:rFonts w:ascii="Arial" w:hAnsi="Arial" w:cs="Arial"/>
          <w:color w:val="000000"/>
          <w:szCs w:val="18"/>
        </w:rPr>
      </w:pPr>
      <w:r>
        <w:rPr>
          <w:rFonts w:ascii="Arial" w:hAnsi="Arial" w:cs="Arial"/>
          <w:color w:val="000000"/>
          <w:szCs w:val="18"/>
        </w:rPr>
        <w:t>Recommendations</w:t>
      </w:r>
      <w:r w:rsidR="00B073A4">
        <w:rPr>
          <w:rFonts w:ascii="Arial" w:hAnsi="Arial" w:cs="Arial"/>
          <w:color w:val="000000"/>
          <w:szCs w:val="18"/>
        </w:rPr>
        <w:t xml:space="preserve"> for</w:t>
      </w:r>
      <w:r>
        <w:rPr>
          <w:rFonts w:ascii="Arial" w:hAnsi="Arial" w:cs="Arial"/>
          <w:color w:val="000000"/>
          <w:szCs w:val="18"/>
        </w:rPr>
        <w:t xml:space="preserve"> </w:t>
      </w:r>
      <w:r w:rsidR="00C14A97" w:rsidRPr="00C14A97">
        <w:rPr>
          <w:rFonts w:ascii="Arial" w:hAnsi="Arial" w:cs="Arial"/>
          <w:color w:val="000000"/>
          <w:szCs w:val="18"/>
        </w:rPr>
        <w:t xml:space="preserve">the deployment of EFR to Suppliers as a result of </w:t>
      </w:r>
      <w:r>
        <w:rPr>
          <w:rFonts w:ascii="Arial" w:hAnsi="Arial" w:cs="Arial"/>
          <w:color w:val="000000"/>
          <w:szCs w:val="18"/>
        </w:rPr>
        <w:t>the review</w:t>
      </w:r>
      <w:r w:rsidR="00B073A4">
        <w:rPr>
          <w:rFonts w:ascii="Arial" w:hAnsi="Arial" w:cs="Arial"/>
          <w:color w:val="000000"/>
          <w:szCs w:val="18"/>
        </w:rPr>
        <w:t>, where required</w:t>
      </w:r>
      <w:r>
        <w:rPr>
          <w:rFonts w:ascii="Arial" w:hAnsi="Arial" w:cs="Arial"/>
          <w:color w:val="000000"/>
          <w:szCs w:val="18"/>
        </w:rPr>
        <w:t xml:space="preserve">; </w:t>
      </w:r>
      <w:r w:rsidR="00B073A4">
        <w:rPr>
          <w:rFonts w:ascii="Arial" w:hAnsi="Arial" w:cs="Arial"/>
          <w:color w:val="000000"/>
          <w:szCs w:val="18"/>
        </w:rPr>
        <w:t>and</w:t>
      </w:r>
    </w:p>
    <w:p w14:paraId="48835A35" w14:textId="77777777" w:rsidR="00006667" w:rsidRPr="00C14A97" w:rsidRDefault="00B073A4" w:rsidP="00D02A2F">
      <w:pPr>
        <w:numPr>
          <w:ilvl w:val="0"/>
          <w:numId w:val="13"/>
        </w:numPr>
        <w:suppressAutoHyphens/>
        <w:autoSpaceDE w:val="0"/>
        <w:autoSpaceDN w:val="0"/>
        <w:adjustRightInd w:val="0"/>
        <w:spacing w:after="120" w:line="260" w:lineRule="atLeast"/>
        <w:ind w:left="714" w:hanging="357"/>
        <w:contextualSpacing/>
        <w:textAlignment w:val="center"/>
        <w:rPr>
          <w:rFonts w:ascii="Arial" w:hAnsi="Arial" w:cs="Arial"/>
          <w:color w:val="000000"/>
          <w:szCs w:val="18"/>
        </w:rPr>
      </w:pPr>
      <w:r>
        <w:rPr>
          <w:rFonts w:ascii="Arial" w:hAnsi="Arial" w:cs="Arial"/>
          <w:color w:val="000000"/>
          <w:szCs w:val="18"/>
        </w:rPr>
        <w:t>Recommended refinements to PAB and Elexon’s performance management approach.</w:t>
      </w:r>
    </w:p>
    <w:p w14:paraId="72286F27" w14:textId="77777777" w:rsidR="00412BD6" w:rsidRDefault="00412BD6" w:rsidP="00412BD6">
      <w:pPr>
        <w:pStyle w:val="List"/>
      </w:pPr>
      <w:r w:rsidRPr="00CC3A57">
        <w:t xml:space="preserve">Updated analysis on the impact of </w:t>
      </w:r>
      <w:r>
        <w:t xml:space="preserve">NHH </w:t>
      </w:r>
      <w:r w:rsidRPr="00CC3A57">
        <w:t>estimation on Settlement</w:t>
      </w:r>
    </w:p>
    <w:p w14:paraId="143D2B73" w14:textId="77777777" w:rsidR="00A371C5" w:rsidRPr="00B9571B" w:rsidRDefault="00A371C5" w:rsidP="00A371C5">
      <w:pPr>
        <w:pStyle w:val="List2"/>
        <w:numPr>
          <w:ilvl w:val="0"/>
          <w:numId w:val="0"/>
        </w:numPr>
        <w:ind w:left="680"/>
        <w:rPr>
          <w:b/>
          <w:u w:val="single"/>
        </w:rPr>
      </w:pPr>
      <w:r w:rsidRPr="00B9571B">
        <w:rPr>
          <w:b/>
          <w:u w:val="single"/>
        </w:rPr>
        <w:t>Estimation inaccuracy by Settlement Runs and by year</w:t>
      </w:r>
    </w:p>
    <w:p w14:paraId="09B88D0F" w14:textId="77777777" w:rsidR="00A371C5" w:rsidRPr="008422AC" w:rsidRDefault="00A371C5" w:rsidP="00A371C5">
      <w:pPr>
        <w:numPr>
          <w:ilvl w:val="1"/>
          <w:numId w:val="10"/>
        </w:numPr>
        <w:suppressAutoHyphens/>
        <w:autoSpaceDE w:val="0"/>
        <w:autoSpaceDN w:val="0"/>
        <w:adjustRightInd w:val="0"/>
        <w:spacing w:after="120" w:line="260" w:lineRule="atLeast"/>
        <w:textAlignment w:val="center"/>
        <w:rPr>
          <w:rFonts w:ascii="Arial" w:hAnsi="Arial" w:cs="Arial"/>
          <w:color w:val="000000"/>
          <w:szCs w:val="18"/>
        </w:rPr>
      </w:pPr>
      <w:r>
        <w:rPr>
          <w:rFonts w:ascii="Arial" w:hAnsi="Arial" w:cs="Arial"/>
          <w:color w:val="000000"/>
          <w:szCs w:val="18"/>
        </w:rPr>
        <w:t>This month Elexon has completed further Data Transfer Network</w:t>
      </w:r>
      <w:r w:rsidRPr="008422AC">
        <w:rPr>
          <w:rFonts w:ascii="Arial" w:hAnsi="Arial" w:cs="Arial"/>
          <w:color w:val="000000"/>
          <w:szCs w:val="18"/>
        </w:rPr>
        <w:t xml:space="preserve"> </w:t>
      </w:r>
      <w:r>
        <w:rPr>
          <w:rFonts w:ascii="Arial" w:hAnsi="Arial" w:cs="Arial"/>
          <w:color w:val="000000"/>
          <w:szCs w:val="18"/>
        </w:rPr>
        <w:t>(</w:t>
      </w:r>
      <w:r w:rsidRPr="008422AC">
        <w:rPr>
          <w:rFonts w:ascii="Arial" w:hAnsi="Arial" w:cs="Arial"/>
          <w:color w:val="000000"/>
          <w:szCs w:val="18"/>
        </w:rPr>
        <w:t>DTN</w:t>
      </w:r>
      <w:r>
        <w:rPr>
          <w:rFonts w:ascii="Arial" w:hAnsi="Arial" w:cs="Arial"/>
          <w:color w:val="000000"/>
          <w:szCs w:val="18"/>
        </w:rPr>
        <w:t>) analysis focussed on the NHH market in order to provide a view of the ongoing impact of estimation. We recognise that t</w:t>
      </w:r>
      <w:r w:rsidRPr="008422AC">
        <w:rPr>
          <w:rFonts w:ascii="Arial" w:hAnsi="Arial" w:cs="Arial"/>
          <w:color w:val="000000"/>
          <w:szCs w:val="18"/>
        </w:rPr>
        <w:t>he DTN does not provide full coverage of the industry flows but provides us with insight.</w:t>
      </w:r>
      <w:r>
        <w:rPr>
          <w:rFonts w:ascii="Arial" w:hAnsi="Arial" w:cs="Arial"/>
          <w:color w:val="000000"/>
          <w:szCs w:val="18"/>
        </w:rPr>
        <w:t xml:space="preserve"> </w:t>
      </w:r>
    </w:p>
    <w:p w14:paraId="0808275C" w14:textId="77777777" w:rsidR="00A371C5" w:rsidRDefault="00A371C5" w:rsidP="00A371C5">
      <w:pPr>
        <w:pStyle w:val="List2"/>
      </w:pPr>
      <w:r w:rsidRPr="005536A3">
        <w:t xml:space="preserve">This analysis aggregates estimated consumption and compares it to the subsequent actual consumption aggregated </w:t>
      </w:r>
      <w:r>
        <w:t>at a daily Metering System level</w:t>
      </w:r>
      <w:r w:rsidRPr="005536A3">
        <w:t xml:space="preserve">. </w:t>
      </w:r>
      <w:r w:rsidRPr="00BC1886">
        <w:t>When assessing</w:t>
      </w:r>
      <w:r>
        <w:t xml:space="preserve"> the </w:t>
      </w:r>
      <w:r w:rsidRPr="00BC1886">
        <w:t>inaccuracy we looked at the gross difference, i.e. ignoring the direction</w:t>
      </w:r>
      <w:r>
        <w:t>.</w:t>
      </w:r>
      <w:r w:rsidRPr="005536A3">
        <w:t xml:space="preserve"> The following table is </w:t>
      </w:r>
      <w:r>
        <w:t xml:space="preserve">a </w:t>
      </w:r>
      <w:r w:rsidRPr="005536A3">
        <w:t>view of NHH estimation inaccuracy by Settlement Run:</w:t>
      </w:r>
    </w:p>
    <w:p w14:paraId="3BDA9CA9" w14:textId="77777777" w:rsidR="00F80F8E" w:rsidRDefault="00F80F8E" w:rsidP="00F50FDE">
      <w:pPr>
        <w:pStyle w:val="List2"/>
        <w:numPr>
          <w:ilvl w:val="0"/>
          <w:numId w:val="0"/>
        </w:numPr>
        <w:ind w:left="680"/>
      </w:pPr>
    </w:p>
    <w:tbl>
      <w:tblPr>
        <w:tblStyle w:val="ElexonBasicTable"/>
        <w:tblW w:w="9663" w:type="dxa"/>
        <w:tblInd w:w="680" w:type="dxa"/>
        <w:tblLayout w:type="fixed"/>
        <w:tblLook w:val="04A0" w:firstRow="1" w:lastRow="0" w:firstColumn="1" w:lastColumn="0" w:noHBand="0" w:noVBand="1"/>
      </w:tblPr>
      <w:tblGrid>
        <w:gridCol w:w="2415"/>
        <w:gridCol w:w="2416"/>
        <w:gridCol w:w="2416"/>
        <w:gridCol w:w="2416"/>
      </w:tblGrid>
      <w:tr w:rsidR="009B4949" w:rsidRPr="00F80F8E" w14:paraId="727F18F7" w14:textId="77777777" w:rsidTr="009B4949">
        <w:trPr>
          <w:cnfStyle w:val="100000000000" w:firstRow="1" w:lastRow="0" w:firstColumn="0" w:lastColumn="0" w:oddVBand="0" w:evenVBand="0" w:oddHBand="0" w:evenHBand="0" w:firstRowFirstColumn="0" w:firstRowLastColumn="0" w:lastRowFirstColumn="0" w:lastRowLastColumn="0"/>
          <w:trHeight w:val="285"/>
          <w:tblHeader/>
        </w:trPr>
        <w:tc>
          <w:tcPr>
            <w:tcW w:w="2415" w:type="dxa"/>
            <w:tcBorders>
              <w:bottom w:val="single" w:sz="4" w:space="0" w:color="auto"/>
            </w:tcBorders>
            <w:noWrap/>
            <w:vAlign w:val="top"/>
            <w:hideMark/>
          </w:tcPr>
          <w:p w14:paraId="4CB8C7A0" w14:textId="77777777" w:rsidR="009B4949" w:rsidRPr="0085384E" w:rsidRDefault="009B4949" w:rsidP="00611770">
            <w:pPr>
              <w:jc w:val="center"/>
            </w:pPr>
            <w:r w:rsidRPr="0085384E">
              <w:t>Period</w:t>
            </w:r>
          </w:p>
        </w:tc>
        <w:tc>
          <w:tcPr>
            <w:tcW w:w="2416" w:type="dxa"/>
            <w:tcBorders>
              <w:bottom w:val="single" w:sz="4" w:space="0" w:color="auto"/>
            </w:tcBorders>
            <w:noWrap/>
            <w:vAlign w:val="top"/>
            <w:hideMark/>
          </w:tcPr>
          <w:p w14:paraId="67CF22DC" w14:textId="77777777" w:rsidR="009B4949" w:rsidRPr="0085384E" w:rsidRDefault="009B4949" w:rsidP="00611770">
            <w:pPr>
              <w:jc w:val="center"/>
            </w:pPr>
            <w:r w:rsidRPr="0085384E">
              <w:t>Unique MPANs</w:t>
            </w:r>
          </w:p>
        </w:tc>
        <w:tc>
          <w:tcPr>
            <w:tcW w:w="2416" w:type="dxa"/>
            <w:tcBorders>
              <w:bottom w:val="single" w:sz="4" w:space="0" w:color="auto"/>
            </w:tcBorders>
            <w:noWrap/>
            <w:vAlign w:val="top"/>
            <w:hideMark/>
          </w:tcPr>
          <w:p w14:paraId="107934AE" w14:textId="77777777" w:rsidR="009B4949" w:rsidRPr="0085384E" w:rsidRDefault="009B4949" w:rsidP="00611770">
            <w:pPr>
              <w:jc w:val="center"/>
            </w:pPr>
            <w:r w:rsidRPr="0085384E">
              <w:t>No of EACs</w:t>
            </w:r>
          </w:p>
        </w:tc>
        <w:tc>
          <w:tcPr>
            <w:tcW w:w="2416" w:type="dxa"/>
            <w:tcBorders>
              <w:bottom w:val="single" w:sz="4" w:space="0" w:color="auto"/>
            </w:tcBorders>
            <w:noWrap/>
            <w:vAlign w:val="top"/>
            <w:hideMark/>
          </w:tcPr>
          <w:p w14:paraId="14E6BA20" w14:textId="77777777" w:rsidR="009B4949" w:rsidRDefault="009B4949" w:rsidP="00611770">
            <w:pPr>
              <w:jc w:val="center"/>
            </w:pPr>
            <w:r w:rsidRPr="0085384E">
              <w:t>% error</w:t>
            </w:r>
          </w:p>
        </w:tc>
      </w:tr>
      <w:tr w:rsidR="00A31236" w:rsidRPr="00F80F8E" w14:paraId="1C77A375" w14:textId="77777777" w:rsidTr="005B4313">
        <w:trPr>
          <w:trHeight w:val="285"/>
        </w:trPr>
        <w:tc>
          <w:tcPr>
            <w:tcW w:w="2415" w:type="dxa"/>
            <w:tcBorders>
              <w:top w:val="single" w:sz="4" w:space="0" w:color="auto"/>
              <w:left w:val="single" w:sz="4" w:space="0" w:color="auto"/>
              <w:bottom w:val="single" w:sz="4" w:space="0" w:color="auto"/>
              <w:right w:val="single" w:sz="4" w:space="0" w:color="auto"/>
            </w:tcBorders>
            <w:noWrap/>
            <w:vAlign w:val="top"/>
            <w:hideMark/>
          </w:tcPr>
          <w:p w14:paraId="10EDB68B" w14:textId="38E74374" w:rsidR="00A31236" w:rsidRPr="00F80F8E" w:rsidRDefault="00A31236" w:rsidP="00A31236">
            <w:pPr>
              <w:spacing w:after="0" w:line="240" w:lineRule="auto"/>
              <w:jc w:val="center"/>
              <w:rPr>
                <w:rFonts w:eastAsia="Times New Roman" w:cstheme="minorHAnsi"/>
                <w:color w:val="000000"/>
                <w:sz w:val="22"/>
                <w:lang w:eastAsia="en-GB"/>
              </w:rPr>
            </w:pPr>
            <w:r w:rsidRPr="002F634A">
              <w:t>R1</w:t>
            </w:r>
          </w:p>
        </w:tc>
        <w:tc>
          <w:tcPr>
            <w:tcW w:w="2416" w:type="dxa"/>
            <w:tcBorders>
              <w:top w:val="single" w:sz="4" w:space="0" w:color="auto"/>
              <w:left w:val="single" w:sz="4" w:space="0" w:color="auto"/>
              <w:bottom w:val="single" w:sz="4" w:space="0" w:color="auto"/>
              <w:right w:val="single" w:sz="4" w:space="0" w:color="auto"/>
            </w:tcBorders>
            <w:noWrap/>
            <w:vAlign w:val="top"/>
            <w:hideMark/>
          </w:tcPr>
          <w:p w14:paraId="0A809AE3" w14:textId="568AB4EB" w:rsidR="00A31236" w:rsidRPr="00F80F8E" w:rsidRDefault="00A31236" w:rsidP="00A31236">
            <w:pPr>
              <w:spacing w:after="0" w:line="240" w:lineRule="auto"/>
              <w:jc w:val="center"/>
              <w:rPr>
                <w:rFonts w:eastAsia="Times New Roman" w:cstheme="minorHAnsi"/>
                <w:color w:val="000000"/>
                <w:sz w:val="22"/>
                <w:lang w:eastAsia="en-GB"/>
              </w:rPr>
            </w:pPr>
            <w:r w:rsidRPr="002F634A">
              <w:t>116,942</w:t>
            </w:r>
          </w:p>
        </w:tc>
        <w:tc>
          <w:tcPr>
            <w:tcW w:w="2416" w:type="dxa"/>
            <w:tcBorders>
              <w:top w:val="single" w:sz="4" w:space="0" w:color="auto"/>
              <w:left w:val="single" w:sz="4" w:space="0" w:color="auto"/>
              <w:bottom w:val="single" w:sz="4" w:space="0" w:color="auto"/>
              <w:right w:val="single" w:sz="4" w:space="0" w:color="auto"/>
            </w:tcBorders>
            <w:noWrap/>
            <w:vAlign w:val="top"/>
            <w:hideMark/>
          </w:tcPr>
          <w:p w14:paraId="02C2A646" w14:textId="45943681" w:rsidR="00A31236" w:rsidRPr="00F80F8E" w:rsidRDefault="00A31236" w:rsidP="00A31236">
            <w:pPr>
              <w:spacing w:after="0" w:line="240" w:lineRule="auto"/>
              <w:jc w:val="center"/>
              <w:rPr>
                <w:rFonts w:eastAsia="Times New Roman" w:cstheme="minorHAnsi"/>
                <w:color w:val="000000"/>
                <w:sz w:val="22"/>
                <w:lang w:eastAsia="en-GB"/>
              </w:rPr>
            </w:pPr>
            <w:r w:rsidRPr="002F634A">
              <w:t>1,692,458</w:t>
            </w:r>
          </w:p>
        </w:tc>
        <w:tc>
          <w:tcPr>
            <w:tcW w:w="2416" w:type="dxa"/>
            <w:tcBorders>
              <w:top w:val="single" w:sz="4" w:space="0" w:color="auto"/>
              <w:left w:val="single" w:sz="4" w:space="0" w:color="auto"/>
              <w:bottom w:val="single" w:sz="4" w:space="0" w:color="auto"/>
              <w:right w:val="single" w:sz="4" w:space="0" w:color="auto"/>
            </w:tcBorders>
            <w:noWrap/>
            <w:vAlign w:val="top"/>
            <w:hideMark/>
          </w:tcPr>
          <w:p w14:paraId="00717A90" w14:textId="1156A4AE" w:rsidR="00A31236" w:rsidRPr="00F80F8E" w:rsidRDefault="00A31236" w:rsidP="00A31236">
            <w:pPr>
              <w:spacing w:after="0" w:line="240" w:lineRule="auto"/>
              <w:jc w:val="center"/>
              <w:rPr>
                <w:rFonts w:eastAsia="Times New Roman" w:cstheme="minorHAnsi"/>
                <w:color w:val="000000"/>
                <w:sz w:val="22"/>
                <w:lang w:eastAsia="en-GB"/>
              </w:rPr>
            </w:pPr>
            <w:r w:rsidRPr="002F634A">
              <w:t>22.67%</w:t>
            </w:r>
          </w:p>
        </w:tc>
      </w:tr>
      <w:tr w:rsidR="00A31236" w:rsidRPr="00F80F8E" w14:paraId="2972A68A" w14:textId="77777777" w:rsidTr="005B4313">
        <w:trPr>
          <w:trHeight w:val="285"/>
        </w:trPr>
        <w:tc>
          <w:tcPr>
            <w:tcW w:w="2415" w:type="dxa"/>
            <w:tcBorders>
              <w:top w:val="single" w:sz="4" w:space="0" w:color="auto"/>
              <w:left w:val="single" w:sz="4" w:space="0" w:color="auto"/>
              <w:bottom w:val="single" w:sz="4" w:space="0" w:color="auto"/>
              <w:right w:val="single" w:sz="4" w:space="0" w:color="auto"/>
            </w:tcBorders>
            <w:noWrap/>
            <w:vAlign w:val="top"/>
            <w:hideMark/>
          </w:tcPr>
          <w:p w14:paraId="34C6925F" w14:textId="2D1D1CAF" w:rsidR="00A31236" w:rsidRPr="00F80F8E" w:rsidRDefault="00A31236" w:rsidP="00A31236">
            <w:pPr>
              <w:spacing w:after="0" w:line="240" w:lineRule="auto"/>
              <w:jc w:val="center"/>
              <w:rPr>
                <w:rFonts w:eastAsia="Times New Roman" w:cstheme="minorHAnsi"/>
                <w:color w:val="000000"/>
                <w:sz w:val="22"/>
                <w:lang w:eastAsia="en-GB"/>
              </w:rPr>
            </w:pPr>
            <w:r w:rsidRPr="002F634A">
              <w:t>R2</w:t>
            </w:r>
          </w:p>
        </w:tc>
        <w:tc>
          <w:tcPr>
            <w:tcW w:w="2416" w:type="dxa"/>
            <w:tcBorders>
              <w:top w:val="single" w:sz="4" w:space="0" w:color="auto"/>
              <w:left w:val="single" w:sz="4" w:space="0" w:color="auto"/>
              <w:bottom w:val="single" w:sz="4" w:space="0" w:color="auto"/>
              <w:right w:val="single" w:sz="4" w:space="0" w:color="auto"/>
            </w:tcBorders>
            <w:noWrap/>
            <w:vAlign w:val="top"/>
            <w:hideMark/>
          </w:tcPr>
          <w:p w14:paraId="40EA0929" w14:textId="10AACE13" w:rsidR="00A31236" w:rsidRPr="00F80F8E" w:rsidRDefault="00A31236" w:rsidP="00A31236">
            <w:pPr>
              <w:spacing w:after="0" w:line="240" w:lineRule="auto"/>
              <w:jc w:val="center"/>
              <w:rPr>
                <w:rFonts w:eastAsia="Times New Roman" w:cstheme="minorHAnsi"/>
                <w:color w:val="000000"/>
                <w:sz w:val="22"/>
                <w:lang w:eastAsia="en-GB"/>
              </w:rPr>
            </w:pPr>
            <w:r w:rsidRPr="002F634A">
              <w:t>123,224</w:t>
            </w:r>
          </w:p>
        </w:tc>
        <w:tc>
          <w:tcPr>
            <w:tcW w:w="2416" w:type="dxa"/>
            <w:tcBorders>
              <w:top w:val="single" w:sz="4" w:space="0" w:color="auto"/>
              <w:left w:val="single" w:sz="4" w:space="0" w:color="auto"/>
              <w:bottom w:val="single" w:sz="4" w:space="0" w:color="auto"/>
              <w:right w:val="single" w:sz="4" w:space="0" w:color="auto"/>
            </w:tcBorders>
            <w:noWrap/>
            <w:vAlign w:val="top"/>
            <w:hideMark/>
          </w:tcPr>
          <w:p w14:paraId="6D6E4664" w14:textId="20BDD4C8" w:rsidR="00A31236" w:rsidRPr="00F80F8E" w:rsidRDefault="00A31236" w:rsidP="00A31236">
            <w:pPr>
              <w:spacing w:after="0" w:line="240" w:lineRule="auto"/>
              <w:jc w:val="center"/>
              <w:rPr>
                <w:rFonts w:eastAsia="Times New Roman" w:cstheme="minorHAnsi"/>
                <w:color w:val="000000"/>
                <w:sz w:val="22"/>
                <w:lang w:eastAsia="en-GB"/>
              </w:rPr>
            </w:pPr>
            <w:r w:rsidRPr="002F634A">
              <w:t>659,310</w:t>
            </w:r>
          </w:p>
        </w:tc>
        <w:tc>
          <w:tcPr>
            <w:tcW w:w="2416" w:type="dxa"/>
            <w:tcBorders>
              <w:top w:val="single" w:sz="4" w:space="0" w:color="auto"/>
              <w:left w:val="single" w:sz="4" w:space="0" w:color="auto"/>
              <w:bottom w:val="single" w:sz="4" w:space="0" w:color="auto"/>
              <w:right w:val="single" w:sz="4" w:space="0" w:color="auto"/>
            </w:tcBorders>
            <w:noWrap/>
            <w:vAlign w:val="top"/>
            <w:hideMark/>
          </w:tcPr>
          <w:p w14:paraId="3A8F606A" w14:textId="5ABA3FB2" w:rsidR="00A31236" w:rsidRPr="00F80F8E" w:rsidRDefault="00A31236" w:rsidP="00A31236">
            <w:pPr>
              <w:spacing w:after="0" w:line="240" w:lineRule="auto"/>
              <w:jc w:val="center"/>
              <w:rPr>
                <w:rFonts w:eastAsia="Times New Roman" w:cstheme="minorHAnsi"/>
                <w:color w:val="000000"/>
                <w:sz w:val="22"/>
                <w:lang w:eastAsia="en-GB"/>
              </w:rPr>
            </w:pPr>
            <w:r w:rsidRPr="002F634A">
              <w:t>23.28%</w:t>
            </w:r>
          </w:p>
        </w:tc>
      </w:tr>
      <w:tr w:rsidR="00A31236" w:rsidRPr="00F80F8E" w14:paraId="3B199AC0" w14:textId="77777777" w:rsidTr="005B4313">
        <w:trPr>
          <w:trHeight w:val="285"/>
        </w:trPr>
        <w:tc>
          <w:tcPr>
            <w:tcW w:w="2415" w:type="dxa"/>
            <w:tcBorders>
              <w:top w:val="single" w:sz="4" w:space="0" w:color="auto"/>
              <w:left w:val="single" w:sz="4" w:space="0" w:color="auto"/>
              <w:bottom w:val="single" w:sz="4" w:space="0" w:color="auto"/>
              <w:right w:val="single" w:sz="4" w:space="0" w:color="auto"/>
            </w:tcBorders>
            <w:noWrap/>
            <w:vAlign w:val="top"/>
            <w:hideMark/>
          </w:tcPr>
          <w:p w14:paraId="2E6BC26B" w14:textId="173A87B7" w:rsidR="00A31236" w:rsidRPr="00F80F8E" w:rsidRDefault="00A31236" w:rsidP="00A31236">
            <w:pPr>
              <w:spacing w:after="0" w:line="240" w:lineRule="auto"/>
              <w:jc w:val="center"/>
              <w:rPr>
                <w:rFonts w:eastAsia="Times New Roman" w:cstheme="minorHAnsi"/>
                <w:color w:val="000000"/>
                <w:sz w:val="22"/>
                <w:lang w:eastAsia="en-GB"/>
              </w:rPr>
            </w:pPr>
            <w:r w:rsidRPr="002F634A">
              <w:t>R3</w:t>
            </w:r>
          </w:p>
        </w:tc>
        <w:tc>
          <w:tcPr>
            <w:tcW w:w="2416" w:type="dxa"/>
            <w:tcBorders>
              <w:top w:val="single" w:sz="4" w:space="0" w:color="auto"/>
              <w:left w:val="single" w:sz="4" w:space="0" w:color="auto"/>
              <w:bottom w:val="single" w:sz="4" w:space="0" w:color="auto"/>
              <w:right w:val="single" w:sz="4" w:space="0" w:color="auto"/>
            </w:tcBorders>
            <w:noWrap/>
            <w:vAlign w:val="top"/>
            <w:hideMark/>
          </w:tcPr>
          <w:p w14:paraId="770E44E1" w14:textId="1A53DB4A" w:rsidR="00A31236" w:rsidRPr="00F80F8E" w:rsidRDefault="00A31236" w:rsidP="00A31236">
            <w:pPr>
              <w:spacing w:after="0" w:line="240" w:lineRule="auto"/>
              <w:jc w:val="center"/>
              <w:rPr>
                <w:rFonts w:eastAsia="Times New Roman" w:cstheme="minorHAnsi"/>
                <w:color w:val="000000"/>
                <w:sz w:val="22"/>
                <w:lang w:eastAsia="en-GB"/>
              </w:rPr>
            </w:pPr>
            <w:r w:rsidRPr="002F634A">
              <w:t>85,369</w:t>
            </w:r>
          </w:p>
        </w:tc>
        <w:tc>
          <w:tcPr>
            <w:tcW w:w="2416" w:type="dxa"/>
            <w:tcBorders>
              <w:top w:val="single" w:sz="4" w:space="0" w:color="auto"/>
              <w:left w:val="single" w:sz="4" w:space="0" w:color="auto"/>
              <w:bottom w:val="single" w:sz="4" w:space="0" w:color="auto"/>
              <w:right w:val="single" w:sz="4" w:space="0" w:color="auto"/>
            </w:tcBorders>
            <w:noWrap/>
            <w:vAlign w:val="top"/>
            <w:hideMark/>
          </w:tcPr>
          <w:p w14:paraId="79756CE9" w14:textId="756EC283" w:rsidR="00A31236" w:rsidRPr="00F80F8E" w:rsidRDefault="00A31236" w:rsidP="00A31236">
            <w:pPr>
              <w:spacing w:after="0" w:line="240" w:lineRule="auto"/>
              <w:jc w:val="center"/>
              <w:rPr>
                <w:rFonts w:eastAsia="Times New Roman" w:cstheme="minorHAnsi"/>
                <w:color w:val="000000"/>
                <w:sz w:val="22"/>
                <w:lang w:eastAsia="en-GB"/>
              </w:rPr>
            </w:pPr>
            <w:r w:rsidRPr="002F634A">
              <w:t>201,010</w:t>
            </w:r>
          </w:p>
        </w:tc>
        <w:tc>
          <w:tcPr>
            <w:tcW w:w="2416" w:type="dxa"/>
            <w:tcBorders>
              <w:top w:val="single" w:sz="4" w:space="0" w:color="auto"/>
              <w:left w:val="single" w:sz="4" w:space="0" w:color="auto"/>
              <w:bottom w:val="single" w:sz="4" w:space="0" w:color="auto"/>
              <w:right w:val="single" w:sz="4" w:space="0" w:color="auto"/>
            </w:tcBorders>
            <w:noWrap/>
            <w:vAlign w:val="top"/>
            <w:hideMark/>
          </w:tcPr>
          <w:p w14:paraId="28E02C8B" w14:textId="036FBFD7" w:rsidR="00A31236" w:rsidRPr="00F80F8E" w:rsidRDefault="00A31236" w:rsidP="00A31236">
            <w:pPr>
              <w:spacing w:after="0" w:line="240" w:lineRule="auto"/>
              <w:jc w:val="center"/>
              <w:rPr>
                <w:rFonts w:eastAsia="Times New Roman" w:cstheme="minorHAnsi"/>
                <w:color w:val="000000"/>
                <w:sz w:val="22"/>
                <w:lang w:eastAsia="en-GB"/>
              </w:rPr>
            </w:pPr>
            <w:r w:rsidRPr="002F634A">
              <w:t>25.78%</w:t>
            </w:r>
          </w:p>
        </w:tc>
      </w:tr>
      <w:tr w:rsidR="00A31236" w:rsidRPr="00F80F8E" w14:paraId="36937215" w14:textId="77777777" w:rsidTr="005B4313">
        <w:trPr>
          <w:trHeight w:val="285"/>
        </w:trPr>
        <w:tc>
          <w:tcPr>
            <w:tcW w:w="2415" w:type="dxa"/>
            <w:tcBorders>
              <w:top w:val="single" w:sz="4" w:space="0" w:color="auto"/>
              <w:left w:val="single" w:sz="4" w:space="0" w:color="auto"/>
              <w:bottom w:val="single" w:sz="4" w:space="0" w:color="auto"/>
              <w:right w:val="single" w:sz="4" w:space="0" w:color="auto"/>
            </w:tcBorders>
            <w:noWrap/>
            <w:vAlign w:val="top"/>
            <w:hideMark/>
          </w:tcPr>
          <w:p w14:paraId="605291D0" w14:textId="5B248422" w:rsidR="00A31236" w:rsidRPr="00F80F8E" w:rsidRDefault="00A31236" w:rsidP="00A31236">
            <w:pPr>
              <w:spacing w:after="0" w:line="240" w:lineRule="auto"/>
              <w:jc w:val="center"/>
              <w:rPr>
                <w:rFonts w:eastAsia="Times New Roman" w:cstheme="minorHAnsi"/>
                <w:color w:val="000000"/>
                <w:sz w:val="22"/>
                <w:lang w:eastAsia="en-GB"/>
              </w:rPr>
            </w:pPr>
            <w:r w:rsidRPr="002F634A">
              <w:t>RF</w:t>
            </w:r>
          </w:p>
        </w:tc>
        <w:tc>
          <w:tcPr>
            <w:tcW w:w="2416" w:type="dxa"/>
            <w:tcBorders>
              <w:top w:val="single" w:sz="4" w:space="0" w:color="auto"/>
              <w:left w:val="single" w:sz="4" w:space="0" w:color="auto"/>
              <w:bottom w:val="single" w:sz="4" w:space="0" w:color="auto"/>
              <w:right w:val="single" w:sz="4" w:space="0" w:color="auto"/>
            </w:tcBorders>
            <w:noWrap/>
            <w:vAlign w:val="top"/>
            <w:hideMark/>
          </w:tcPr>
          <w:p w14:paraId="5AB0BF23" w14:textId="1D8D617D" w:rsidR="00A31236" w:rsidRPr="00F80F8E" w:rsidRDefault="00A31236" w:rsidP="00A31236">
            <w:pPr>
              <w:spacing w:after="0" w:line="240" w:lineRule="auto"/>
              <w:jc w:val="center"/>
              <w:rPr>
                <w:rFonts w:eastAsia="Times New Roman" w:cstheme="minorHAnsi"/>
                <w:color w:val="000000"/>
                <w:sz w:val="22"/>
                <w:lang w:eastAsia="en-GB"/>
              </w:rPr>
            </w:pPr>
            <w:r w:rsidRPr="002F634A">
              <w:t>49,824</w:t>
            </w:r>
          </w:p>
        </w:tc>
        <w:tc>
          <w:tcPr>
            <w:tcW w:w="2416" w:type="dxa"/>
            <w:tcBorders>
              <w:top w:val="single" w:sz="4" w:space="0" w:color="auto"/>
              <w:left w:val="single" w:sz="4" w:space="0" w:color="auto"/>
              <w:bottom w:val="single" w:sz="4" w:space="0" w:color="auto"/>
              <w:right w:val="single" w:sz="4" w:space="0" w:color="auto"/>
            </w:tcBorders>
            <w:noWrap/>
            <w:vAlign w:val="top"/>
            <w:hideMark/>
          </w:tcPr>
          <w:p w14:paraId="49A1951B" w14:textId="17B94508" w:rsidR="00A31236" w:rsidRPr="00F80F8E" w:rsidRDefault="00A31236" w:rsidP="00A31236">
            <w:pPr>
              <w:spacing w:after="0" w:line="240" w:lineRule="auto"/>
              <w:jc w:val="center"/>
              <w:rPr>
                <w:rFonts w:eastAsia="Times New Roman" w:cstheme="minorHAnsi"/>
                <w:color w:val="000000"/>
                <w:sz w:val="22"/>
                <w:lang w:eastAsia="en-GB"/>
              </w:rPr>
            </w:pPr>
            <w:r w:rsidRPr="002F634A">
              <w:t>92,608</w:t>
            </w:r>
          </w:p>
        </w:tc>
        <w:tc>
          <w:tcPr>
            <w:tcW w:w="2416" w:type="dxa"/>
            <w:tcBorders>
              <w:top w:val="single" w:sz="4" w:space="0" w:color="auto"/>
              <w:left w:val="single" w:sz="4" w:space="0" w:color="auto"/>
              <w:bottom w:val="single" w:sz="4" w:space="0" w:color="auto"/>
              <w:right w:val="single" w:sz="4" w:space="0" w:color="auto"/>
            </w:tcBorders>
            <w:noWrap/>
            <w:vAlign w:val="top"/>
            <w:hideMark/>
          </w:tcPr>
          <w:p w14:paraId="56E1FC28" w14:textId="62DC7A76" w:rsidR="00A31236" w:rsidRPr="00F80F8E" w:rsidRDefault="00A31236" w:rsidP="00A31236">
            <w:pPr>
              <w:spacing w:after="0" w:line="240" w:lineRule="auto"/>
              <w:jc w:val="center"/>
              <w:rPr>
                <w:rFonts w:eastAsia="Times New Roman" w:cstheme="minorHAnsi"/>
                <w:color w:val="000000"/>
                <w:sz w:val="22"/>
                <w:lang w:eastAsia="en-GB"/>
              </w:rPr>
            </w:pPr>
            <w:r w:rsidRPr="002F634A">
              <w:t>28.95%</w:t>
            </w:r>
          </w:p>
        </w:tc>
      </w:tr>
      <w:tr w:rsidR="00A31236" w:rsidRPr="00F80F8E" w14:paraId="3A3178D5" w14:textId="77777777" w:rsidTr="005B4313">
        <w:trPr>
          <w:trHeight w:val="285"/>
        </w:trPr>
        <w:tc>
          <w:tcPr>
            <w:tcW w:w="2415" w:type="dxa"/>
            <w:tcBorders>
              <w:top w:val="single" w:sz="4" w:space="0" w:color="auto"/>
              <w:left w:val="single" w:sz="4" w:space="0" w:color="auto"/>
              <w:bottom w:val="single" w:sz="4" w:space="0" w:color="auto"/>
              <w:right w:val="single" w:sz="4" w:space="0" w:color="auto"/>
            </w:tcBorders>
            <w:noWrap/>
            <w:vAlign w:val="top"/>
            <w:hideMark/>
          </w:tcPr>
          <w:p w14:paraId="518C6A84" w14:textId="6B66035A" w:rsidR="00A31236" w:rsidRPr="00F80F8E" w:rsidRDefault="00A31236" w:rsidP="00A31236">
            <w:pPr>
              <w:spacing w:after="0" w:line="240" w:lineRule="auto"/>
              <w:jc w:val="center"/>
              <w:rPr>
                <w:rFonts w:eastAsia="Times New Roman" w:cstheme="minorHAnsi"/>
                <w:b/>
                <w:bCs/>
                <w:color w:val="000000"/>
                <w:sz w:val="22"/>
                <w:lang w:eastAsia="en-GB"/>
              </w:rPr>
            </w:pPr>
            <w:r w:rsidRPr="002F634A">
              <w:t>Total</w:t>
            </w:r>
          </w:p>
        </w:tc>
        <w:tc>
          <w:tcPr>
            <w:tcW w:w="2416" w:type="dxa"/>
            <w:tcBorders>
              <w:top w:val="single" w:sz="4" w:space="0" w:color="auto"/>
              <w:left w:val="single" w:sz="4" w:space="0" w:color="auto"/>
              <w:bottom w:val="single" w:sz="4" w:space="0" w:color="auto"/>
              <w:right w:val="single" w:sz="4" w:space="0" w:color="auto"/>
            </w:tcBorders>
            <w:noWrap/>
            <w:vAlign w:val="top"/>
            <w:hideMark/>
          </w:tcPr>
          <w:p w14:paraId="12DF3075" w14:textId="3EC59B7F" w:rsidR="00A31236" w:rsidRPr="00F80F8E" w:rsidRDefault="00A31236" w:rsidP="00A31236">
            <w:pPr>
              <w:spacing w:after="0" w:line="240" w:lineRule="auto"/>
              <w:jc w:val="center"/>
              <w:rPr>
                <w:rFonts w:eastAsia="Times New Roman" w:cstheme="minorHAnsi"/>
                <w:b/>
                <w:bCs/>
                <w:color w:val="000000"/>
                <w:sz w:val="22"/>
                <w:lang w:eastAsia="en-GB"/>
              </w:rPr>
            </w:pPr>
            <w:r w:rsidRPr="002F634A">
              <w:t>154,802</w:t>
            </w:r>
          </w:p>
        </w:tc>
        <w:tc>
          <w:tcPr>
            <w:tcW w:w="2416" w:type="dxa"/>
            <w:tcBorders>
              <w:top w:val="single" w:sz="4" w:space="0" w:color="auto"/>
              <w:left w:val="single" w:sz="4" w:space="0" w:color="auto"/>
              <w:bottom w:val="single" w:sz="4" w:space="0" w:color="auto"/>
              <w:right w:val="single" w:sz="4" w:space="0" w:color="auto"/>
            </w:tcBorders>
            <w:noWrap/>
            <w:vAlign w:val="top"/>
            <w:hideMark/>
          </w:tcPr>
          <w:p w14:paraId="1752BE91" w14:textId="030A9543" w:rsidR="00A31236" w:rsidRPr="00F80F8E" w:rsidRDefault="00A31236" w:rsidP="00A31236">
            <w:pPr>
              <w:spacing w:after="0" w:line="240" w:lineRule="auto"/>
              <w:jc w:val="center"/>
              <w:rPr>
                <w:rFonts w:eastAsia="Times New Roman" w:cstheme="minorHAnsi"/>
                <w:b/>
                <w:bCs/>
                <w:color w:val="000000"/>
                <w:sz w:val="22"/>
                <w:lang w:eastAsia="en-GB"/>
              </w:rPr>
            </w:pPr>
            <w:r w:rsidRPr="002F634A">
              <w:t>2,645,386</w:t>
            </w:r>
          </w:p>
        </w:tc>
        <w:tc>
          <w:tcPr>
            <w:tcW w:w="2416" w:type="dxa"/>
            <w:tcBorders>
              <w:top w:val="single" w:sz="4" w:space="0" w:color="auto"/>
              <w:left w:val="single" w:sz="4" w:space="0" w:color="auto"/>
              <w:bottom w:val="single" w:sz="4" w:space="0" w:color="auto"/>
              <w:right w:val="single" w:sz="4" w:space="0" w:color="auto"/>
            </w:tcBorders>
            <w:noWrap/>
            <w:vAlign w:val="top"/>
            <w:hideMark/>
          </w:tcPr>
          <w:p w14:paraId="5C656DC8" w14:textId="328A558E" w:rsidR="00A31236" w:rsidRPr="00F80F8E" w:rsidRDefault="00A31236" w:rsidP="00A31236">
            <w:pPr>
              <w:spacing w:after="0" w:line="240" w:lineRule="auto"/>
              <w:jc w:val="center"/>
              <w:rPr>
                <w:rFonts w:eastAsia="Times New Roman" w:cstheme="minorHAnsi"/>
                <w:b/>
                <w:bCs/>
                <w:color w:val="000000"/>
                <w:sz w:val="22"/>
                <w:lang w:eastAsia="en-GB"/>
              </w:rPr>
            </w:pPr>
            <w:r w:rsidRPr="002F634A">
              <w:t>24.46%</w:t>
            </w:r>
          </w:p>
        </w:tc>
      </w:tr>
    </w:tbl>
    <w:p w14:paraId="16F561CB" w14:textId="77777777" w:rsidR="00663663" w:rsidRPr="00663663" w:rsidRDefault="00A371C5" w:rsidP="00663663">
      <w:pPr>
        <w:numPr>
          <w:ilvl w:val="1"/>
          <w:numId w:val="10"/>
        </w:numPr>
        <w:suppressAutoHyphens/>
        <w:autoSpaceDE w:val="0"/>
        <w:autoSpaceDN w:val="0"/>
        <w:adjustRightInd w:val="0"/>
        <w:spacing w:before="240" w:after="120" w:line="260" w:lineRule="atLeast"/>
        <w:textAlignment w:val="center"/>
        <w:rPr>
          <w:rFonts w:ascii="Arial" w:hAnsi="Arial" w:cs="Arial"/>
          <w:color w:val="000000"/>
          <w:szCs w:val="18"/>
        </w:rPr>
      </w:pPr>
      <w:r>
        <w:rPr>
          <w:rFonts w:ascii="Arial" w:hAnsi="Arial" w:cs="Arial"/>
          <w:color w:val="000000"/>
          <w:szCs w:val="18"/>
        </w:rPr>
        <w:t xml:space="preserve">This analysis indicates that estimation inaccuracy increases as the estimate ages. This is even taking into consideration the netting aspect of NHH </w:t>
      </w:r>
      <w:r w:rsidR="005164A5">
        <w:rPr>
          <w:rFonts w:ascii="Arial" w:hAnsi="Arial" w:cs="Arial"/>
          <w:color w:val="000000"/>
          <w:szCs w:val="18"/>
        </w:rPr>
        <w:t>estimation, which</w:t>
      </w:r>
      <w:r>
        <w:rPr>
          <w:rFonts w:ascii="Arial" w:hAnsi="Arial" w:cs="Arial"/>
          <w:color w:val="000000"/>
          <w:szCs w:val="18"/>
        </w:rPr>
        <w:t xml:space="preserve"> uses looking forward consumption value (i.e. EAC). </w:t>
      </w:r>
      <w:r w:rsidRPr="0018618C">
        <w:rPr>
          <w:rFonts w:ascii="Arial" w:hAnsi="Arial" w:cs="Arial"/>
          <w:color w:val="000000"/>
          <w:szCs w:val="18"/>
        </w:rPr>
        <w:t xml:space="preserve">As estimation inaccuracy increases </w:t>
      </w:r>
      <w:r>
        <w:rPr>
          <w:rFonts w:ascii="Arial" w:hAnsi="Arial" w:cs="Arial"/>
          <w:color w:val="000000"/>
          <w:szCs w:val="18"/>
        </w:rPr>
        <w:t>in later</w:t>
      </w:r>
      <w:r w:rsidRPr="0018618C">
        <w:rPr>
          <w:rFonts w:ascii="Arial" w:hAnsi="Arial" w:cs="Arial"/>
          <w:color w:val="000000"/>
          <w:szCs w:val="18"/>
        </w:rPr>
        <w:t xml:space="preserve"> runs, </w:t>
      </w:r>
      <w:r>
        <w:rPr>
          <w:rFonts w:ascii="Arial" w:hAnsi="Arial" w:cs="Arial"/>
          <w:color w:val="000000"/>
          <w:szCs w:val="18"/>
        </w:rPr>
        <w:t xml:space="preserve">it is reasonable to </w:t>
      </w:r>
      <w:r w:rsidRPr="0018618C">
        <w:rPr>
          <w:rFonts w:ascii="Arial" w:hAnsi="Arial" w:cs="Arial"/>
          <w:color w:val="000000"/>
          <w:szCs w:val="18"/>
        </w:rPr>
        <w:t>infer that this trend would continue after RF and some Suppliers within the EFR technique have highlighted AAs that were 50% to 85% higher than the AAs obtained after RF.</w:t>
      </w:r>
      <w:r w:rsidR="00663663">
        <w:rPr>
          <w:rFonts w:ascii="Arial" w:hAnsi="Arial" w:cs="Arial"/>
          <w:color w:val="000000"/>
          <w:szCs w:val="18"/>
        </w:rPr>
        <w:t xml:space="preserve"> The analysis also indicates that estimation inaccuracy has increased</w:t>
      </w:r>
      <w:r w:rsidR="003A2E7A">
        <w:rPr>
          <w:rFonts w:ascii="Arial" w:hAnsi="Arial" w:cs="Arial"/>
          <w:color w:val="000000"/>
          <w:szCs w:val="18"/>
        </w:rPr>
        <w:t xml:space="preserve"> since the last report in February, especially at RF.</w:t>
      </w:r>
    </w:p>
    <w:p w14:paraId="5EB55720" w14:textId="77777777" w:rsidR="00A371C5" w:rsidRDefault="00A371C5" w:rsidP="00A371C5">
      <w:pPr>
        <w:numPr>
          <w:ilvl w:val="1"/>
          <w:numId w:val="10"/>
        </w:numPr>
        <w:suppressAutoHyphens/>
        <w:autoSpaceDE w:val="0"/>
        <w:autoSpaceDN w:val="0"/>
        <w:adjustRightInd w:val="0"/>
        <w:spacing w:after="120" w:line="260" w:lineRule="atLeast"/>
        <w:textAlignment w:val="center"/>
        <w:rPr>
          <w:rFonts w:ascii="Arial" w:hAnsi="Arial" w:cs="Arial"/>
          <w:color w:val="000000"/>
          <w:szCs w:val="18"/>
        </w:rPr>
      </w:pPr>
      <w:r>
        <w:rPr>
          <w:rFonts w:ascii="Arial" w:hAnsi="Arial" w:cs="Arial"/>
          <w:color w:val="000000"/>
          <w:szCs w:val="18"/>
        </w:rPr>
        <w:lastRenderedPageBreak/>
        <w:t>Elexon has also produced an updated view of NHH estimation inaccuracy changes over time (in aggregate for all Reconciliation Settlement Ru</w:t>
      </w:r>
      <w:r w:rsidR="00384F7D">
        <w:rPr>
          <w:rFonts w:ascii="Arial" w:hAnsi="Arial" w:cs="Arial"/>
          <w:color w:val="000000"/>
          <w:szCs w:val="18"/>
        </w:rPr>
        <w:t xml:space="preserve">ns, i.e. R1 to RF). Please note </w:t>
      </w:r>
      <w:r w:rsidR="00EE3D11">
        <w:rPr>
          <w:rFonts w:ascii="Arial" w:hAnsi="Arial" w:cs="Arial"/>
          <w:color w:val="000000"/>
          <w:szCs w:val="18"/>
        </w:rPr>
        <w:t>we assign estimation inaccuracy</w:t>
      </w:r>
      <w:r>
        <w:rPr>
          <w:rFonts w:ascii="Arial" w:hAnsi="Arial" w:cs="Arial"/>
          <w:color w:val="000000"/>
          <w:szCs w:val="18"/>
        </w:rPr>
        <w:t xml:space="preserve"> to a yearly period based on th</w:t>
      </w:r>
      <w:r w:rsidR="00EE3D11">
        <w:rPr>
          <w:rFonts w:ascii="Arial" w:hAnsi="Arial" w:cs="Arial"/>
          <w:color w:val="000000"/>
          <w:szCs w:val="18"/>
        </w:rPr>
        <w:t>e date the actual Meter read was</w:t>
      </w:r>
      <w:r>
        <w:rPr>
          <w:rFonts w:ascii="Arial" w:hAnsi="Arial" w:cs="Arial"/>
          <w:color w:val="000000"/>
          <w:szCs w:val="18"/>
        </w:rPr>
        <w:t xml:space="preserve"> entered into Settlement.</w:t>
      </w:r>
    </w:p>
    <w:p w14:paraId="6DDC512C" w14:textId="77777777" w:rsidR="00384F7D" w:rsidRDefault="00384F7D" w:rsidP="00384F7D">
      <w:pPr>
        <w:suppressAutoHyphens/>
        <w:autoSpaceDE w:val="0"/>
        <w:autoSpaceDN w:val="0"/>
        <w:adjustRightInd w:val="0"/>
        <w:spacing w:after="120" w:line="260" w:lineRule="atLeast"/>
        <w:ind w:left="680"/>
        <w:textAlignment w:val="center"/>
        <w:rPr>
          <w:rFonts w:ascii="Arial" w:hAnsi="Arial" w:cs="Arial"/>
          <w:color w:val="000000"/>
          <w:szCs w:val="18"/>
        </w:rPr>
      </w:pPr>
    </w:p>
    <w:tbl>
      <w:tblPr>
        <w:tblStyle w:val="ElexonBasicTable"/>
        <w:tblW w:w="0" w:type="auto"/>
        <w:tblInd w:w="680" w:type="dxa"/>
        <w:tblCellMar>
          <w:top w:w="57" w:type="dxa"/>
          <w:left w:w="57" w:type="dxa"/>
          <w:bottom w:w="57" w:type="dxa"/>
          <w:right w:w="57" w:type="dxa"/>
        </w:tblCellMar>
        <w:tblLook w:val="04A0" w:firstRow="1" w:lastRow="0" w:firstColumn="1" w:lastColumn="0" w:noHBand="0" w:noVBand="1"/>
      </w:tblPr>
      <w:tblGrid>
        <w:gridCol w:w="2415"/>
        <w:gridCol w:w="2416"/>
        <w:gridCol w:w="2416"/>
        <w:gridCol w:w="2416"/>
      </w:tblGrid>
      <w:tr w:rsidR="00A371C5" w14:paraId="6DDD9F82" w14:textId="77777777" w:rsidTr="009B4949">
        <w:trPr>
          <w:cnfStyle w:val="100000000000" w:firstRow="1" w:lastRow="0" w:firstColumn="0" w:lastColumn="0" w:oddVBand="0" w:evenVBand="0" w:oddHBand="0" w:evenHBand="0" w:firstRowFirstColumn="0" w:firstRowLastColumn="0" w:lastRowFirstColumn="0" w:lastRowLastColumn="0"/>
          <w:tblHeader/>
        </w:trPr>
        <w:tc>
          <w:tcPr>
            <w:tcW w:w="2415" w:type="dxa"/>
          </w:tcPr>
          <w:p w14:paraId="3822EA10" w14:textId="77777777" w:rsidR="00A371C5" w:rsidRPr="00932E60" w:rsidRDefault="00A371C5" w:rsidP="009B4949">
            <w:pPr>
              <w:pStyle w:val="ElexonTableTextLarge"/>
              <w:jc w:val="center"/>
            </w:pPr>
            <w:r>
              <w:t>Period</w:t>
            </w:r>
          </w:p>
        </w:tc>
        <w:tc>
          <w:tcPr>
            <w:tcW w:w="2416" w:type="dxa"/>
          </w:tcPr>
          <w:p w14:paraId="2E7A4300" w14:textId="77777777" w:rsidR="00A371C5" w:rsidRPr="00932E60" w:rsidRDefault="00A371C5" w:rsidP="009B4949">
            <w:pPr>
              <w:pStyle w:val="ElexonTableTextLarge"/>
              <w:jc w:val="center"/>
            </w:pPr>
            <w:r>
              <w:t>Unique MPANs</w:t>
            </w:r>
          </w:p>
        </w:tc>
        <w:tc>
          <w:tcPr>
            <w:tcW w:w="2416" w:type="dxa"/>
          </w:tcPr>
          <w:p w14:paraId="23693304" w14:textId="77777777" w:rsidR="00A371C5" w:rsidRPr="00932E60" w:rsidRDefault="00A371C5" w:rsidP="009B4949">
            <w:pPr>
              <w:pStyle w:val="ElexonTableTextLarge"/>
              <w:jc w:val="center"/>
            </w:pPr>
            <w:r>
              <w:t>No of EACs</w:t>
            </w:r>
          </w:p>
        </w:tc>
        <w:tc>
          <w:tcPr>
            <w:tcW w:w="2416" w:type="dxa"/>
          </w:tcPr>
          <w:p w14:paraId="15D6D608" w14:textId="77777777" w:rsidR="00A371C5" w:rsidRPr="00932E60" w:rsidRDefault="00A371C5" w:rsidP="009B4949">
            <w:pPr>
              <w:pStyle w:val="ElexonTableTextLarge"/>
              <w:jc w:val="center"/>
            </w:pPr>
            <w:r>
              <w:t>% error</w:t>
            </w:r>
          </w:p>
        </w:tc>
      </w:tr>
      <w:tr w:rsidR="00A31236" w14:paraId="16366F05" w14:textId="77777777" w:rsidTr="009B4949">
        <w:tc>
          <w:tcPr>
            <w:tcW w:w="2415" w:type="dxa"/>
            <w:vAlign w:val="top"/>
          </w:tcPr>
          <w:p w14:paraId="6A3D3DAD" w14:textId="5B5268DF" w:rsidR="00A31236" w:rsidRPr="00CF3169" w:rsidRDefault="00A31236" w:rsidP="00A31236">
            <w:pPr>
              <w:suppressAutoHyphens/>
              <w:autoSpaceDE w:val="0"/>
              <w:autoSpaceDN w:val="0"/>
              <w:adjustRightInd w:val="0"/>
              <w:spacing w:after="120" w:line="260" w:lineRule="atLeast"/>
              <w:jc w:val="center"/>
              <w:textAlignment w:val="center"/>
              <w:rPr>
                <w:rFonts w:ascii="Arial" w:hAnsi="Arial" w:cs="Arial"/>
                <w:color w:val="000000"/>
                <w:szCs w:val="18"/>
              </w:rPr>
            </w:pPr>
            <w:r w:rsidRPr="00BF37A4">
              <w:t>2018</w:t>
            </w:r>
          </w:p>
        </w:tc>
        <w:tc>
          <w:tcPr>
            <w:tcW w:w="2416" w:type="dxa"/>
            <w:vAlign w:val="top"/>
          </w:tcPr>
          <w:p w14:paraId="4A741500" w14:textId="7D5044B0" w:rsidR="00A31236" w:rsidRPr="00CF3169" w:rsidRDefault="00A31236" w:rsidP="00A31236">
            <w:pPr>
              <w:suppressAutoHyphens/>
              <w:autoSpaceDE w:val="0"/>
              <w:autoSpaceDN w:val="0"/>
              <w:adjustRightInd w:val="0"/>
              <w:spacing w:after="120" w:line="260" w:lineRule="atLeast"/>
              <w:jc w:val="center"/>
              <w:textAlignment w:val="center"/>
              <w:rPr>
                <w:rFonts w:ascii="Arial" w:hAnsi="Arial" w:cs="Arial"/>
                <w:color w:val="000000"/>
                <w:szCs w:val="18"/>
              </w:rPr>
            </w:pPr>
            <w:r w:rsidRPr="00BF37A4">
              <w:t>115,466</w:t>
            </w:r>
          </w:p>
        </w:tc>
        <w:tc>
          <w:tcPr>
            <w:tcW w:w="2416" w:type="dxa"/>
            <w:vAlign w:val="top"/>
          </w:tcPr>
          <w:p w14:paraId="62568434" w14:textId="342CAB91" w:rsidR="00A31236" w:rsidRPr="00CF3169" w:rsidRDefault="00A31236" w:rsidP="00A31236">
            <w:pPr>
              <w:suppressAutoHyphens/>
              <w:autoSpaceDE w:val="0"/>
              <w:autoSpaceDN w:val="0"/>
              <w:adjustRightInd w:val="0"/>
              <w:spacing w:after="120" w:line="260" w:lineRule="atLeast"/>
              <w:jc w:val="center"/>
              <w:textAlignment w:val="center"/>
              <w:rPr>
                <w:rFonts w:ascii="Arial" w:hAnsi="Arial" w:cs="Arial"/>
                <w:color w:val="000000"/>
                <w:szCs w:val="18"/>
              </w:rPr>
            </w:pPr>
            <w:r w:rsidRPr="00BF37A4">
              <w:t>672,707</w:t>
            </w:r>
          </w:p>
        </w:tc>
        <w:tc>
          <w:tcPr>
            <w:tcW w:w="2416" w:type="dxa"/>
            <w:vAlign w:val="top"/>
          </w:tcPr>
          <w:p w14:paraId="2C1AAB9D" w14:textId="1C11221F" w:rsidR="00A31236" w:rsidRPr="00CF3169" w:rsidRDefault="00A31236" w:rsidP="00A31236">
            <w:pPr>
              <w:suppressAutoHyphens/>
              <w:autoSpaceDE w:val="0"/>
              <w:autoSpaceDN w:val="0"/>
              <w:adjustRightInd w:val="0"/>
              <w:spacing w:after="120" w:line="260" w:lineRule="atLeast"/>
              <w:jc w:val="center"/>
              <w:textAlignment w:val="center"/>
              <w:rPr>
                <w:rFonts w:ascii="Arial" w:hAnsi="Arial" w:cs="Arial"/>
                <w:color w:val="000000"/>
                <w:szCs w:val="18"/>
              </w:rPr>
            </w:pPr>
            <w:r w:rsidRPr="00BF37A4">
              <w:t>24.09%</w:t>
            </w:r>
          </w:p>
        </w:tc>
      </w:tr>
      <w:tr w:rsidR="00A31236" w14:paraId="1C18096F" w14:textId="77777777" w:rsidTr="009B4949">
        <w:tc>
          <w:tcPr>
            <w:tcW w:w="2415" w:type="dxa"/>
            <w:vAlign w:val="top"/>
          </w:tcPr>
          <w:p w14:paraId="414DC325" w14:textId="15BCB8AA" w:rsidR="00A31236" w:rsidRPr="00CF3169" w:rsidRDefault="00A31236" w:rsidP="00A31236">
            <w:pPr>
              <w:suppressAutoHyphens/>
              <w:autoSpaceDE w:val="0"/>
              <w:autoSpaceDN w:val="0"/>
              <w:adjustRightInd w:val="0"/>
              <w:spacing w:after="120" w:line="260" w:lineRule="atLeast"/>
              <w:jc w:val="center"/>
              <w:textAlignment w:val="center"/>
              <w:rPr>
                <w:rFonts w:ascii="Arial" w:hAnsi="Arial" w:cs="Arial"/>
                <w:color w:val="000000"/>
                <w:szCs w:val="18"/>
              </w:rPr>
            </w:pPr>
            <w:r w:rsidRPr="00BF37A4">
              <w:t>2019</w:t>
            </w:r>
          </w:p>
        </w:tc>
        <w:tc>
          <w:tcPr>
            <w:tcW w:w="2416" w:type="dxa"/>
            <w:vAlign w:val="top"/>
          </w:tcPr>
          <w:p w14:paraId="5F444259" w14:textId="51FF6570" w:rsidR="00A31236" w:rsidRPr="00CF3169" w:rsidRDefault="00A31236" w:rsidP="00A31236">
            <w:pPr>
              <w:suppressAutoHyphens/>
              <w:autoSpaceDE w:val="0"/>
              <w:autoSpaceDN w:val="0"/>
              <w:adjustRightInd w:val="0"/>
              <w:spacing w:after="120" w:line="260" w:lineRule="atLeast"/>
              <w:jc w:val="center"/>
              <w:textAlignment w:val="center"/>
              <w:rPr>
                <w:rFonts w:ascii="Arial" w:hAnsi="Arial" w:cs="Arial"/>
                <w:color w:val="000000"/>
                <w:szCs w:val="18"/>
              </w:rPr>
            </w:pPr>
            <w:r w:rsidRPr="00BF37A4">
              <w:t>121,094</w:t>
            </w:r>
          </w:p>
        </w:tc>
        <w:tc>
          <w:tcPr>
            <w:tcW w:w="2416" w:type="dxa"/>
            <w:vAlign w:val="top"/>
          </w:tcPr>
          <w:p w14:paraId="58B23D5A" w14:textId="281EB027" w:rsidR="00A31236" w:rsidRPr="00CF3169" w:rsidRDefault="00A31236" w:rsidP="00A31236">
            <w:pPr>
              <w:suppressAutoHyphens/>
              <w:autoSpaceDE w:val="0"/>
              <w:autoSpaceDN w:val="0"/>
              <w:adjustRightInd w:val="0"/>
              <w:spacing w:after="120" w:line="260" w:lineRule="atLeast"/>
              <w:jc w:val="center"/>
              <w:textAlignment w:val="center"/>
              <w:rPr>
                <w:rFonts w:ascii="Arial" w:hAnsi="Arial" w:cs="Arial"/>
                <w:color w:val="000000"/>
                <w:szCs w:val="18"/>
              </w:rPr>
            </w:pPr>
            <w:r w:rsidRPr="00BF37A4">
              <w:t>787,561</w:t>
            </w:r>
          </w:p>
        </w:tc>
        <w:tc>
          <w:tcPr>
            <w:tcW w:w="2416" w:type="dxa"/>
            <w:vAlign w:val="top"/>
          </w:tcPr>
          <w:p w14:paraId="48E88A8C" w14:textId="2C1E7D00" w:rsidR="00A31236" w:rsidRPr="00CF3169" w:rsidRDefault="00A31236" w:rsidP="00A31236">
            <w:pPr>
              <w:suppressAutoHyphens/>
              <w:autoSpaceDE w:val="0"/>
              <w:autoSpaceDN w:val="0"/>
              <w:adjustRightInd w:val="0"/>
              <w:spacing w:after="120" w:line="260" w:lineRule="atLeast"/>
              <w:jc w:val="center"/>
              <w:textAlignment w:val="center"/>
              <w:rPr>
                <w:rFonts w:ascii="Arial" w:hAnsi="Arial" w:cs="Arial"/>
                <w:color w:val="000000"/>
                <w:szCs w:val="18"/>
              </w:rPr>
            </w:pPr>
            <w:r w:rsidRPr="00BF37A4">
              <w:t>23.08%</w:t>
            </w:r>
          </w:p>
        </w:tc>
      </w:tr>
      <w:tr w:rsidR="00A31236" w14:paraId="4D3E2354" w14:textId="77777777" w:rsidTr="009B4949">
        <w:tc>
          <w:tcPr>
            <w:tcW w:w="2415" w:type="dxa"/>
            <w:vAlign w:val="top"/>
          </w:tcPr>
          <w:p w14:paraId="612EA25E" w14:textId="3CC34C42" w:rsidR="00A31236" w:rsidRPr="00CF3169" w:rsidRDefault="00A31236" w:rsidP="00A31236">
            <w:pPr>
              <w:suppressAutoHyphens/>
              <w:autoSpaceDE w:val="0"/>
              <w:autoSpaceDN w:val="0"/>
              <w:adjustRightInd w:val="0"/>
              <w:spacing w:after="120" w:line="260" w:lineRule="atLeast"/>
              <w:jc w:val="center"/>
              <w:textAlignment w:val="center"/>
              <w:rPr>
                <w:rFonts w:ascii="Arial" w:hAnsi="Arial" w:cs="Arial"/>
                <w:color w:val="000000"/>
                <w:szCs w:val="18"/>
              </w:rPr>
            </w:pPr>
            <w:r w:rsidRPr="00BF37A4">
              <w:t>2020</w:t>
            </w:r>
          </w:p>
        </w:tc>
        <w:tc>
          <w:tcPr>
            <w:tcW w:w="2416" w:type="dxa"/>
            <w:vAlign w:val="top"/>
          </w:tcPr>
          <w:p w14:paraId="5517CF15" w14:textId="68B37255" w:rsidR="00A31236" w:rsidRPr="00CF3169" w:rsidRDefault="00A31236" w:rsidP="00A31236">
            <w:pPr>
              <w:suppressAutoHyphens/>
              <w:autoSpaceDE w:val="0"/>
              <w:autoSpaceDN w:val="0"/>
              <w:adjustRightInd w:val="0"/>
              <w:spacing w:after="120" w:line="260" w:lineRule="atLeast"/>
              <w:jc w:val="center"/>
              <w:textAlignment w:val="center"/>
              <w:rPr>
                <w:rFonts w:ascii="Arial" w:hAnsi="Arial" w:cs="Arial"/>
                <w:color w:val="000000"/>
                <w:szCs w:val="18"/>
              </w:rPr>
            </w:pPr>
            <w:r w:rsidRPr="00BF37A4">
              <w:t>125,585</w:t>
            </w:r>
          </w:p>
        </w:tc>
        <w:tc>
          <w:tcPr>
            <w:tcW w:w="2416" w:type="dxa"/>
            <w:vAlign w:val="top"/>
          </w:tcPr>
          <w:p w14:paraId="0D7037CB" w14:textId="7FDFEC54" w:rsidR="00A31236" w:rsidRPr="00CF3169" w:rsidRDefault="00A31236" w:rsidP="00A31236">
            <w:pPr>
              <w:suppressAutoHyphens/>
              <w:autoSpaceDE w:val="0"/>
              <w:autoSpaceDN w:val="0"/>
              <w:adjustRightInd w:val="0"/>
              <w:spacing w:after="120" w:line="260" w:lineRule="atLeast"/>
              <w:jc w:val="center"/>
              <w:textAlignment w:val="center"/>
              <w:rPr>
                <w:rFonts w:ascii="Arial" w:hAnsi="Arial" w:cs="Arial"/>
                <w:color w:val="000000"/>
                <w:szCs w:val="18"/>
              </w:rPr>
            </w:pPr>
            <w:r w:rsidRPr="00BF37A4">
              <w:t>875,510</w:t>
            </w:r>
          </w:p>
        </w:tc>
        <w:tc>
          <w:tcPr>
            <w:tcW w:w="2416" w:type="dxa"/>
            <w:vAlign w:val="top"/>
          </w:tcPr>
          <w:p w14:paraId="25190E16" w14:textId="0B31951D" w:rsidR="00A31236" w:rsidRPr="00CF3169" w:rsidRDefault="00A31236" w:rsidP="00A31236">
            <w:pPr>
              <w:suppressAutoHyphens/>
              <w:autoSpaceDE w:val="0"/>
              <w:autoSpaceDN w:val="0"/>
              <w:adjustRightInd w:val="0"/>
              <w:spacing w:after="120" w:line="260" w:lineRule="atLeast"/>
              <w:jc w:val="center"/>
              <w:textAlignment w:val="center"/>
              <w:rPr>
                <w:rFonts w:ascii="Arial" w:hAnsi="Arial" w:cs="Arial"/>
                <w:color w:val="000000"/>
                <w:szCs w:val="18"/>
              </w:rPr>
            </w:pPr>
            <w:r w:rsidRPr="00BF37A4">
              <w:t>25.58%</w:t>
            </w:r>
          </w:p>
        </w:tc>
      </w:tr>
      <w:tr w:rsidR="00A31236" w14:paraId="59104ECA" w14:textId="77777777" w:rsidTr="009B4949">
        <w:tc>
          <w:tcPr>
            <w:tcW w:w="2415" w:type="dxa"/>
            <w:vAlign w:val="top"/>
          </w:tcPr>
          <w:p w14:paraId="63DE3657" w14:textId="0AA49EDB" w:rsidR="00A31236" w:rsidRPr="00CF3169" w:rsidRDefault="00A31236" w:rsidP="00A31236">
            <w:pPr>
              <w:suppressAutoHyphens/>
              <w:autoSpaceDE w:val="0"/>
              <w:autoSpaceDN w:val="0"/>
              <w:adjustRightInd w:val="0"/>
              <w:spacing w:after="120" w:line="260" w:lineRule="atLeast"/>
              <w:jc w:val="center"/>
              <w:textAlignment w:val="center"/>
              <w:rPr>
                <w:rFonts w:ascii="Arial" w:hAnsi="Arial" w:cs="Arial"/>
                <w:color w:val="000000"/>
                <w:szCs w:val="18"/>
              </w:rPr>
            </w:pPr>
            <w:r w:rsidRPr="00BF37A4">
              <w:t>2021</w:t>
            </w:r>
          </w:p>
        </w:tc>
        <w:tc>
          <w:tcPr>
            <w:tcW w:w="2416" w:type="dxa"/>
            <w:vAlign w:val="top"/>
          </w:tcPr>
          <w:p w14:paraId="5ED785DD" w14:textId="040A5520" w:rsidR="00A31236" w:rsidRPr="00CF3169" w:rsidRDefault="00A31236" w:rsidP="00A31236">
            <w:pPr>
              <w:suppressAutoHyphens/>
              <w:autoSpaceDE w:val="0"/>
              <w:autoSpaceDN w:val="0"/>
              <w:adjustRightInd w:val="0"/>
              <w:spacing w:after="120" w:line="260" w:lineRule="atLeast"/>
              <w:jc w:val="center"/>
              <w:textAlignment w:val="center"/>
              <w:rPr>
                <w:rFonts w:ascii="Arial" w:hAnsi="Arial" w:cs="Arial"/>
                <w:color w:val="000000"/>
                <w:szCs w:val="18"/>
              </w:rPr>
            </w:pPr>
            <w:r w:rsidRPr="00BF37A4">
              <w:t>109,003</w:t>
            </w:r>
          </w:p>
        </w:tc>
        <w:tc>
          <w:tcPr>
            <w:tcW w:w="2416" w:type="dxa"/>
            <w:vAlign w:val="top"/>
          </w:tcPr>
          <w:p w14:paraId="0D375C76" w14:textId="3F604B6C" w:rsidR="00A31236" w:rsidRPr="00CF3169" w:rsidRDefault="00A31236" w:rsidP="00A31236">
            <w:pPr>
              <w:suppressAutoHyphens/>
              <w:autoSpaceDE w:val="0"/>
              <w:autoSpaceDN w:val="0"/>
              <w:adjustRightInd w:val="0"/>
              <w:spacing w:after="120" w:line="260" w:lineRule="atLeast"/>
              <w:jc w:val="center"/>
              <w:textAlignment w:val="center"/>
              <w:rPr>
                <w:rFonts w:ascii="Arial" w:hAnsi="Arial" w:cs="Arial"/>
                <w:color w:val="000000"/>
                <w:szCs w:val="18"/>
              </w:rPr>
            </w:pPr>
            <w:r w:rsidRPr="00BF37A4">
              <w:t>309,608</w:t>
            </w:r>
          </w:p>
        </w:tc>
        <w:tc>
          <w:tcPr>
            <w:tcW w:w="2416" w:type="dxa"/>
            <w:vAlign w:val="top"/>
          </w:tcPr>
          <w:p w14:paraId="1FE2C0EF" w14:textId="12143C47" w:rsidR="00A31236" w:rsidRPr="00CF3169" w:rsidRDefault="00A31236" w:rsidP="00A31236">
            <w:pPr>
              <w:suppressAutoHyphens/>
              <w:autoSpaceDE w:val="0"/>
              <w:autoSpaceDN w:val="0"/>
              <w:adjustRightInd w:val="0"/>
              <w:spacing w:after="120" w:line="260" w:lineRule="atLeast"/>
              <w:jc w:val="center"/>
              <w:textAlignment w:val="center"/>
              <w:rPr>
                <w:rFonts w:ascii="Arial" w:hAnsi="Arial" w:cs="Arial"/>
                <w:color w:val="000000"/>
                <w:szCs w:val="18"/>
              </w:rPr>
            </w:pPr>
            <w:r w:rsidRPr="00BF37A4">
              <w:t>25.93%</w:t>
            </w:r>
          </w:p>
        </w:tc>
      </w:tr>
    </w:tbl>
    <w:p w14:paraId="61AB7D8A" w14:textId="77777777" w:rsidR="00EA3E42" w:rsidRPr="00EA3E42" w:rsidRDefault="00A371C5" w:rsidP="00531F69">
      <w:pPr>
        <w:numPr>
          <w:ilvl w:val="1"/>
          <w:numId w:val="10"/>
        </w:numPr>
        <w:suppressAutoHyphens/>
        <w:autoSpaceDE w:val="0"/>
        <w:autoSpaceDN w:val="0"/>
        <w:adjustRightInd w:val="0"/>
        <w:spacing w:before="240" w:after="120" w:line="260" w:lineRule="atLeast"/>
        <w:textAlignment w:val="center"/>
        <w:rPr>
          <w:rFonts w:ascii="Arial" w:hAnsi="Arial" w:cs="Arial"/>
          <w:b/>
          <w:color w:val="000000"/>
          <w:szCs w:val="18"/>
          <w:u w:val="single"/>
        </w:rPr>
      </w:pPr>
      <w:r w:rsidRPr="00EA3E42">
        <w:rPr>
          <w:rFonts w:ascii="Arial" w:hAnsi="Arial" w:cs="Arial"/>
          <w:color w:val="000000"/>
          <w:szCs w:val="18"/>
        </w:rPr>
        <w:t>This shows that whilst estimation inaccuracy had reduced in 2019 (likely as a result of the in excess of 2.4m Smart Meters installed in the period), it increased in 2020 (likely as a result of Meters being read less frequently and being based on past consumption that did not reflect the lockdown volumes)</w:t>
      </w:r>
      <w:r w:rsidR="00EA3E42" w:rsidRPr="00EA3E42">
        <w:rPr>
          <w:rFonts w:ascii="Arial" w:hAnsi="Arial" w:cs="Arial"/>
          <w:color w:val="000000"/>
          <w:szCs w:val="18"/>
        </w:rPr>
        <w:t>. T</w:t>
      </w:r>
      <w:r w:rsidR="00EE3D11" w:rsidRPr="00EA3E42">
        <w:rPr>
          <w:rFonts w:ascii="Arial" w:hAnsi="Arial" w:cs="Arial"/>
          <w:color w:val="000000"/>
          <w:szCs w:val="18"/>
        </w:rPr>
        <w:t xml:space="preserve">his trend continued in 2021 (most likely </w:t>
      </w:r>
      <w:r w:rsidR="00EA3E42" w:rsidRPr="00EA3E42">
        <w:rPr>
          <w:rFonts w:ascii="Arial" w:hAnsi="Arial" w:cs="Arial"/>
          <w:color w:val="000000"/>
          <w:szCs w:val="18"/>
        </w:rPr>
        <w:t>because</w:t>
      </w:r>
      <w:r w:rsidR="00EE3D11" w:rsidRPr="00EA3E42">
        <w:rPr>
          <w:rFonts w:ascii="Arial" w:hAnsi="Arial" w:cs="Arial"/>
          <w:color w:val="000000"/>
          <w:szCs w:val="18"/>
        </w:rPr>
        <w:t xml:space="preserve"> of the volatility of demand during this period)</w:t>
      </w:r>
      <w:r w:rsidRPr="00EA3E42">
        <w:rPr>
          <w:rFonts w:ascii="Arial" w:hAnsi="Arial" w:cs="Arial"/>
          <w:color w:val="000000"/>
          <w:szCs w:val="18"/>
        </w:rPr>
        <w:t xml:space="preserve">. </w:t>
      </w:r>
    </w:p>
    <w:p w14:paraId="0AFBEF07" w14:textId="77777777" w:rsidR="00A371C5" w:rsidRPr="00EA3E42" w:rsidRDefault="00A371C5" w:rsidP="00531F69">
      <w:pPr>
        <w:numPr>
          <w:ilvl w:val="1"/>
          <w:numId w:val="10"/>
        </w:numPr>
        <w:suppressAutoHyphens/>
        <w:autoSpaceDE w:val="0"/>
        <w:autoSpaceDN w:val="0"/>
        <w:adjustRightInd w:val="0"/>
        <w:spacing w:before="240" w:after="120" w:line="260" w:lineRule="atLeast"/>
        <w:textAlignment w:val="center"/>
        <w:rPr>
          <w:rFonts w:ascii="Arial" w:hAnsi="Arial" w:cs="Arial"/>
          <w:b/>
          <w:color w:val="000000"/>
          <w:szCs w:val="18"/>
          <w:u w:val="single"/>
        </w:rPr>
      </w:pPr>
      <w:r w:rsidRPr="00EA3E42">
        <w:rPr>
          <w:rFonts w:ascii="Arial" w:hAnsi="Arial" w:cs="Arial"/>
          <w:b/>
          <w:color w:val="000000"/>
          <w:szCs w:val="18"/>
          <w:u w:val="single"/>
        </w:rPr>
        <w:t>The changing trends of estimation inaccuracy</w:t>
      </w:r>
    </w:p>
    <w:p w14:paraId="7E0D957D" w14:textId="77777777" w:rsidR="00A371C5" w:rsidRDefault="00A371C5" w:rsidP="00A371C5">
      <w:pPr>
        <w:numPr>
          <w:ilvl w:val="1"/>
          <w:numId w:val="10"/>
        </w:numPr>
        <w:suppressAutoHyphens/>
        <w:autoSpaceDE w:val="0"/>
        <w:autoSpaceDN w:val="0"/>
        <w:adjustRightInd w:val="0"/>
        <w:spacing w:after="120" w:line="260" w:lineRule="atLeast"/>
        <w:textAlignment w:val="center"/>
        <w:rPr>
          <w:rFonts w:ascii="Arial" w:hAnsi="Arial" w:cs="Arial"/>
          <w:color w:val="000000"/>
          <w:szCs w:val="18"/>
        </w:rPr>
      </w:pPr>
      <w:r>
        <w:rPr>
          <w:rFonts w:ascii="Arial" w:hAnsi="Arial" w:cs="Arial"/>
          <w:color w:val="000000"/>
          <w:szCs w:val="18"/>
        </w:rPr>
        <w:t>It is also important to remember that estimation can both overstate and understate consumption. directional aspect of estimation accuracy can be seen further when looking at the distribution of estimation error in NHH Profile Classes one to four.</w:t>
      </w:r>
    </w:p>
    <w:p w14:paraId="6A2CD438" w14:textId="1B34E7ED" w:rsidR="00A371C5" w:rsidRDefault="00A31236" w:rsidP="00222D61">
      <w:pPr>
        <w:suppressAutoHyphens/>
        <w:autoSpaceDE w:val="0"/>
        <w:autoSpaceDN w:val="0"/>
        <w:adjustRightInd w:val="0"/>
        <w:spacing w:after="120" w:line="260" w:lineRule="atLeast"/>
        <w:textAlignment w:val="center"/>
        <w:rPr>
          <w:rFonts w:ascii="Arial" w:hAnsi="Arial" w:cs="Arial"/>
          <w:color w:val="000000"/>
          <w:szCs w:val="18"/>
        </w:rPr>
      </w:pPr>
      <w:r w:rsidRPr="00A31236">
        <w:rPr>
          <w:rFonts w:ascii="Arial" w:hAnsi="Arial" w:cs="Arial"/>
          <w:noProof/>
          <w:color w:val="000000"/>
          <w:szCs w:val="18"/>
          <w:lang w:eastAsia="en-GB"/>
        </w:rPr>
        <w:drawing>
          <wp:inline distT="0" distB="0" distL="0" distR="0" wp14:anchorId="1C7C8A42" wp14:editId="54F0F44E">
            <wp:extent cx="6696710" cy="4490041"/>
            <wp:effectExtent l="0" t="0" r="0" b="6350"/>
            <wp:docPr id="5" name="Picture 5" descr="C:\Users\Anna.Millar\Downloads\NHH_est_ina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a.Millar\Downloads\NHH_est_inacc.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6710" cy="4490041"/>
                    </a:xfrm>
                    <a:prstGeom prst="rect">
                      <a:avLst/>
                    </a:prstGeom>
                    <a:noFill/>
                    <a:ln>
                      <a:noFill/>
                    </a:ln>
                  </pic:spPr>
                </pic:pic>
              </a:graphicData>
            </a:graphic>
          </wp:inline>
        </w:drawing>
      </w:r>
      <w:bookmarkStart w:id="1" w:name="_GoBack"/>
      <w:bookmarkEnd w:id="1"/>
    </w:p>
    <w:p w14:paraId="54D65344" w14:textId="77777777" w:rsidR="00222D61" w:rsidRDefault="00222D61" w:rsidP="00222D61">
      <w:pPr>
        <w:suppressAutoHyphens/>
        <w:autoSpaceDE w:val="0"/>
        <w:autoSpaceDN w:val="0"/>
        <w:adjustRightInd w:val="0"/>
        <w:spacing w:after="120" w:line="260" w:lineRule="atLeast"/>
        <w:textAlignment w:val="center"/>
        <w:rPr>
          <w:rFonts w:ascii="Arial" w:hAnsi="Arial" w:cs="Arial"/>
          <w:color w:val="000000"/>
          <w:szCs w:val="18"/>
        </w:rPr>
      </w:pPr>
    </w:p>
    <w:p w14:paraId="3D453943" w14:textId="77777777" w:rsidR="00E265F4" w:rsidRPr="00E265F4" w:rsidRDefault="00A371C5" w:rsidP="00E265F4">
      <w:pPr>
        <w:pStyle w:val="List2"/>
      </w:pPr>
      <w:r w:rsidRPr="00CC3A57">
        <w:t>The boxplot</w:t>
      </w:r>
      <w:r>
        <w:t>s</w:t>
      </w:r>
      <w:r w:rsidRPr="00CC3A57">
        <w:t xml:space="preserve"> above set out the distribution of daily EAC error for each of the Profile Classes one to four in 2018, 2019 and 2020 respectively</w:t>
      </w:r>
      <w:r>
        <w:t xml:space="preserve"> for </w:t>
      </w:r>
      <w:r w:rsidR="00EA3E42">
        <w:t>a random sample of NHH</w:t>
      </w:r>
      <w:r>
        <w:t xml:space="preserve"> Metering Systems.</w:t>
      </w:r>
      <w:r w:rsidRPr="00CC3A57">
        <w:t xml:space="preserve"> The middle</w:t>
      </w:r>
      <w:r>
        <w:t xml:space="preserve"> horizontal</w:t>
      </w:r>
      <w:r w:rsidRPr="00CC3A57">
        <w:t xml:space="preserve"> dotted line </w:t>
      </w:r>
      <w:r>
        <w:t xml:space="preserve">at zero </w:t>
      </w:r>
      <w:r w:rsidRPr="00CC3A57">
        <w:t xml:space="preserve">represents where there </w:t>
      </w:r>
      <w:r>
        <w:t>was</w:t>
      </w:r>
      <w:r w:rsidRPr="00CC3A57">
        <w:t xml:space="preserve"> no inaccuracy from the EACs</w:t>
      </w:r>
      <w:r w:rsidR="009D4D55">
        <w:t>.</w:t>
      </w:r>
      <w:r w:rsidRPr="00CC3A57">
        <w:t xml:space="preserve"> </w:t>
      </w:r>
      <w:r w:rsidR="00E265F4" w:rsidRPr="00E265F4">
        <w:t xml:space="preserve">The solid lines within each box </w:t>
      </w:r>
      <w:r w:rsidR="00E265F4" w:rsidRPr="00E265F4">
        <w:lastRenderedPageBreak/>
        <w:t>show the median average whereas the solid dots show the mean average for daily EAC error for that Profile Class in that year.</w:t>
      </w:r>
    </w:p>
    <w:p w14:paraId="23B285D9" w14:textId="174B9F86" w:rsidR="00A371C5" w:rsidRPr="00CC3A57" w:rsidRDefault="00A371C5" w:rsidP="00A371C5">
      <w:pPr>
        <w:pStyle w:val="List2"/>
      </w:pPr>
      <w:r>
        <w:t>A median above the dotted line outlines a tendency for the estimation to overstate consumption whereas a median below the dotted line outlines a tendency for the estimation to understate consumption.</w:t>
      </w:r>
    </w:p>
    <w:p w14:paraId="12C5ACC0" w14:textId="77777777" w:rsidR="00A371C5" w:rsidRDefault="00A371C5" w:rsidP="00A371C5">
      <w:pPr>
        <w:numPr>
          <w:ilvl w:val="1"/>
          <w:numId w:val="10"/>
        </w:numPr>
        <w:suppressAutoHyphens/>
        <w:autoSpaceDE w:val="0"/>
        <w:autoSpaceDN w:val="0"/>
        <w:adjustRightInd w:val="0"/>
        <w:spacing w:after="120" w:line="260" w:lineRule="atLeast"/>
        <w:textAlignment w:val="center"/>
        <w:rPr>
          <w:rFonts w:ascii="Arial" w:hAnsi="Arial" w:cs="Arial"/>
          <w:color w:val="000000"/>
          <w:szCs w:val="18"/>
        </w:rPr>
      </w:pPr>
      <w:r>
        <w:rPr>
          <w:rFonts w:ascii="Arial" w:hAnsi="Arial" w:cs="Arial"/>
          <w:color w:val="000000"/>
          <w:szCs w:val="18"/>
        </w:rPr>
        <w:t xml:space="preserve">As you can see above, in 2018 and 2019 estimation on average tended to overstate consumption across all four of the Profile Classes. However, in 2020 this changes. </w:t>
      </w:r>
    </w:p>
    <w:p w14:paraId="44811033" w14:textId="77777777" w:rsidR="00A371C5" w:rsidRDefault="00A371C5" w:rsidP="00A371C5">
      <w:pPr>
        <w:numPr>
          <w:ilvl w:val="1"/>
          <w:numId w:val="10"/>
        </w:numPr>
        <w:suppressAutoHyphens/>
        <w:autoSpaceDE w:val="0"/>
        <w:autoSpaceDN w:val="0"/>
        <w:adjustRightInd w:val="0"/>
        <w:spacing w:after="120" w:line="260" w:lineRule="atLeast"/>
        <w:textAlignment w:val="center"/>
        <w:rPr>
          <w:rFonts w:ascii="Arial" w:hAnsi="Arial" w:cs="Arial"/>
          <w:color w:val="000000"/>
          <w:szCs w:val="18"/>
        </w:rPr>
      </w:pPr>
      <w:r>
        <w:rPr>
          <w:rFonts w:ascii="Arial" w:hAnsi="Arial" w:cs="Arial"/>
          <w:color w:val="000000"/>
          <w:szCs w:val="18"/>
        </w:rPr>
        <w:t>For the domestic Profile Classes (one and two) during 2020, the direction of average estimation inaccuracy flip</w:t>
      </w:r>
      <w:r w:rsidR="00EA3E42">
        <w:rPr>
          <w:rFonts w:ascii="Arial" w:hAnsi="Arial" w:cs="Arial"/>
          <w:color w:val="000000"/>
          <w:szCs w:val="18"/>
        </w:rPr>
        <w:t>ped</w:t>
      </w:r>
      <w:r>
        <w:rPr>
          <w:rFonts w:ascii="Arial" w:hAnsi="Arial" w:cs="Arial"/>
          <w:color w:val="000000"/>
          <w:szCs w:val="18"/>
        </w:rPr>
        <w:t xml:space="preserve"> </w:t>
      </w:r>
      <w:r w:rsidR="00EA3E42">
        <w:rPr>
          <w:rFonts w:ascii="Arial" w:hAnsi="Arial" w:cs="Arial"/>
          <w:color w:val="000000"/>
          <w:szCs w:val="18"/>
        </w:rPr>
        <w:t xml:space="preserve">and </w:t>
      </w:r>
      <w:r>
        <w:rPr>
          <w:rFonts w:ascii="Arial" w:hAnsi="Arial" w:cs="Arial"/>
          <w:color w:val="000000"/>
          <w:szCs w:val="18"/>
        </w:rPr>
        <w:t>tended to understate consumption</w:t>
      </w:r>
      <w:r w:rsidR="00EA3E42">
        <w:rPr>
          <w:rFonts w:ascii="Arial" w:hAnsi="Arial" w:cs="Arial"/>
          <w:color w:val="000000"/>
          <w:szCs w:val="18"/>
        </w:rPr>
        <w:t xml:space="preserve">. We noted in the February </w:t>
      </w:r>
      <w:r w:rsidR="000B33A6">
        <w:rPr>
          <w:rFonts w:ascii="Arial" w:hAnsi="Arial" w:cs="Arial"/>
          <w:color w:val="000000"/>
          <w:szCs w:val="18"/>
        </w:rPr>
        <w:t xml:space="preserve">2021 </w:t>
      </w:r>
      <w:r w:rsidR="00EA3E42">
        <w:rPr>
          <w:rFonts w:ascii="Arial" w:hAnsi="Arial" w:cs="Arial"/>
          <w:color w:val="000000"/>
          <w:szCs w:val="18"/>
        </w:rPr>
        <w:t>update that this was to be</w:t>
      </w:r>
      <w:r>
        <w:rPr>
          <w:rFonts w:ascii="Arial" w:hAnsi="Arial" w:cs="Arial"/>
          <w:color w:val="000000"/>
          <w:szCs w:val="18"/>
        </w:rPr>
        <w:t xml:space="preserve"> expected and align</w:t>
      </w:r>
      <w:r w:rsidR="00EA3E42">
        <w:rPr>
          <w:rFonts w:ascii="Arial" w:hAnsi="Arial" w:cs="Arial"/>
          <w:color w:val="000000"/>
          <w:szCs w:val="18"/>
        </w:rPr>
        <w:t>ed</w:t>
      </w:r>
      <w:r>
        <w:rPr>
          <w:rFonts w:ascii="Arial" w:hAnsi="Arial" w:cs="Arial"/>
          <w:color w:val="000000"/>
          <w:szCs w:val="18"/>
        </w:rPr>
        <w:t xml:space="preserve"> with what participants told us as the lockdown has resulted in more people being at home and using more energy, i.e. not reflective of historical consumption on which looking forward EACs were based.</w:t>
      </w:r>
    </w:p>
    <w:p w14:paraId="26575530" w14:textId="77777777" w:rsidR="000F5C20" w:rsidRDefault="000B33A6" w:rsidP="00806A5D">
      <w:pPr>
        <w:numPr>
          <w:ilvl w:val="1"/>
          <w:numId w:val="10"/>
        </w:numPr>
        <w:suppressAutoHyphens/>
        <w:autoSpaceDE w:val="0"/>
        <w:autoSpaceDN w:val="0"/>
        <w:adjustRightInd w:val="0"/>
        <w:spacing w:after="120" w:line="260" w:lineRule="atLeast"/>
        <w:textAlignment w:val="center"/>
        <w:rPr>
          <w:rFonts w:ascii="Arial" w:hAnsi="Arial" w:cs="Arial"/>
          <w:color w:val="000000"/>
          <w:szCs w:val="18"/>
        </w:rPr>
      </w:pPr>
      <w:r w:rsidRPr="006711DB">
        <w:rPr>
          <w:rFonts w:ascii="Arial" w:hAnsi="Arial" w:cs="Arial"/>
          <w:color w:val="000000"/>
          <w:szCs w:val="18"/>
        </w:rPr>
        <w:t>For the domestic Profile Classes</w:t>
      </w:r>
      <w:r w:rsidR="006711DB" w:rsidRPr="006711DB">
        <w:rPr>
          <w:rFonts w:ascii="Arial" w:hAnsi="Arial" w:cs="Arial"/>
          <w:color w:val="000000"/>
          <w:szCs w:val="18"/>
        </w:rPr>
        <w:t>,</w:t>
      </w:r>
      <w:r w:rsidRPr="006711DB">
        <w:rPr>
          <w:rFonts w:ascii="Arial" w:hAnsi="Arial" w:cs="Arial"/>
          <w:color w:val="000000"/>
          <w:szCs w:val="18"/>
        </w:rPr>
        <w:t xml:space="preserve"> so far during 2021 the direction of inaccuracy has flipped again and now indicates an overstatement in estimation that is greater than prior to the pandemic. Elexon </w:t>
      </w:r>
      <w:r w:rsidR="009D4D55" w:rsidRPr="006711DB">
        <w:rPr>
          <w:rFonts w:ascii="Arial" w:hAnsi="Arial" w:cs="Arial"/>
          <w:color w:val="000000"/>
          <w:szCs w:val="18"/>
        </w:rPr>
        <w:t>and the PAB had noted at the February meeting that</w:t>
      </w:r>
      <w:r w:rsidRPr="006711DB">
        <w:rPr>
          <w:rFonts w:ascii="Arial" w:hAnsi="Arial" w:cs="Arial"/>
          <w:color w:val="000000"/>
          <w:szCs w:val="18"/>
        </w:rPr>
        <w:t xml:space="preserve"> a change in direction would be likely</w:t>
      </w:r>
      <w:r w:rsidR="006711DB" w:rsidRPr="006711DB">
        <w:rPr>
          <w:rFonts w:ascii="Arial" w:hAnsi="Arial" w:cs="Arial"/>
          <w:color w:val="000000"/>
          <w:szCs w:val="18"/>
        </w:rPr>
        <w:t>,</w:t>
      </w:r>
      <w:r w:rsidRPr="006711DB">
        <w:rPr>
          <w:rFonts w:ascii="Arial" w:hAnsi="Arial" w:cs="Arial"/>
          <w:color w:val="000000"/>
          <w:szCs w:val="18"/>
        </w:rPr>
        <w:t xml:space="preserve"> as restrictions </w:t>
      </w:r>
      <w:r w:rsidR="009D4D55" w:rsidRPr="006711DB">
        <w:rPr>
          <w:rFonts w:ascii="Arial" w:hAnsi="Arial" w:cs="Arial"/>
          <w:color w:val="000000"/>
          <w:szCs w:val="18"/>
        </w:rPr>
        <w:t>eased</w:t>
      </w:r>
      <w:r w:rsidR="006711DB" w:rsidRPr="006711DB">
        <w:rPr>
          <w:rFonts w:ascii="Arial" w:hAnsi="Arial" w:cs="Arial"/>
          <w:color w:val="000000"/>
          <w:szCs w:val="18"/>
        </w:rPr>
        <w:t>,</w:t>
      </w:r>
      <w:r w:rsidR="009D4D55" w:rsidRPr="006711DB">
        <w:rPr>
          <w:rFonts w:ascii="Arial" w:hAnsi="Arial" w:cs="Arial"/>
          <w:color w:val="000000"/>
          <w:szCs w:val="18"/>
        </w:rPr>
        <w:t xml:space="preserve"> but this change earlier than we may have expected given the further lockdown in 2021. This may be explained by </w:t>
      </w:r>
      <w:hyperlink r:id="rId9" w:history="1">
        <w:r w:rsidR="009D4D55" w:rsidRPr="006711DB">
          <w:rPr>
            <w:rStyle w:val="Hyperlink"/>
            <w:rFonts w:ascii="Arial" w:hAnsi="Arial" w:cs="Arial"/>
            <w:szCs w:val="18"/>
          </w:rPr>
          <w:t>this analysis</w:t>
        </w:r>
      </w:hyperlink>
      <w:r w:rsidR="009D4D55" w:rsidRPr="006711DB">
        <w:rPr>
          <w:rFonts w:ascii="Arial" w:hAnsi="Arial" w:cs="Arial"/>
          <w:color w:val="000000"/>
          <w:szCs w:val="18"/>
        </w:rPr>
        <w:t xml:space="preserve"> from the Office of National Statistics</w:t>
      </w:r>
      <w:r w:rsidR="001304F4" w:rsidRPr="006711DB">
        <w:rPr>
          <w:rFonts w:ascii="Arial" w:hAnsi="Arial" w:cs="Arial"/>
          <w:color w:val="000000"/>
          <w:szCs w:val="18"/>
        </w:rPr>
        <w:t>,</w:t>
      </w:r>
      <w:r w:rsidR="009D4D55" w:rsidRPr="006711DB">
        <w:rPr>
          <w:rFonts w:ascii="Arial" w:hAnsi="Arial" w:cs="Arial"/>
          <w:color w:val="000000"/>
          <w:szCs w:val="18"/>
        </w:rPr>
        <w:t xml:space="preserve"> which indicates that behaviour changed considerably between the first lockdown and the subsequent ones.</w:t>
      </w:r>
    </w:p>
    <w:p w14:paraId="7F6BD20C" w14:textId="4B339040" w:rsidR="00A371C5" w:rsidRPr="006711DB" w:rsidRDefault="00A371C5" w:rsidP="00806A5D">
      <w:pPr>
        <w:numPr>
          <w:ilvl w:val="1"/>
          <w:numId w:val="10"/>
        </w:numPr>
        <w:suppressAutoHyphens/>
        <w:autoSpaceDE w:val="0"/>
        <w:autoSpaceDN w:val="0"/>
        <w:adjustRightInd w:val="0"/>
        <w:spacing w:after="120" w:line="260" w:lineRule="atLeast"/>
        <w:textAlignment w:val="center"/>
        <w:rPr>
          <w:rFonts w:ascii="Arial" w:hAnsi="Arial" w:cs="Arial"/>
          <w:color w:val="000000"/>
          <w:szCs w:val="18"/>
        </w:rPr>
      </w:pPr>
      <w:r w:rsidRPr="006711DB">
        <w:rPr>
          <w:rFonts w:ascii="Arial" w:hAnsi="Arial" w:cs="Arial"/>
          <w:color w:val="000000"/>
          <w:szCs w:val="18"/>
        </w:rPr>
        <w:t>The small and medium business site Profile Classes (three and four) during 2020 still show</w:t>
      </w:r>
      <w:r w:rsidR="00EA3E42" w:rsidRPr="006711DB">
        <w:rPr>
          <w:rFonts w:ascii="Arial" w:hAnsi="Arial" w:cs="Arial"/>
          <w:color w:val="000000"/>
          <w:szCs w:val="18"/>
        </w:rPr>
        <w:t>ed</w:t>
      </w:r>
      <w:r w:rsidRPr="006711DB">
        <w:rPr>
          <w:rFonts w:ascii="Arial" w:hAnsi="Arial" w:cs="Arial"/>
          <w:color w:val="000000"/>
          <w:szCs w:val="18"/>
        </w:rPr>
        <w:t xml:space="preserve"> that estimation, on average, tended to overstate consumption, but </w:t>
      </w:r>
      <w:r w:rsidR="000F5C20">
        <w:rPr>
          <w:rFonts w:ascii="Arial" w:hAnsi="Arial" w:cs="Arial"/>
          <w:color w:val="000000"/>
          <w:szCs w:val="18"/>
        </w:rPr>
        <w:t xml:space="preserve">this has </w:t>
      </w:r>
      <w:r w:rsidRPr="006711DB">
        <w:rPr>
          <w:rFonts w:ascii="Arial" w:hAnsi="Arial" w:cs="Arial"/>
          <w:color w:val="000000"/>
          <w:szCs w:val="18"/>
        </w:rPr>
        <w:t>become more pronounced/skewed in 2020</w:t>
      </w:r>
      <w:r w:rsidR="000F5C20">
        <w:rPr>
          <w:rFonts w:ascii="Arial" w:hAnsi="Arial" w:cs="Arial"/>
          <w:color w:val="000000"/>
          <w:szCs w:val="18"/>
        </w:rPr>
        <w:t xml:space="preserve"> and </w:t>
      </w:r>
      <w:r w:rsidR="00836E61">
        <w:rPr>
          <w:rFonts w:ascii="Arial" w:hAnsi="Arial" w:cs="Arial"/>
          <w:color w:val="000000"/>
          <w:szCs w:val="18"/>
        </w:rPr>
        <w:t xml:space="preserve">to an even greater extent </w:t>
      </w:r>
      <w:r w:rsidR="000F5C20">
        <w:rPr>
          <w:rFonts w:ascii="Arial" w:hAnsi="Arial" w:cs="Arial"/>
          <w:color w:val="000000"/>
          <w:szCs w:val="18"/>
        </w:rPr>
        <w:t>so far in 2021</w:t>
      </w:r>
      <w:r w:rsidRPr="006711DB">
        <w:rPr>
          <w:rFonts w:ascii="Arial" w:hAnsi="Arial" w:cs="Arial"/>
          <w:color w:val="000000"/>
          <w:szCs w:val="18"/>
        </w:rPr>
        <w:t xml:space="preserve"> where there </w:t>
      </w:r>
      <w:r w:rsidR="00EA3E42" w:rsidRPr="006711DB">
        <w:rPr>
          <w:rFonts w:ascii="Arial" w:hAnsi="Arial" w:cs="Arial"/>
          <w:color w:val="000000"/>
          <w:szCs w:val="18"/>
        </w:rPr>
        <w:t>were</w:t>
      </w:r>
      <w:r w:rsidRPr="006711DB">
        <w:rPr>
          <w:rFonts w:ascii="Arial" w:hAnsi="Arial" w:cs="Arial"/>
          <w:color w:val="000000"/>
          <w:szCs w:val="18"/>
        </w:rPr>
        <w:t xml:space="preserve"> more likely to be larger overstatements of consumption. Again, this is to be expected and what participants have told us because man</w:t>
      </w:r>
      <w:r w:rsidR="00836E61">
        <w:rPr>
          <w:rFonts w:ascii="Arial" w:hAnsi="Arial" w:cs="Arial"/>
          <w:color w:val="000000"/>
          <w:szCs w:val="18"/>
        </w:rPr>
        <w:t xml:space="preserve">y of these businesses have been </w:t>
      </w:r>
      <w:r w:rsidRPr="006711DB">
        <w:rPr>
          <w:rFonts w:ascii="Arial" w:hAnsi="Arial" w:cs="Arial"/>
          <w:color w:val="000000"/>
          <w:szCs w:val="18"/>
        </w:rPr>
        <w:t xml:space="preserve">closed for the lockdown periods and the estimates would have been based on past consumption when they were operating normally. The derogated process that Elexon and the PAB put in place to allow Data Collectors to accept amended EACs from Suppliers to account for this change in consumption would have mitigated this issue to an extent for some of the largest sites where evidence of reduced consumption was available. </w:t>
      </w:r>
      <w:r w:rsidR="000F5C20">
        <w:rPr>
          <w:rFonts w:ascii="Arial" w:hAnsi="Arial" w:cs="Arial"/>
          <w:color w:val="000000"/>
          <w:szCs w:val="18"/>
        </w:rPr>
        <w:t>However, the</w:t>
      </w:r>
      <w:r w:rsidRPr="006711DB">
        <w:rPr>
          <w:rFonts w:ascii="Arial" w:hAnsi="Arial" w:cs="Arial"/>
          <w:color w:val="000000"/>
          <w:szCs w:val="18"/>
        </w:rPr>
        <w:t xml:space="preserve"> derogations would also have added to the EAC converting to a lower AA, as deemed </w:t>
      </w:r>
      <w:r w:rsidR="00836E61">
        <w:rPr>
          <w:rFonts w:ascii="Arial" w:hAnsi="Arial" w:cs="Arial"/>
          <w:color w:val="000000"/>
          <w:szCs w:val="18"/>
        </w:rPr>
        <w:t>AAs</w:t>
      </w:r>
      <w:r w:rsidRPr="006711DB">
        <w:rPr>
          <w:rFonts w:ascii="Arial" w:hAnsi="Arial" w:cs="Arial"/>
          <w:color w:val="000000"/>
          <w:szCs w:val="18"/>
        </w:rPr>
        <w:t xml:space="preserve"> were </w:t>
      </w:r>
      <w:r w:rsidR="00836E61">
        <w:rPr>
          <w:rFonts w:ascii="Arial" w:hAnsi="Arial" w:cs="Arial"/>
          <w:color w:val="000000"/>
          <w:szCs w:val="18"/>
        </w:rPr>
        <w:t>created as part of this process</w:t>
      </w:r>
      <w:r w:rsidRPr="006711DB">
        <w:rPr>
          <w:rFonts w:ascii="Arial" w:hAnsi="Arial" w:cs="Arial"/>
          <w:color w:val="000000"/>
          <w:szCs w:val="18"/>
        </w:rPr>
        <w:t xml:space="preserve">. </w:t>
      </w:r>
    </w:p>
    <w:p w14:paraId="76B5B5E3" w14:textId="64801EB5" w:rsidR="00C97630" w:rsidRPr="00C97630" w:rsidRDefault="006711DB" w:rsidP="00DF22C0">
      <w:pPr>
        <w:pStyle w:val="List2"/>
      </w:pPr>
      <w:r w:rsidRPr="006711DB">
        <w:t xml:space="preserve">It is likely that </w:t>
      </w:r>
      <w:r>
        <w:t xml:space="preserve">lockdown measures </w:t>
      </w:r>
      <w:r w:rsidR="000F5C20">
        <w:t xml:space="preserve">being introduced and eased </w:t>
      </w:r>
      <w:r w:rsidRPr="006711DB">
        <w:t xml:space="preserve">has </w:t>
      </w:r>
      <w:r w:rsidR="000F5C20">
        <w:t xml:space="preserve">resulted in demand volatility. Therefore, </w:t>
      </w:r>
      <w:r w:rsidRPr="006711DB">
        <w:t>the direction of</w:t>
      </w:r>
      <w:r w:rsidR="000F5C20">
        <w:t xml:space="preserve"> inaccuracy and the extent of it is also likely to remain volatile until a time when more regular consumption patterns are established and maintained again.</w:t>
      </w:r>
    </w:p>
    <w:p w14:paraId="340FAA05" w14:textId="77777777" w:rsidR="00C14A97" w:rsidRPr="00DD10B5" w:rsidRDefault="00C14A97" w:rsidP="00C14A97">
      <w:pPr>
        <w:pStyle w:val="List"/>
      </w:pPr>
      <w:r w:rsidRPr="00DD10B5">
        <w:t>Prioritising based on the volume of energy under the standards</w:t>
      </w:r>
    </w:p>
    <w:p w14:paraId="57FA52AA" w14:textId="77777777" w:rsidR="00C14A97" w:rsidRPr="008422AC" w:rsidRDefault="00C14A97" w:rsidP="00C14A97">
      <w:pPr>
        <w:numPr>
          <w:ilvl w:val="1"/>
          <w:numId w:val="10"/>
        </w:numPr>
        <w:suppressAutoHyphens/>
        <w:autoSpaceDE w:val="0"/>
        <w:autoSpaceDN w:val="0"/>
        <w:adjustRightInd w:val="0"/>
        <w:spacing w:after="120" w:line="260" w:lineRule="atLeast"/>
        <w:textAlignment w:val="center"/>
        <w:rPr>
          <w:rFonts w:ascii="Arial" w:hAnsi="Arial" w:cs="Arial"/>
          <w:color w:val="000000"/>
          <w:szCs w:val="18"/>
        </w:rPr>
      </w:pPr>
      <w:r>
        <w:rPr>
          <w:rFonts w:ascii="Arial" w:hAnsi="Arial" w:cs="Arial"/>
          <w:color w:val="000000"/>
          <w:szCs w:val="18"/>
        </w:rPr>
        <w:t>When</w:t>
      </w:r>
      <w:r w:rsidRPr="008422AC">
        <w:rPr>
          <w:rFonts w:ascii="Arial" w:hAnsi="Arial" w:cs="Arial"/>
          <w:color w:val="000000"/>
          <w:szCs w:val="18"/>
        </w:rPr>
        <w:t xml:space="preserve"> monitoring Settlement performance, Elexon checks both the Settlement performance against the appropriate standard for each Measurement Class and Supplier </w:t>
      </w:r>
      <w:r>
        <w:rPr>
          <w:rFonts w:ascii="Arial" w:hAnsi="Arial" w:cs="Arial"/>
          <w:color w:val="000000"/>
          <w:szCs w:val="18"/>
        </w:rPr>
        <w:t>MPID, and</w:t>
      </w:r>
      <w:r w:rsidRPr="008422AC">
        <w:rPr>
          <w:rFonts w:ascii="Arial" w:hAnsi="Arial" w:cs="Arial"/>
          <w:color w:val="000000"/>
          <w:szCs w:val="18"/>
        </w:rPr>
        <w:t xml:space="preserve"> the monthly volume of energy under the standard. </w:t>
      </w:r>
      <w:r w:rsidR="00E520F8">
        <w:rPr>
          <w:rFonts w:ascii="Arial" w:hAnsi="Arial" w:cs="Arial"/>
          <w:color w:val="000000"/>
          <w:szCs w:val="18"/>
        </w:rPr>
        <w:t xml:space="preserve">This </w:t>
      </w:r>
      <w:r w:rsidRPr="008422AC">
        <w:rPr>
          <w:rFonts w:ascii="Arial" w:hAnsi="Arial" w:cs="Arial"/>
          <w:color w:val="000000"/>
          <w:szCs w:val="18"/>
        </w:rPr>
        <w:t xml:space="preserve">enables us to prioritise our investigations and apply Performance Assurance Techniques (PATs) to the Supplier </w:t>
      </w:r>
      <w:r>
        <w:rPr>
          <w:rFonts w:ascii="Arial" w:hAnsi="Arial" w:cs="Arial"/>
          <w:color w:val="000000"/>
          <w:szCs w:val="18"/>
        </w:rPr>
        <w:t>MPID</w:t>
      </w:r>
      <w:r w:rsidRPr="008422AC">
        <w:rPr>
          <w:rFonts w:ascii="Arial" w:hAnsi="Arial" w:cs="Arial"/>
          <w:color w:val="000000"/>
          <w:szCs w:val="18"/>
        </w:rPr>
        <w:t xml:space="preserve">s with the largest volume of estimates below the applicable standards. </w:t>
      </w:r>
    </w:p>
    <w:p w14:paraId="39421D39" w14:textId="77777777" w:rsidR="00C14A97" w:rsidRPr="008422AC" w:rsidRDefault="00C14A97" w:rsidP="00C14A97">
      <w:pPr>
        <w:numPr>
          <w:ilvl w:val="1"/>
          <w:numId w:val="10"/>
        </w:numPr>
        <w:suppressAutoHyphens/>
        <w:autoSpaceDE w:val="0"/>
        <w:autoSpaceDN w:val="0"/>
        <w:adjustRightInd w:val="0"/>
        <w:spacing w:after="120" w:line="260" w:lineRule="atLeast"/>
        <w:textAlignment w:val="center"/>
        <w:rPr>
          <w:rFonts w:ascii="Arial" w:hAnsi="Arial" w:cs="Arial"/>
          <w:color w:val="000000"/>
          <w:szCs w:val="18"/>
        </w:rPr>
      </w:pPr>
      <w:r w:rsidRPr="008422AC">
        <w:rPr>
          <w:rFonts w:ascii="Arial" w:hAnsi="Arial" w:cs="Arial"/>
          <w:color w:val="000000"/>
          <w:szCs w:val="18"/>
        </w:rPr>
        <w:t xml:space="preserve">This can result in Suppliers being prioritised above those with a lower </w:t>
      </w:r>
      <w:r>
        <w:rPr>
          <w:rFonts w:ascii="Arial" w:hAnsi="Arial" w:cs="Arial"/>
          <w:color w:val="000000"/>
          <w:szCs w:val="18"/>
        </w:rPr>
        <w:t xml:space="preserve">percentage </w:t>
      </w:r>
      <w:r w:rsidRPr="008422AC">
        <w:rPr>
          <w:rFonts w:ascii="Arial" w:hAnsi="Arial" w:cs="Arial"/>
          <w:color w:val="000000"/>
          <w:szCs w:val="18"/>
        </w:rPr>
        <w:t>performance due to the total volume of energy (and, as a consequence</w:t>
      </w:r>
      <w:r>
        <w:rPr>
          <w:rFonts w:ascii="Arial" w:hAnsi="Arial" w:cs="Arial"/>
          <w:color w:val="000000"/>
          <w:szCs w:val="18"/>
        </w:rPr>
        <w:t>,</w:t>
      </w:r>
      <w:r w:rsidRPr="008422AC">
        <w:rPr>
          <w:rFonts w:ascii="Arial" w:hAnsi="Arial" w:cs="Arial"/>
          <w:color w:val="000000"/>
          <w:szCs w:val="18"/>
        </w:rPr>
        <w:t xml:space="preserve"> the estimated energy) being higher.</w:t>
      </w:r>
    </w:p>
    <w:p w14:paraId="3867E8E7" w14:textId="77777777" w:rsidR="00C14A97" w:rsidRDefault="00C14A97" w:rsidP="00C14A97">
      <w:pPr>
        <w:numPr>
          <w:ilvl w:val="1"/>
          <w:numId w:val="10"/>
        </w:numPr>
        <w:suppressAutoHyphens/>
        <w:autoSpaceDE w:val="0"/>
        <w:autoSpaceDN w:val="0"/>
        <w:adjustRightInd w:val="0"/>
        <w:spacing w:after="120" w:line="260" w:lineRule="atLeast"/>
        <w:textAlignment w:val="center"/>
        <w:rPr>
          <w:rFonts w:ascii="Arial" w:hAnsi="Arial" w:cs="Arial"/>
          <w:color w:val="000000"/>
          <w:szCs w:val="18"/>
        </w:rPr>
      </w:pPr>
      <w:r w:rsidRPr="008422AC">
        <w:rPr>
          <w:rFonts w:ascii="Arial" w:hAnsi="Arial" w:cs="Arial"/>
          <w:color w:val="000000"/>
          <w:szCs w:val="18"/>
        </w:rPr>
        <w:t xml:space="preserve">This approach enables Elexon and the PAB to take actions to more rapidly </w:t>
      </w:r>
      <w:r>
        <w:rPr>
          <w:rFonts w:ascii="Arial" w:hAnsi="Arial" w:cs="Arial"/>
          <w:color w:val="000000"/>
          <w:szCs w:val="18"/>
        </w:rPr>
        <w:t xml:space="preserve">understand and, where possible, work to </w:t>
      </w:r>
      <w:r w:rsidRPr="008422AC">
        <w:rPr>
          <w:rFonts w:ascii="Arial" w:hAnsi="Arial" w:cs="Arial"/>
          <w:color w:val="000000"/>
          <w:szCs w:val="18"/>
        </w:rPr>
        <w:t>reduce the volume of estimated energy under the standard.</w:t>
      </w:r>
    </w:p>
    <w:p w14:paraId="055EAD8E" w14:textId="77777777" w:rsidR="00C14A97" w:rsidRDefault="00C14A97" w:rsidP="00C14A97">
      <w:pPr>
        <w:numPr>
          <w:ilvl w:val="1"/>
          <w:numId w:val="10"/>
        </w:numPr>
        <w:suppressAutoHyphens/>
        <w:autoSpaceDE w:val="0"/>
        <w:autoSpaceDN w:val="0"/>
        <w:adjustRightInd w:val="0"/>
        <w:spacing w:after="120" w:line="260" w:lineRule="atLeast"/>
        <w:textAlignment w:val="center"/>
        <w:rPr>
          <w:rFonts w:ascii="Arial" w:hAnsi="Arial" w:cs="Arial"/>
          <w:color w:val="000000"/>
          <w:szCs w:val="18"/>
        </w:rPr>
      </w:pPr>
      <w:r>
        <w:rPr>
          <w:rFonts w:ascii="Arial" w:hAnsi="Arial" w:cs="Arial"/>
          <w:color w:val="000000"/>
          <w:szCs w:val="18"/>
        </w:rPr>
        <w:t>Elexon does not recommend a change of this approach at this time, as the majority of non-compliant estimation volume is still concentrated in a relatively small number of Suppliers. However, it is important that all Suppliers continue to work to improve their performance.</w:t>
      </w:r>
    </w:p>
    <w:p w14:paraId="1C34C694" w14:textId="77777777" w:rsidR="00C14A97" w:rsidRPr="001D100E" w:rsidRDefault="00C14A97" w:rsidP="00C14A97">
      <w:pPr>
        <w:pStyle w:val="List"/>
      </w:pPr>
      <w:r w:rsidRPr="001D100E">
        <w:t>Performance Overview</w:t>
      </w:r>
      <w:r>
        <w:t>, changes over the last quarter and potential impacts in the next which we need to consider</w:t>
      </w:r>
    </w:p>
    <w:p w14:paraId="2FB2D2C4" w14:textId="77777777" w:rsidR="00C14A97" w:rsidRDefault="00C14A97" w:rsidP="00C14A97">
      <w:pPr>
        <w:suppressAutoHyphens/>
        <w:autoSpaceDE w:val="0"/>
        <w:autoSpaceDN w:val="0"/>
        <w:adjustRightInd w:val="0"/>
        <w:spacing w:after="120" w:line="260" w:lineRule="atLeast"/>
        <w:ind w:left="680"/>
        <w:textAlignment w:val="center"/>
        <w:rPr>
          <w:rFonts w:ascii="Arial" w:hAnsi="Arial" w:cs="Arial"/>
          <w:color w:val="000000"/>
          <w:szCs w:val="18"/>
        </w:rPr>
      </w:pPr>
      <w:r>
        <w:rPr>
          <w:rFonts w:ascii="Arial" w:hAnsi="Arial" w:cs="Arial"/>
          <w:color w:val="000000"/>
          <w:szCs w:val="18"/>
        </w:rPr>
        <w:t xml:space="preserve">Looking at the volume of non-compliant estimation in all three market areas based on </w:t>
      </w:r>
      <w:r w:rsidR="001C36F3">
        <w:rPr>
          <w:rFonts w:ascii="Arial" w:hAnsi="Arial" w:cs="Arial"/>
          <w:color w:val="000000"/>
          <w:szCs w:val="18"/>
        </w:rPr>
        <w:t>May</w:t>
      </w:r>
      <w:r>
        <w:rPr>
          <w:rFonts w:ascii="Arial" w:hAnsi="Arial" w:cs="Arial"/>
          <w:color w:val="000000"/>
          <w:szCs w:val="18"/>
        </w:rPr>
        <w:t xml:space="preserve"> 2021 reporting (which reports on Settlement Days in </w:t>
      </w:r>
      <w:r w:rsidR="001C36F3">
        <w:rPr>
          <w:rFonts w:ascii="Arial" w:hAnsi="Arial" w:cs="Arial"/>
          <w:color w:val="000000"/>
          <w:szCs w:val="18"/>
        </w:rPr>
        <w:t>February 2021</w:t>
      </w:r>
      <w:r>
        <w:rPr>
          <w:rFonts w:ascii="Arial" w:hAnsi="Arial" w:cs="Arial"/>
          <w:color w:val="000000"/>
          <w:szCs w:val="18"/>
        </w:rPr>
        <w:t xml:space="preserve"> at R1 and Settlement Days in </w:t>
      </w:r>
      <w:r w:rsidR="001C36F3">
        <w:rPr>
          <w:rFonts w:ascii="Arial" w:hAnsi="Arial" w:cs="Arial"/>
          <w:color w:val="000000"/>
          <w:szCs w:val="18"/>
        </w:rPr>
        <w:t>February 2020</w:t>
      </w:r>
      <w:r>
        <w:rPr>
          <w:rFonts w:ascii="Arial" w:hAnsi="Arial" w:cs="Arial"/>
          <w:color w:val="000000"/>
          <w:szCs w:val="18"/>
        </w:rPr>
        <w:t xml:space="preserve"> at RF), we can see that two thirds of this is currently within the NHH market. </w:t>
      </w:r>
      <w:r w:rsidR="00CE6203">
        <w:rPr>
          <w:rFonts w:ascii="Arial" w:hAnsi="Arial" w:cs="Arial"/>
          <w:color w:val="000000"/>
          <w:szCs w:val="18"/>
        </w:rPr>
        <w:t xml:space="preserve">There has been very little movement in this sector breakdown since the last quarterly review. </w:t>
      </w:r>
      <w:r>
        <w:rPr>
          <w:rFonts w:ascii="Arial" w:hAnsi="Arial" w:cs="Arial"/>
          <w:color w:val="000000"/>
          <w:szCs w:val="18"/>
        </w:rPr>
        <w:t>This is something that we need to consider when reassessing the threshold for focus Suppliers in each of the areas</w:t>
      </w:r>
      <w:r w:rsidR="00CE6203">
        <w:rPr>
          <w:rFonts w:ascii="Arial" w:hAnsi="Arial" w:cs="Arial"/>
          <w:color w:val="000000"/>
          <w:szCs w:val="18"/>
        </w:rPr>
        <w:t xml:space="preserve"> and it is worth continuin</w:t>
      </w:r>
      <w:r w:rsidR="002248DB">
        <w:rPr>
          <w:rFonts w:ascii="Arial" w:hAnsi="Arial" w:cs="Arial"/>
          <w:color w:val="000000"/>
          <w:szCs w:val="18"/>
        </w:rPr>
        <w:t>g to place a similar prioritisation of our effort for each area as we did for the last quarter:</w:t>
      </w:r>
    </w:p>
    <w:p w14:paraId="7A4C691D" w14:textId="77777777" w:rsidR="00CE6203" w:rsidRDefault="00CE6203" w:rsidP="00C14A97">
      <w:pPr>
        <w:suppressAutoHyphens/>
        <w:autoSpaceDE w:val="0"/>
        <w:autoSpaceDN w:val="0"/>
        <w:adjustRightInd w:val="0"/>
        <w:spacing w:after="120" w:line="260" w:lineRule="atLeast"/>
        <w:ind w:left="680"/>
        <w:textAlignment w:val="center"/>
        <w:rPr>
          <w:rFonts w:ascii="Arial" w:hAnsi="Arial" w:cs="Arial"/>
          <w:color w:val="000000"/>
          <w:szCs w:val="18"/>
        </w:rPr>
      </w:pPr>
    </w:p>
    <w:tbl>
      <w:tblPr>
        <w:tblStyle w:val="ElexonBasicTable"/>
        <w:tblW w:w="0" w:type="auto"/>
        <w:tblInd w:w="680" w:type="dxa"/>
        <w:tblLook w:val="04A0" w:firstRow="1" w:lastRow="0" w:firstColumn="1" w:lastColumn="0" w:noHBand="0" w:noVBand="1"/>
      </w:tblPr>
      <w:tblGrid>
        <w:gridCol w:w="1642"/>
        <w:gridCol w:w="1642"/>
        <w:gridCol w:w="1643"/>
        <w:gridCol w:w="1643"/>
        <w:gridCol w:w="1643"/>
        <w:gridCol w:w="1643"/>
      </w:tblGrid>
      <w:tr w:rsidR="00C14A97" w14:paraId="53F79AEA" w14:textId="77777777" w:rsidTr="00AF7562">
        <w:trPr>
          <w:cnfStyle w:val="100000000000" w:firstRow="1" w:lastRow="0" w:firstColumn="0" w:lastColumn="0" w:oddVBand="0" w:evenVBand="0" w:oddHBand="0" w:evenHBand="0" w:firstRowFirstColumn="0" w:firstRowLastColumn="0" w:lastRowFirstColumn="0" w:lastRowLastColumn="0"/>
          <w:tblHeader/>
        </w:trPr>
        <w:tc>
          <w:tcPr>
            <w:tcW w:w="1642" w:type="dxa"/>
            <w:tcBorders>
              <w:bottom w:val="single" w:sz="4" w:space="0" w:color="auto"/>
            </w:tcBorders>
            <w:vAlign w:val="top"/>
          </w:tcPr>
          <w:p w14:paraId="60697B6A" w14:textId="77777777" w:rsidR="00C14A97" w:rsidRPr="006209D4" w:rsidRDefault="00C14A97" w:rsidP="00C57CDD">
            <w:pPr>
              <w:suppressAutoHyphens/>
              <w:autoSpaceDE w:val="0"/>
              <w:autoSpaceDN w:val="0"/>
              <w:adjustRightInd w:val="0"/>
              <w:spacing w:after="120" w:line="260" w:lineRule="atLeast"/>
              <w:textAlignment w:val="center"/>
              <w:rPr>
                <w:rFonts w:ascii="Arial" w:hAnsi="Arial" w:cs="Arial"/>
                <w:color w:val="000000"/>
                <w:sz w:val="16"/>
                <w:szCs w:val="18"/>
              </w:rPr>
            </w:pPr>
            <w:r w:rsidRPr="006209D4">
              <w:rPr>
                <w:b w:val="0"/>
                <w:sz w:val="16"/>
              </w:rPr>
              <w:lastRenderedPageBreak/>
              <w:t>Market Area</w:t>
            </w:r>
          </w:p>
        </w:tc>
        <w:tc>
          <w:tcPr>
            <w:tcW w:w="1642" w:type="dxa"/>
            <w:tcBorders>
              <w:bottom w:val="single" w:sz="4" w:space="0" w:color="auto"/>
            </w:tcBorders>
            <w:vAlign w:val="top"/>
          </w:tcPr>
          <w:p w14:paraId="49B07157" w14:textId="77777777" w:rsidR="00C14A97" w:rsidRPr="006209D4" w:rsidRDefault="00C14A97" w:rsidP="00C57CDD">
            <w:pPr>
              <w:suppressAutoHyphens/>
              <w:autoSpaceDE w:val="0"/>
              <w:autoSpaceDN w:val="0"/>
              <w:adjustRightInd w:val="0"/>
              <w:spacing w:after="120" w:line="260" w:lineRule="atLeast"/>
              <w:textAlignment w:val="center"/>
              <w:rPr>
                <w:rFonts w:ascii="Arial" w:hAnsi="Arial" w:cs="Arial"/>
                <w:color w:val="000000"/>
                <w:sz w:val="16"/>
                <w:szCs w:val="18"/>
              </w:rPr>
            </w:pPr>
            <w:r w:rsidRPr="006209D4">
              <w:rPr>
                <w:b w:val="0"/>
                <w:sz w:val="16"/>
              </w:rPr>
              <w:t>Settlement Run and standard used for current view</w:t>
            </w:r>
          </w:p>
        </w:tc>
        <w:tc>
          <w:tcPr>
            <w:tcW w:w="1643" w:type="dxa"/>
            <w:tcBorders>
              <w:bottom w:val="single" w:sz="4" w:space="0" w:color="auto"/>
            </w:tcBorders>
            <w:vAlign w:val="top"/>
          </w:tcPr>
          <w:p w14:paraId="10F8FCA9" w14:textId="77777777" w:rsidR="00C14A97" w:rsidRPr="006209D4" w:rsidRDefault="00C14A97" w:rsidP="00C57CDD">
            <w:pPr>
              <w:suppressAutoHyphens/>
              <w:autoSpaceDE w:val="0"/>
              <w:autoSpaceDN w:val="0"/>
              <w:adjustRightInd w:val="0"/>
              <w:spacing w:after="120" w:line="260" w:lineRule="atLeast"/>
              <w:textAlignment w:val="center"/>
              <w:rPr>
                <w:rFonts w:ascii="Arial" w:hAnsi="Arial" w:cs="Arial"/>
                <w:color w:val="000000"/>
                <w:sz w:val="16"/>
                <w:szCs w:val="18"/>
              </w:rPr>
            </w:pPr>
            <w:r w:rsidRPr="006209D4">
              <w:rPr>
                <w:b w:val="0"/>
                <w:sz w:val="16"/>
              </w:rPr>
              <w:t>Settlement month used in current view</w:t>
            </w:r>
          </w:p>
        </w:tc>
        <w:tc>
          <w:tcPr>
            <w:tcW w:w="1643" w:type="dxa"/>
            <w:tcBorders>
              <w:bottom w:val="single" w:sz="4" w:space="0" w:color="auto"/>
            </w:tcBorders>
            <w:vAlign w:val="top"/>
          </w:tcPr>
          <w:p w14:paraId="3B01A202" w14:textId="77777777" w:rsidR="00C14A97" w:rsidRPr="006209D4" w:rsidRDefault="00C14A97" w:rsidP="00C57CDD">
            <w:pPr>
              <w:suppressAutoHyphens/>
              <w:autoSpaceDE w:val="0"/>
              <w:autoSpaceDN w:val="0"/>
              <w:adjustRightInd w:val="0"/>
              <w:spacing w:after="120" w:line="260" w:lineRule="atLeast"/>
              <w:textAlignment w:val="center"/>
              <w:rPr>
                <w:rFonts w:ascii="Arial" w:hAnsi="Arial" w:cs="Arial"/>
                <w:color w:val="000000"/>
                <w:sz w:val="16"/>
                <w:szCs w:val="18"/>
              </w:rPr>
            </w:pPr>
            <w:r w:rsidRPr="006209D4">
              <w:rPr>
                <w:b w:val="0"/>
                <w:sz w:val="16"/>
              </w:rPr>
              <w:t>Industry Average</w:t>
            </w:r>
          </w:p>
        </w:tc>
        <w:tc>
          <w:tcPr>
            <w:tcW w:w="1643" w:type="dxa"/>
            <w:tcBorders>
              <w:bottom w:val="single" w:sz="4" w:space="0" w:color="auto"/>
            </w:tcBorders>
            <w:vAlign w:val="top"/>
          </w:tcPr>
          <w:p w14:paraId="48B0EC8F" w14:textId="77777777" w:rsidR="00C14A97" w:rsidRPr="006209D4" w:rsidRDefault="00C14A97" w:rsidP="00C57CDD">
            <w:pPr>
              <w:suppressAutoHyphens/>
              <w:autoSpaceDE w:val="0"/>
              <w:autoSpaceDN w:val="0"/>
              <w:adjustRightInd w:val="0"/>
              <w:spacing w:after="120" w:line="260" w:lineRule="atLeast"/>
              <w:textAlignment w:val="center"/>
              <w:rPr>
                <w:rFonts w:ascii="Arial" w:hAnsi="Arial" w:cs="Arial"/>
                <w:color w:val="000000"/>
                <w:sz w:val="16"/>
                <w:szCs w:val="18"/>
              </w:rPr>
            </w:pPr>
            <w:r w:rsidRPr="006209D4">
              <w:rPr>
                <w:b w:val="0"/>
                <w:sz w:val="16"/>
              </w:rPr>
              <w:t>Volume under the standard MWh</w:t>
            </w:r>
          </w:p>
        </w:tc>
        <w:tc>
          <w:tcPr>
            <w:tcW w:w="1643" w:type="dxa"/>
            <w:vAlign w:val="top"/>
          </w:tcPr>
          <w:p w14:paraId="46700EE1" w14:textId="77777777" w:rsidR="00C14A97" w:rsidRPr="006209D4" w:rsidRDefault="00C14A97" w:rsidP="00C57CDD">
            <w:pPr>
              <w:suppressAutoHyphens/>
              <w:autoSpaceDE w:val="0"/>
              <w:autoSpaceDN w:val="0"/>
              <w:adjustRightInd w:val="0"/>
              <w:spacing w:after="120" w:line="260" w:lineRule="atLeast"/>
              <w:textAlignment w:val="center"/>
              <w:rPr>
                <w:rFonts w:ascii="Arial" w:hAnsi="Arial" w:cs="Arial"/>
                <w:color w:val="000000"/>
                <w:sz w:val="16"/>
                <w:szCs w:val="18"/>
              </w:rPr>
            </w:pPr>
            <w:r w:rsidRPr="006209D4">
              <w:rPr>
                <w:b w:val="0"/>
                <w:sz w:val="16"/>
              </w:rPr>
              <w:t>% of the impact per market area</w:t>
            </w:r>
          </w:p>
        </w:tc>
      </w:tr>
      <w:tr w:rsidR="00E853A6" w14:paraId="1A9E708B" w14:textId="77777777" w:rsidTr="00AF7562">
        <w:tc>
          <w:tcPr>
            <w:tcW w:w="1642" w:type="dxa"/>
            <w:tcBorders>
              <w:top w:val="single" w:sz="4" w:space="0" w:color="auto"/>
              <w:left w:val="single" w:sz="4" w:space="0" w:color="auto"/>
              <w:bottom w:val="single" w:sz="4" w:space="0" w:color="auto"/>
              <w:right w:val="single" w:sz="4" w:space="0" w:color="auto"/>
            </w:tcBorders>
            <w:vAlign w:val="top"/>
          </w:tcPr>
          <w:p w14:paraId="5CFEE04B" w14:textId="77777777" w:rsidR="00E853A6" w:rsidRPr="00E853A6" w:rsidRDefault="00E853A6" w:rsidP="00E853A6">
            <w:pPr>
              <w:spacing w:after="0" w:line="256" w:lineRule="auto"/>
              <w:jc w:val="center"/>
              <w:rPr>
                <w:rFonts w:ascii="Calibri" w:eastAsia="Times New Roman" w:hAnsi="Calibri" w:cs="Calibri"/>
                <w:szCs w:val="20"/>
                <w:lang w:eastAsia="en-GB"/>
              </w:rPr>
            </w:pPr>
            <w:r w:rsidRPr="00E853A6">
              <w:rPr>
                <w:rFonts w:ascii="Calibri" w:eastAsia="Times New Roman" w:hAnsi="Calibri" w:cs="Calibri"/>
                <w:szCs w:val="20"/>
                <w:lang w:eastAsia="en-GB"/>
              </w:rPr>
              <w:t>HH MC C</w:t>
            </w:r>
          </w:p>
        </w:tc>
        <w:tc>
          <w:tcPr>
            <w:tcW w:w="1642" w:type="dxa"/>
            <w:tcBorders>
              <w:top w:val="single" w:sz="4" w:space="0" w:color="auto"/>
              <w:left w:val="single" w:sz="4" w:space="0" w:color="auto"/>
              <w:bottom w:val="single" w:sz="4" w:space="0" w:color="auto"/>
              <w:right w:val="single" w:sz="4" w:space="0" w:color="auto"/>
            </w:tcBorders>
            <w:vAlign w:val="top"/>
          </w:tcPr>
          <w:p w14:paraId="38EF7C8E" w14:textId="77777777" w:rsidR="00E853A6" w:rsidRPr="00E853A6" w:rsidRDefault="00E853A6" w:rsidP="00E853A6">
            <w:pPr>
              <w:spacing w:after="0" w:line="256" w:lineRule="auto"/>
              <w:jc w:val="center"/>
              <w:rPr>
                <w:rFonts w:ascii="Calibri" w:eastAsia="Times New Roman" w:hAnsi="Calibri" w:cs="Calibri"/>
                <w:szCs w:val="20"/>
                <w:lang w:eastAsia="en-GB"/>
              </w:rPr>
            </w:pPr>
            <w:r w:rsidRPr="00E853A6">
              <w:rPr>
                <w:rFonts w:ascii="Calibri" w:eastAsia="Times New Roman" w:hAnsi="Calibri" w:cs="Calibri"/>
                <w:szCs w:val="20"/>
                <w:lang w:eastAsia="en-GB"/>
              </w:rPr>
              <w:t>R1 99% (standard required at SF but assessed due to risk based approach at R1)</w:t>
            </w:r>
          </w:p>
        </w:tc>
        <w:tc>
          <w:tcPr>
            <w:tcW w:w="1643" w:type="dxa"/>
            <w:tcBorders>
              <w:top w:val="single" w:sz="4" w:space="0" w:color="auto"/>
              <w:left w:val="single" w:sz="4" w:space="0" w:color="auto"/>
              <w:bottom w:val="single" w:sz="4" w:space="0" w:color="auto"/>
              <w:right w:val="single" w:sz="4" w:space="0" w:color="auto"/>
            </w:tcBorders>
            <w:shd w:val="clear" w:color="auto" w:fill="FFFFFF" w:themeFill="background1"/>
            <w:vAlign w:val="top"/>
          </w:tcPr>
          <w:p w14:paraId="568A2F39" w14:textId="77777777" w:rsidR="00E853A6" w:rsidRPr="00A109B0" w:rsidRDefault="00E853A6" w:rsidP="00E853A6">
            <w:pPr>
              <w:spacing w:after="0" w:line="256" w:lineRule="auto"/>
              <w:jc w:val="center"/>
              <w:rPr>
                <w:rFonts w:ascii="Calibri" w:eastAsia="Times New Roman" w:hAnsi="Calibri" w:cs="Calibri"/>
                <w:szCs w:val="20"/>
                <w:lang w:eastAsia="en-GB"/>
              </w:rPr>
            </w:pPr>
            <w:r w:rsidRPr="00291C47">
              <w:rPr>
                <w:rFonts w:ascii="Calibri" w:eastAsia="Times New Roman" w:hAnsi="Calibri" w:cs="Calibri"/>
                <w:szCs w:val="20"/>
                <w:lang w:eastAsia="en-GB"/>
              </w:rPr>
              <w:t>February 2021</w:t>
            </w:r>
          </w:p>
        </w:tc>
        <w:tc>
          <w:tcPr>
            <w:tcW w:w="1643" w:type="dxa"/>
            <w:tcBorders>
              <w:top w:val="single" w:sz="4" w:space="0" w:color="auto"/>
              <w:left w:val="single" w:sz="4" w:space="0" w:color="auto"/>
              <w:bottom w:val="single" w:sz="4" w:space="0" w:color="auto"/>
              <w:right w:val="single" w:sz="4" w:space="0" w:color="auto"/>
            </w:tcBorders>
            <w:shd w:val="clear" w:color="auto" w:fill="FFFFFF" w:themeFill="background1"/>
            <w:vAlign w:val="top"/>
          </w:tcPr>
          <w:p w14:paraId="0E427D2B" w14:textId="77777777" w:rsidR="00E853A6" w:rsidRPr="00A109B0" w:rsidRDefault="00E853A6" w:rsidP="00E853A6">
            <w:pPr>
              <w:spacing w:after="0" w:line="256" w:lineRule="auto"/>
              <w:jc w:val="center"/>
              <w:rPr>
                <w:rFonts w:ascii="Calibri" w:eastAsia="Times New Roman" w:hAnsi="Calibri" w:cs="Calibri"/>
                <w:szCs w:val="20"/>
                <w:lang w:eastAsia="en-GB"/>
              </w:rPr>
            </w:pPr>
            <w:r w:rsidRPr="00291C47">
              <w:rPr>
                <w:rFonts w:ascii="Calibri" w:eastAsia="Times New Roman" w:hAnsi="Calibri" w:cs="Calibri"/>
                <w:szCs w:val="20"/>
                <w:lang w:eastAsia="en-GB"/>
              </w:rPr>
              <w:t>98.08% at R1</w:t>
            </w:r>
          </w:p>
        </w:tc>
        <w:tc>
          <w:tcPr>
            <w:tcW w:w="1643" w:type="dxa"/>
            <w:tcBorders>
              <w:top w:val="single" w:sz="4" w:space="0" w:color="auto"/>
              <w:left w:val="single" w:sz="4" w:space="0" w:color="auto"/>
              <w:bottom w:val="single" w:sz="4" w:space="0" w:color="auto"/>
              <w:right w:val="single" w:sz="4" w:space="0" w:color="auto"/>
            </w:tcBorders>
            <w:shd w:val="clear" w:color="auto" w:fill="FFFFFF" w:themeFill="background1"/>
            <w:vAlign w:val="top"/>
          </w:tcPr>
          <w:p w14:paraId="27C89DD5" w14:textId="77777777" w:rsidR="00E853A6" w:rsidRPr="00A109B0" w:rsidRDefault="00E853A6" w:rsidP="00E853A6">
            <w:pPr>
              <w:spacing w:after="0" w:line="256" w:lineRule="auto"/>
              <w:jc w:val="center"/>
              <w:rPr>
                <w:rFonts w:ascii="Calibri" w:eastAsia="Times New Roman" w:hAnsi="Calibri" w:cs="Calibri"/>
                <w:szCs w:val="20"/>
                <w:lang w:eastAsia="en-GB"/>
              </w:rPr>
            </w:pPr>
            <w:r w:rsidRPr="00291C47">
              <w:rPr>
                <w:rFonts w:ascii="Calibri" w:eastAsia="Times New Roman" w:hAnsi="Calibri" w:cs="Calibri"/>
                <w:szCs w:val="20"/>
                <w:lang w:eastAsia="en-GB"/>
              </w:rPr>
              <w:t>78,668</w:t>
            </w:r>
          </w:p>
        </w:tc>
        <w:tc>
          <w:tcPr>
            <w:tcW w:w="1643" w:type="dxa"/>
            <w:tcBorders>
              <w:top w:val="single" w:sz="4" w:space="0" w:color="auto"/>
              <w:left w:val="single" w:sz="4" w:space="0" w:color="auto"/>
              <w:bottom w:val="single" w:sz="4" w:space="0" w:color="auto"/>
              <w:right w:val="single" w:sz="4" w:space="0" w:color="auto"/>
            </w:tcBorders>
            <w:shd w:val="clear" w:color="auto" w:fill="FFFFFF" w:themeFill="background1"/>
            <w:vAlign w:val="top"/>
          </w:tcPr>
          <w:p w14:paraId="565BCB98" w14:textId="77777777" w:rsidR="00E853A6" w:rsidRPr="00A109B0" w:rsidRDefault="00E853A6" w:rsidP="00E853A6">
            <w:pPr>
              <w:spacing w:after="0" w:line="256" w:lineRule="auto"/>
              <w:jc w:val="center"/>
              <w:rPr>
                <w:rFonts w:ascii="Calibri" w:eastAsia="Times New Roman" w:hAnsi="Calibri" w:cs="Calibri"/>
                <w:szCs w:val="20"/>
                <w:lang w:eastAsia="en-GB"/>
              </w:rPr>
            </w:pPr>
            <w:r w:rsidRPr="00291C47">
              <w:rPr>
                <w:rFonts w:ascii="Calibri" w:eastAsia="Times New Roman" w:hAnsi="Calibri" w:cs="Calibri"/>
                <w:szCs w:val="20"/>
                <w:lang w:eastAsia="en-GB"/>
              </w:rPr>
              <w:t>22%</w:t>
            </w:r>
          </w:p>
        </w:tc>
      </w:tr>
      <w:tr w:rsidR="00E853A6" w14:paraId="588B4AB8" w14:textId="77777777" w:rsidTr="00AF7562">
        <w:tc>
          <w:tcPr>
            <w:tcW w:w="1642" w:type="dxa"/>
            <w:tcBorders>
              <w:top w:val="single" w:sz="4" w:space="0" w:color="auto"/>
              <w:left w:val="single" w:sz="4" w:space="0" w:color="auto"/>
              <w:bottom w:val="single" w:sz="4" w:space="0" w:color="auto"/>
              <w:right w:val="single" w:sz="4" w:space="0" w:color="auto"/>
            </w:tcBorders>
            <w:vAlign w:val="top"/>
          </w:tcPr>
          <w:p w14:paraId="4B5054AB" w14:textId="77777777" w:rsidR="00E853A6" w:rsidRPr="00E853A6" w:rsidRDefault="00E853A6" w:rsidP="00E853A6">
            <w:pPr>
              <w:spacing w:after="0" w:line="256" w:lineRule="auto"/>
              <w:jc w:val="center"/>
              <w:rPr>
                <w:rFonts w:ascii="Calibri" w:eastAsia="Times New Roman" w:hAnsi="Calibri" w:cs="Calibri"/>
                <w:szCs w:val="20"/>
                <w:lang w:eastAsia="en-GB"/>
              </w:rPr>
            </w:pPr>
            <w:r w:rsidRPr="00E853A6">
              <w:rPr>
                <w:rFonts w:ascii="Calibri" w:eastAsia="Times New Roman" w:hAnsi="Calibri" w:cs="Calibri"/>
                <w:szCs w:val="20"/>
                <w:lang w:eastAsia="en-GB"/>
              </w:rPr>
              <w:t>HH MC E,F and G</w:t>
            </w:r>
          </w:p>
        </w:tc>
        <w:tc>
          <w:tcPr>
            <w:tcW w:w="1642" w:type="dxa"/>
            <w:tcBorders>
              <w:top w:val="single" w:sz="4" w:space="0" w:color="auto"/>
              <w:left w:val="single" w:sz="4" w:space="0" w:color="auto"/>
              <w:bottom w:val="single" w:sz="4" w:space="0" w:color="auto"/>
              <w:right w:val="single" w:sz="4" w:space="0" w:color="auto"/>
            </w:tcBorders>
            <w:vAlign w:val="top"/>
          </w:tcPr>
          <w:p w14:paraId="63CD0B98" w14:textId="77777777" w:rsidR="00E853A6" w:rsidRPr="00E853A6" w:rsidRDefault="00E853A6" w:rsidP="00E853A6">
            <w:pPr>
              <w:spacing w:after="0" w:line="256" w:lineRule="auto"/>
              <w:jc w:val="center"/>
              <w:rPr>
                <w:rFonts w:ascii="Calibri" w:eastAsia="Times New Roman" w:hAnsi="Calibri" w:cs="Calibri"/>
                <w:szCs w:val="20"/>
                <w:lang w:eastAsia="en-GB"/>
              </w:rPr>
            </w:pPr>
            <w:r w:rsidRPr="00E853A6">
              <w:rPr>
                <w:rFonts w:ascii="Calibri" w:eastAsia="Times New Roman" w:hAnsi="Calibri" w:cs="Calibri"/>
                <w:szCs w:val="20"/>
                <w:lang w:eastAsia="en-GB"/>
              </w:rPr>
              <w:t>R1 99%</w:t>
            </w:r>
          </w:p>
        </w:tc>
        <w:tc>
          <w:tcPr>
            <w:tcW w:w="1643" w:type="dxa"/>
            <w:tcBorders>
              <w:top w:val="single" w:sz="4" w:space="0" w:color="auto"/>
              <w:left w:val="single" w:sz="4" w:space="0" w:color="auto"/>
              <w:bottom w:val="single" w:sz="4" w:space="0" w:color="auto"/>
              <w:right w:val="single" w:sz="4" w:space="0" w:color="auto"/>
            </w:tcBorders>
            <w:shd w:val="clear" w:color="auto" w:fill="FFFFFF" w:themeFill="background1"/>
            <w:vAlign w:val="top"/>
          </w:tcPr>
          <w:p w14:paraId="4C42C080" w14:textId="77777777" w:rsidR="00E853A6" w:rsidRPr="00A109B0" w:rsidRDefault="00E853A6" w:rsidP="00E853A6">
            <w:pPr>
              <w:spacing w:after="0" w:line="256" w:lineRule="auto"/>
              <w:jc w:val="center"/>
              <w:rPr>
                <w:rFonts w:ascii="Calibri" w:eastAsia="Times New Roman" w:hAnsi="Calibri" w:cs="Calibri"/>
                <w:szCs w:val="20"/>
                <w:lang w:eastAsia="en-GB"/>
              </w:rPr>
            </w:pPr>
            <w:r w:rsidRPr="00291C47">
              <w:rPr>
                <w:rFonts w:ascii="Calibri" w:eastAsia="Times New Roman" w:hAnsi="Calibri" w:cs="Calibri"/>
                <w:szCs w:val="20"/>
                <w:lang w:eastAsia="en-GB"/>
              </w:rPr>
              <w:t>February 2021</w:t>
            </w:r>
          </w:p>
        </w:tc>
        <w:tc>
          <w:tcPr>
            <w:tcW w:w="1643" w:type="dxa"/>
            <w:tcBorders>
              <w:top w:val="single" w:sz="4" w:space="0" w:color="auto"/>
              <w:left w:val="single" w:sz="4" w:space="0" w:color="auto"/>
              <w:bottom w:val="single" w:sz="4" w:space="0" w:color="auto"/>
              <w:right w:val="single" w:sz="4" w:space="0" w:color="auto"/>
            </w:tcBorders>
            <w:shd w:val="clear" w:color="auto" w:fill="FFFFFF" w:themeFill="background1"/>
            <w:vAlign w:val="top"/>
          </w:tcPr>
          <w:p w14:paraId="37DFD920" w14:textId="77777777" w:rsidR="00E853A6" w:rsidRPr="00A109B0" w:rsidRDefault="00E853A6" w:rsidP="00E853A6">
            <w:pPr>
              <w:spacing w:after="0" w:line="256" w:lineRule="auto"/>
              <w:jc w:val="center"/>
              <w:rPr>
                <w:rFonts w:ascii="Calibri" w:eastAsia="Times New Roman" w:hAnsi="Calibri" w:cs="Calibri"/>
                <w:szCs w:val="20"/>
                <w:lang w:eastAsia="en-GB"/>
              </w:rPr>
            </w:pPr>
            <w:r w:rsidRPr="00291C47">
              <w:rPr>
                <w:rFonts w:ascii="Calibri" w:eastAsia="Times New Roman" w:hAnsi="Calibri" w:cs="Calibri"/>
                <w:szCs w:val="20"/>
                <w:lang w:eastAsia="en-GB"/>
              </w:rPr>
              <w:t>94.51% at R1</w:t>
            </w:r>
          </w:p>
        </w:tc>
        <w:tc>
          <w:tcPr>
            <w:tcW w:w="1643" w:type="dxa"/>
            <w:tcBorders>
              <w:top w:val="single" w:sz="4" w:space="0" w:color="auto"/>
              <w:left w:val="single" w:sz="4" w:space="0" w:color="auto"/>
              <w:bottom w:val="single" w:sz="4" w:space="0" w:color="auto"/>
              <w:right w:val="single" w:sz="4" w:space="0" w:color="auto"/>
            </w:tcBorders>
            <w:shd w:val="clear" w:color="auto" w:fill="FFFFFF" w:themeFill="background1"/>
            <w:vAlign w:val="top"/>
          </w:tcPr>
          <w:p w14:paraId="2199664F" w14:textId="77777777" w:rsidR="00E853A6" w:rsidRPr="00A109B0" w:rsidRDefault="00E853A6" w:rsidP="00E853A6">
            <w:pPr>
              <w:spacing w:after="0" w:line="256" w:lineRule="auto"/>
              <w:jc w:val="center"/>
              <w:rPr>
                <w:rFonts w:ascii="Calibri" w:eastAsia="Times New Roman" w:hAnsi="Calibri" w:cs="Calibri"/>
                <w:szCs w:val="20"/>
                <w:lang w:eastAsia="en-GB"/>
              </w:rPr>
            </w:pPr>
            <w:r w:rsidRPr="00291C47">
              <w:rPr>
                <w:rFonts w:ascii="Calibri" w:eastAsia="Times New Roman" w:hAnsi="Calibri" w:cs="Calibri"/>
                <w:szCs w:val="20"/>
                <w:lang w:eastAsia="en-GB"/>
              </w:rPr>
              <w:t>41,720</w:t>
            </w:r>
          </w:p>
        </w:tc>
        <w:tc>
          <w:tcPr>
            <w:tcW w:w="1643" w:type="dxa"/>
            <w:tcBorders>
              <w:top w:val="single" w:sz="4" w:space="0" w:color="auto"/>
              <w:left w:val="single" w:sz="4" w:space="0" w:color="auto"/>
              <w:bottom w:val="single" w:sz="4" w:space="0" w:color="auto"/>
              <w:right w:val="single" w:sz="4" w:space="0" w:color="auto"/>
            </w:tcBorders>
            <w:shd w:val="clear" w:color="auto" w:fill="FFFFFF" w:themeFill="background1"/>
            <w:vAlign w:val="top"/>
          </w:tcPr>
          <w:p w14:paraId="14F6BBB2" w14:textId="77777777" w:rsidR="00E853A6" w:rsidRPr="00A109B0" w:rsidRDefault="00E853A6" w:rsidP="00E853A6">
            <w:pPr>
              <w:spacing w:after="0" w:line="256" w:lineRule="auto"/>
              <w:jc w:val="center"/>
              <w:rPr>
                <w:rFonts w:ascii="Calibri" w:eastAsia="Times New Roman" w:hAnsi="Calibri" w:cs="Calibri"/>
                <w:szCs w:val="20"/>
                <w:lang w:eastAsia="en-GB"/>
              </w:rPr>
            </w:pPr>
            <w:r w:rsidRPr="00291C47">
              <w:rPr>
                <w:rFonts w:ascii="Calibri" w:eastAsia="Times New Roman" w:hAnsi="Calibri" w:cs="Calibri"/>
                <w:szCs w:val="20"/>
                <w:lang w:eastAsia="en-GB"/>
              </w:rPr>
              <w:t>11%</w:t>
            </w:r>
          </w:p>
        </w:tc>
      </w:tr>
      <w:tr w:rsidR="00E853A6" w14:paraId="316E9BA3" w14:textId="77777777" w:rsidTr="00AF7562">
        <w:tc>
          <w:tcPr>
            <w:tcW w:w="1642" w:type="dxa"/>
            <w:tcBorders>
              <w:top w:val="single" w:sz="4" w:space="0" w:color="auto"/>
              <w:left w:val="single" w:sz="4" w:space="0" w:color="auto"/>
              <w:bottom w:val="single" w:sz="4" w:space="0" w:color="auto"/>
              <w:right w:val="single" w:sz="4" w:space="0" w:color="auto"/>
            </w:tcBorders>
            <w:vAlign w:val="top"/>
          </w:tcPr>
          <w:p w14:paraId="72BE5161" w14:textId="77777777" w:rsidR="00E853A6" w:rsidRPr="00E853A6" w:rsidRDefault="00E853A6" w:rsidP="00E853A6">
            <w:pPr>
              <w:spacing w:after="0" w:line="256" w:lineRule="auto"/>
              <w:jc w:val="center"/>
              <w:rPr>
                <w:rFonts w:ascii="Calibri" w:eastAsia="Times New Roman" w:hAnsi="Calibri" w:cs="Calibri"/>
                <w:szCs w:val="20"/>
                <w:lang w:eastAsia="en-GB"/>
              </w:rPr>
            </w:pPr>
            <w:r w:rsidRPr="00E853A6">
              <w:rPr>
                <w:rFonts w:ascii="Calibri" w:eastAsia="Times New Roman" w:hAnsi="Calibri" w:cs="Calibri"/>
                <w:szCs w:val="20"/>
                <w:lang w:eastAsia="en-GB"/>
              </w:rPr>
              <w:t>NHH</w:t>
            </w:r>
          </w:p>
        </w:tc>
        <w:tc>
          <w:tcPr>
            <w:tcW w:w="1642" w:type="dxa"/>
            <w:tcBorders>
              <w:top w:val="single" w:sz="4" w:space="0" w:color="auto"/>
              <w:left w:val="single" w:sz="4" w:space="0" w:color="auto"/>
              <w:bottom w:val="single" w:sz="4" w:space="0" w:color="auto"/>
              <w:right w:val="single" w:sz="4" w:space="0" w:color="auto"/>
            </w:tcBorders>
            <w:vAlign w:val="top"/>
          </w:tcPr>
          <w:p w14:paraId="0A44DC98" w14:textId="77777777" w:rsidR="00E853A6" w:rsidRPr="00E853A6" w:rsidRDefault="00E853A6" w:rsidP="00E853A6">
            <w:pPr>
              <w:spacing w:after="0" w:line="256" w:lineRule="auto"/>
              <w:jc w:val="center"/>
              <w:rPr>
                <w:rFonts w:ascii="Calibri" w:eastAsia="Times New Roman" w:hAnsi="Calibri" w:cs="Calibri"/>
                <w:szCs w:val="20"/>
                <w:lang w:eastAsia="en-GB"/>
              </w:rPr>
            </w:pPr>
            <w:r w:rsidRPr="00E853A6">
              <w:rPr>
                <w:rFonts w:ascii="Calibri" w:eastAsia="Times New Roman" w:hAnsi="Calibri" w:cs="Calibri"/>
                <w:szCs w:val="20"/>
                <w:lang w:eastAsia="en-GB"/>
              </w:rPr>
              <w:t>RF 97%</w:t>
            </w:r>
          </w:p>
        </w:tc>
        <w:tc>
          <w:tcPr>
            <w:tcW w:w="1643" w:type="dxa"/>
            <w:tcBorders>
              <w:top w:val="single" w:sz="4" w:space="0" w:color="auto"/>
              <w:left w:val="single" w:sz="4" w:space="0" w:color="auto"/>
              <w:bottom w:val="single" w:sz="4" w:space="0" w:color="auto"/>
              <w:right w:val="single" w:sz="4" w:space="0" w:color="auto"/>
            </w:tcBorders>
            <w:shd w:val="clear" w:color="auto" w:fill="FFFFFF" w:themeFill="background1"/>
            <w:vAlign w:val="top"/>
          </w:tcPr>
          <w:p w14:paraId="0ECF6B7E" w14:textId="77777777" w:rsidR="00E853A6" w:rsidRPr="00A109B0" w:rsidRDefault="00E853A6" w:rsidP="00E853A6">
            <w:pPr>
              <w:spacing w:after="0" w:line="256" w:lineRule="auto"/>
              <w:jc w:val="center"/>
              <w:rPr>
                <w:rFonts w:ascii="Calibri" w:eastAsia="Times New Roman" w:hAnsi="Calibri" w:cs="Calibri"/>
                <w:szCs w:val="20"/>
                <w:lang w:eastAsia="en-GB"/>
              </w:rPr>
            </w:pPr>
            <w:r w:rsidRPr="00291C47">
              <w:rPr>
                <w:rFonts w:ascii="Calibri" w:eastAsia="Times New Roman" w:hAnsi="Calibri" w:cs="Calibri"/>
                <w:szCs w:val="20"/>
                <w:lang w:eastAsia="en-GB"/>
              </w:rPr>
              <w:t>February 2020</w:t>
            </w:r>
          </w:p>
        </w:tc>
        <w:tc>
          <w:tcPr>
            <w:tcW w:w="1643" w:type="dxa"/>
            <w:tcBorders>
              <w:top w:val="single" w:sz="4" w:space="0" w:color="auto"/>
              <w:left w:val="single" w:sz="4" w:space="0" w:color="auto"/>
              <w:bottom w:val="single" w:sz="4" w:space="0" w:color="auto"/>
              <w:right w:val="single" w:sz="4" w:space="0" w:color="auto"/>
            </w:tcBorders>
            <w:shd w:val="clear" w:color="auto" w:fill="FFFFFF" w:themeFill="background1"/>
            <w:vAlign w:val="top"/>
          </w:tcPr>
          <w:p w14:paraId="465B840F" w14:textId="77777777" w:rsidR="00E853A6" w:rsidRPr="00A109B0" w:rsidRDefault="00E853A6" w:rsidP="00E853A6">
            <w:pPr>
              <w:spacing w:after="0" w:line="256" w:lineRule="auto"/>
              <w:jc w:val="center"/>
              <w:rPr>
                <w:rFonts w:ascii="Calibri" w:eastAsia="Times New Roman" w:hAnsi="Calibri" w:cs="Calibri"/>
                <w:szCs w:val="20"/>
                <w:lang w:eastAsia="en-GB"/>
              </w:rPr>
            </w:pPr>
            <w:r w:rsidRPr="00291C47">
              <w:rPr>
                <w:rFonts w:ascii="Calibri" w:eastAsia="Times New Roman" w:hAnsi="Calibri" w:cs="Calibri"/>
                <w:szCs w:val="20"/>
                <w:lang w:eastAsia="en-GB"/>
              </w:rPr>
              <w:t>95.07% at RF</w:t>
            </w:r>
          </w:p>
        </w:tc>
        <w:tc>
          <w:tcPr>
            <w:tcW w:w="1643" w:type="dxa"/>
            <w:tcBorders>
              <w:top w:val="single" w:sz="4" w:space="0" w:color="auto"/>
              <w:left w:val="single" w:sz="4" w:space="0" w:color="auto"/>
              <w:bottom w:val="single" w:sz="4" w:space="0" w:color="auto"/>
              <w:right w:val="single" w:sz="4" w:space="0" w:color="auto"/>
            </w:tcBorders>
            <w:shd w:val="clear" w:color="auto" w:fill="FFFFFF" w:themeFill="background1"/>
            <w:vAlign w:val="top"/>
          </w:tcPr>
          <w:p w14:paraId="3FE611A2" w14:textId="77777777" w:rsidR="00E853A6" w:rsidRPr="00A109B0" w:rsidRDefault="00E853A6" w:rsidP="00E853A6">
            <w:pPr>
              <w:spacing w:after="0" w:line="256" w:lineRule="auto"/>
              <w:jc w:val="center"/>
              <w:rPr>
                <w:rFonts w:ascii="Calibri" w:eastAsia="Times New Roman" w:hAnsi="Calibri" w:cs="Calibri"/>
                <w:szCs w:val="20"/>
                <w:lang w:eastAsia="en-GB"/>
              </w:rPr>
            </w:pPr>
            <w:r w:rsidRPr="00291C47">
              <w:rPr>
                <w:rFonts w:ascii="Calibri" w:eastAsia="Times New Roman" w:hAnsi="Calibri" w:cs="Calibri"/>
                <w:szCs w:val="20"/>
                <w:lang w:eastAsia="en-GB"/>
              </w:rPr>
              <w:t>241,532</w:t>
            </w:r>
          </w:p>
        </w:tc>
        <w:tc>
          <w:tcPr>
            <w:tcW w:w="1643" w:type="dxa"/>
            <w:tcBorders>
              <w:top w:val="single" w:sz="4" w:space="0" w:color="auto"/>
              <w:left w:val="single" w:sz="4" w:space="0" w:color="auto"/>
              <w:bottom w:val="single" w:sz="4" w:space="0" w:color="auto"/>
              <w:right w:val="single" w:sz="4" w:space="0" w:color="auto"/>
            </w:tcBorders>
            <w:shd w:val="clear" w:color="auto" w:fill="FFFFFF" w:themeFill="background1"/>
            <w:vAlign w:val="top"/>
          </w:tcPr>
          <w:p w14:paraId="783F5A0D" w14:textId="77777777" w:rsidR="00E853A6" w:rsidRPr="00A109B0" w:rsidRDefault="00E853A6" w:rsidP="00E853A6">
            <w:pPr>
              <w:spacing w:after="0" w:line="256" w:lineRule="auto"/>
              <w:jc w:val="center"/>
              <w:rPr>
                <w:rFonts w:ascii="Calibri" w:eastAsia="Times New Roman" w:hAnsi="Calibri" w:cs="Calibri"/>
                <w:szCs w:val="20"/>
                <w:lang w:eastAsia="en-GB"/>
              </w:rPr>
            </w:pPr>
            <w:r w:rsidRPr="00291C47">
              <w:rPr>
                <w:rFonts w:ascii="Calibri" w:eastAsia="Times New Roman" w:hAnsi="Calibri" w:cs="Calibri"/>
                <w:szCs w:val="20"/>
                <w:lang w:eastAsia="en-GB"/>
              </w:rPr>
              <w:t>67%</w:t>
            </w:r>
          </w:p>
        </w:tc>
      </w:tr>
      <w:tr w:rsidR="00C14A97" w14:paraId="198E0D61" w14:textId="77777777" w:rsidTr="00AF7562">
        <w:tc>
          <w:tcPr>
            <w:tcW w:w="6570" w:type="dxa"/>
            <w:gridSpan w:val="4"/>
            <w:tcBorders>
              <w:top w:val="single" w:sz="4" w:space="0" w:color="auto"/>
              <w:left w:val="single" w:sz="4" w:space="0" w:color="auto"/>
              <w:bottom w:val="single" w:sz="4" w:space="0" w:color="auto"/>
              <w:right w:val="single" w:sz="4" w:space="0" w:color="auto"/>
            </w:tcBorders>
          </w:tcPr>
          <w:p w14:paraId="7B5579E1" w14:textId="77777777" w:rsidR="00C14A97" w:rsidRPr="00E853A6" w:rsidRDefault="00C14A97" w:rsidP="00E853A6">
            <w:pPr>
              <w:spacing w:after="0" w:line="256" w:lineRule="auto"/>
              <w:jc w:val="right"/>
              <w:rPr>
                <w:rFonts w:ascii="Calibri" w:eastAsia="Times New Roman" w:hAnsi="Calibri" w:cs="Calibri"/>
                <w:szCs w:val="20"/>
                <w:lang w:eastAsia="en-GB"/>
              </w:rPr>
            </w:pPr>
            <w:r w:rsidRPr="00E853A6">
              <w:rPr>
                <w:rFonts w:ascii="Calibri" w:eastAsia="Times New Roman" w:hAnsi="Calibri" w:cs="Calibri"/>
                <w:szCs w:val="20"/>
                <w:lang w:eastAsia="en-GB"/>
              </w:rPr>
              <w:t>Total:</w:t>
            </w:r>
          </w:p>
        </w:tc>
        <w:tc>
          <w:tcPr>
            <w:tcW w:w="1643" w:type="dxa"/>
            <w:tcBorders>
              <w:top w:val="single" w:sz="4" w:space="0" w:color="auto"/>
              <w:left w:val="single" w:sz="4" w:space="0" w:color="auto"/>
              <w:bottom w:val="single" w:sz="4" w:space="0" w:color="auto"/>
              <w:right w:val="single" w:sz="4" w:space="0" w:color="auto"/>
            </w:tcBorders>
          </w:tcPr>
          <w:p w14:paraId="19319963" w14:textId="77777777" w:rsidR="00C14A97" w:rsidRPr="00E853A6" w:rsidRDefault="00E853A6" w:rsidP="00C57CDD">
            <w:pPr>
              <w:suppressAutoHyphens/>
              <w:autoSpaceDE w:val="0"/>
              <w:autoSpaceDN w:val="0"/>
              <w:adjustRightInd w:val="0"/>
              <w:spacing w:after="120" w:line="260" w:lineRule="atLeast"/>
              <w:jc w:val="center"/>
              <w:textAlignment w:val="center"/>
              <w:rPr>
                <w:rFonts w:ascii="Calibri" w:eastAsia="Times New Roman" w:hAnsi="Calibri" w:cs="Calibri"/>
                <w:szCs w:val="20"/>
                <w:lang w:eastAsia="en-GB"/>
              </w:rPr>
            </w:pPr>
            <w:r w:rsidRPr="00E853A6">
              <w:rPr>
                <w:rFonts w:ascii="Calibri" w:eastAsia="Times New Roman" w:hAnsi="Calibri" w:cs="Calibri"/>
                <w:szCs w:val="20"/>
                <w:lang w:eastAsia="en-GB"/>
              </w:rPr>
              <w:t>361,920</w:t>
            </w:r>
          </w:p>
        </w:tc>
        <w:tc>
          <w:tcPr>
            <w:tcW w:w="1643" w:type="dxa"/>
            <w:tcBorders>
              <w:top w:val="single" w:sz="4" w:space="0" w:color="CAC3C5" w:themeColor="text2" w:themeTint="40"/>
              <w:left w:val="single" w:sz="4" w:space="0" w:color="auto"/>
              <w:bottom w:val="nil"/>
              <w:right w:val="nil"/>
            </w:tcBorders>
          </w:tcPr>
          <w:p w14:paraId="1ED62D21" w14:textId="77777777" w:rsidR="00C14A97" w:rsidRPr="006209D4" w:rsidRDefault="00C14A97" w:rsidP="00C57CDD">
            <w:pPr>
              <w:suppressAutoHyphens/>
              <w:autoSpaceDE w:val="0"/>
              <w:autoSpaceDN w:val="0"/>
              <w:adjustRightInd w:val="0"/>
              <w:spacing w:after="120" w:line="260" w:lineRule="atLeast"/>
              <w:textAlignment w:val="center"/>
              <w:rPr>
                <w:rFonts w:ascii="Arial" w:hAnsi="Arial" w:cs="Arial"/>
                <w:color w:val="000000"/>
                <w:sz w:val="16"/>
                <w:szCs w:val="18"/>
              </w:rPr>
            </w:pPr>
          </w:p>
        </w:tc>
      </w:tr>
    </w:tbl>
    <w:p w14:paraId="79A3F32A" w14:textId="77777777" w:rsidR="00C14A97" w:rsidRPr="00477EF4" w:rsidRDefault="00C14A97" w:rsidP="00C14A97">
      <w:pPr>
        <w:suppressAutoHyphens/>
        <w:autoSpaceDE w:val="0"/>
        <w:autoSpaceDN w:val="0"/>
        <w:adjustRightInd w:val="0"/>
        <w:spacing w:after="120" w:line="260" w:lineRule="atLeast"/>
        <w:ind w:left="680"/>
        <w:textAlignment w:val="center"/>
        <w:rPr>
          <w:rFonts w:ascii="Arial" w:hAnsi="Arial" w:cs="Arial"/>
          <w:color w:val="000000"/>
          <w:szCs w:val="18"/>
        </w:rPr>
      </w:pPr>
    </w:p>
    <w:p w14:paraId="21B4838D" w14:textId="77777777" w:rsidR="00C14A97" w:rsidRDefault="00C14A97" w:rsidP="00C14A97">
      <w:pPr>
        <w:pStyle w:val="List2"/>
      </w:pPr>
      <w:r>
        <w:t>The following table shows the key changes that have taken place since the last review:</w:t>
      </w:r>
    </w:p>
    <w:tbl>
      <w:tblPr>
        <w:tblStyle w:val="ElexonBasicTable"/>
        <w:tblW w:w="0" w:type="auto"/>
        <w:tblInd w:w="680" w:type="dxa"/>
        <w:tblLook w:val="04A0" w:firstRow="1" w:lastRow="0" w:firstColumn="1" w:lastColumn="0" w:noHBand="0" w:noVBand="1"/>
      </w:tblPr>
      <w:tblGrid>
        <w:gridCol w:w="1859"/>
        <w:gridCol w:w="1895"/>
        <w:gridCol w:w="2048"/>
        <w:gridCol w:w="2059"/>
        <w:gridCol w:w="1995"/>
      </w:tblGrid>
      <w:tr w:rsidR="00C14A97" w14:paraId="0DE840ED" w14:textId="77777777" w:rsidTr="002248DB">
        <w:trPr>
          <w:cnfStyle w:val="100000000000" w:firstRow="1" w:lastRow="0" w:firstColumn="0" w:lastColumn="0" w:oddVBand="0" w:evenVBand="0" w:oddHBand="0" w:evenHBand="0" w:firstRowFirstColumn="0" w:firstRowLastColumn="0" w:lastRowFirstColumn="0" w:lastRowLastColumn="0"/>
        </w:trPr>
        <w:tc>
          <w:tcPr>
            <w:tcW w:w="1859" w:type="dxa"/>
            <w:tcBorders>
              <w:bottom w:val="single" w:sz="4" w:space="0" w:color="auto"/>
            </w:tcBorders>
          </w:tcPr>
          <w:p w14:paraId="25278447" w14:textId="77777777" w:rsidR="00C14A97" w:rsidRPr="006209D4" w:rsidRDefault="00C14A97" w:rsidP="00C57CDD">
            <w:pPr>
              <w:pStyle w:val="List2"/>
              <w:numPr>
                <w:ilvl w:val="0"/>
                <w:numId w:val="0"/>
              </w:numPr>
              <w:jc w:val="center"/>
              <w:rPr>
                <w:color w:val="FFFFFF" w:themeColor="background1"/>
                <w:sz w:val="16"/>
              </w:rPr>
            </w:pPr>
          </w:p>
        </w:tc>
        <w:tc>
          <w:tcPr>
            <w:tcW w:w="1895" w:type="dxa"/>
            <w:tcBorders>
              <w:bottom w:val="single" w:sz="4" w:space="0" w:color="auto"/>
            </w:tcBorders>
          </w:tcPr>
          <w:p w14:paraId="780A5947" w14:textId="77777777" w:rsidR="00C14A97" w:rsidRPr="006209D4" w:rsidRDefault="00C14A97" w:rsidP="00C57CDD">
            <w:pPr>
              <w:pStyle w:val="List2"/>
              <w:numPr>
                <w:ilvl w:val="0"/>
                <w:numId w:val="0"/>
              </w:numPr>
              <w:jc w:val="center"/>
              <w:rPr>
                <w:color w:val="FFFFFF" w:themeColor="background1"/>
                <w:sz w:val="16"/>
              </w:rPr>
            </w:pPr>
          </w:p>
        </w:tc>
        <w:tc>
          <w:tcPr>
            <w:tcW w:w="2048" w:type="dxa"/>
            <w:tcBorders>
              <w:bottom w:val="single" w:sz="4" w:space="0" w:color="auto"/>
            </w:tcBorders>
          </w:tcPr>
          <w:p w14:paraId="400FEF8E" w14:textId="77777777" w:rsidR="00C14A97" w:rsidRPr="006209D4" w:rsidRDefault="00C14A97" w:rsidP="006209D4">
            <w:pPr>
              <w:pStyle w:val="List2"/>
              <w:numPr>
                <w:ilvl w:val="0"/>
                <w:numId w:val="0"/>
              </w:numPr>
              <w:jc w:val="center"/>
              <w:rPr>
                <w:color w:val="FFFFFF" w:themeColor="background1"/>
                <w:sz w:val="16"/>
              </w:rPr>
            </w:pPr>
            <w:r w:rsidRPr="006209D4">
              <w:rPr>
                <w:color w:val="FFFFFF" w:themeColor="background1"/>
                <w:sz w:val="16"/>
              </w:rPr>
              <w:t>HH</w:t>
            </w:r>
            <w:r w:rsidR="006209D4" w:rsidRPr="006209D4">
              <w:rPr>
                <w:color w:val="FFFFFF" w:themeColor="background1"/>
                <w:sz w:val="16"/>
              </w:rPr>
              <w:t xml:space="preserve"> </w:t>
            </w:r>
          </w:p>
        </w:tc>
        <w:tc>
          <w:tcPr>
            <w:tcW w:w="2059" w:type="dxa"/>
            <w:tcBorders>
              <w:bottom w:val="single" w:sz="4" w:space="0" w:color="auto"/>
            </w:tcBorders>
          </w:tcPr>
          <w:p w14:paraId="3E65F0AE" w14:textId="77777777" w:rsidR="00C14A97" w:rsidRPr="006209D4" w:rsidRDefault="00C14A97" w:rsidP="00C57CDD">
            <w:pPr>
              <w:pStyle w:val="List2"/>
              <w:numPr>
                <w:ilvl w:val="0"/>
                <w:numId w:val="0"/>
              </w:numPr>
              <w:jc w:val="center"/>
              <w:rPr>
                <w:color w:val="FFFFFF" w:themeColor="background1"/>
                <w:sz w:val="16"/>
              </w:rPr>
            </w:pPr>
            <w:r w:rsidRPr="006209D4">
              <w:rPr>
                <w:color w:val="FFFFFF" w:themeColor="background1"/>
                <w:sz w:val="16"/>
              </w:rPr>
              <w:t>Sub 100kW</w:t>
            </w:r>
          </w:p>
        </w:tc>
        <w:tc>
          <w:tcPr>
            <w:tcW w:w="1995" w:type="dxa"/>
            <w:tcBorders>
              <w:bottom w:val="single" w:sz="4" w:space="0" w:color="auto"/>
            </w:tcBorders>
          </w:tcPr>
          <w:p w14:paraId="67CF11BC" w14:textId="77777777" w:rsidR="00C14A97" w:rsidRPr="006209D4" w:rsidRDefault="00C14A97" w:rsidP="00C57CDD">
            <w:pPr>
              <w:pStyle w:val="List2"/>
              <w:numPr>
                <w:ilvl w:val="0"/>
                <w:numId w:val="0"/>
              </w:numPr>
              <w:jc w:val="center"/>
              <w:rPr>
                <w:color w:val="FFFFFF" w:themeColor="background1"/>
                <w:sz w:val="16"/>
              </w:rPr>
            </w:pPr>
            <w:r w:rsidRPr="006209D4">
              <w:rPr>
                <w:color w:val="FFFFFF" w:themeColor="background1"/>
                <w:sz w:val="16"/>
              </w:rPr>
              <w:t>NHH</w:t>
            </w:r>
          </w:p>
        </w:tc>
      </w:tr>
      <w:tr w:rsidR="00AA676C" w14:paraId="1D259316" w14:textId="77777777" w:rsidTr="00AA676C">
        <w:tc>
          <w:tcPr>
            <w:tcW w:w="1859" w:type="dxa"/>
            <w:vMerge w:val="restart"/>
            <w:tcBorders>
              <w:top w:val="single" w:sz="4" w:space="0" w:color="auto"/>
              <w:left w:val="single" w:sz="4" w:space="0" w:color="auto"/>
              <w:right w:val="single" w:sz="4" w:space="0" w:color="auto"/>
            </w:tcBorders>
          </w:tcPr>
          <w:p w14:paraId="220F7F98" w14:textId="77777777" w:rsidR="00AA676C" w:rsidRPr="006209D4" w:rsidRDefault="00AA676C" w:rsidP="00C57CDD">
            <w:pPr>
              <w:pStyle w:val="List2"/>
              <w:numPr>
                <w:ilvl w:val="0"/>
                <w:numId w:val="0"/>
              </w:numPr>
              <w:rPr>
                <w:sz w:val="16"/>
              </w:rPr>
            </w:pPr>
            <w:r w:rsidRPr="006209D4">
              <w:rPr>
                <w:sz w:val="16"/>
              </w:rPr>
              <w:t>Industry Average performance</w:t>
            </w:r>
          </w:p>
        </w:tc>
        <w:tc>
          <w:tcPr>
            <w:tcW w:w="1895" w:type="dxa"/>
            <w:tcBorders>
              <w:top w:val="single" w:sz="4" w:space="0" w:color="auto"/>
              <w:left w:val="single" w:sz="4" w:space="0" w:color="auto"/>
              <w:bottom w:val="single" w:sz="4" w:space="0" w:color="auto"/>
              <w:right w:val="single" w:sz="4" w:space="0" w:color="auto"/>
            </w:tcBorders>
          </w:tcPr>
          <w:p w14:paraId="479EA63C" w14:textId="77777777" w:rsidR="00AA676C" w:rsidRPr="006209D4" w:rsidRDefault="00AA676C" w:rsidP="00C57CDD">
            <w:pPr>
              <w:pStyle w:val="List2"/>
              <w:numPr>
                <w:ilvl w:val="0"/>
                <w:numId w:val="0"/>
              </w:numPr>
              <w:jc w:val="center"/>
              <w:rPr>
                <w:sz w:val="16"/>
              </w:rPr>
            </w:pPr>
            <w:r w:rsidRPr="006209D4">
              <w:rPr>
                <w:sz w:val="16"/>
              </w:rPr>
              <w:t>September 2020</w:t>
            </w:r>
          </w:p>
        </w:tc>
        <w:tc>
          <w:tcPr>
            <w:tcW w:w="2048" w:type="dxa"/>
            <w:tcBorders>
              <w:top w:val="single" w:sz="4" w:space="0" w:color="auto"/>
              <w:left w:val="single" w:sz="4" w:space="0" w:color="auto"/>
              <w:bottom w:val="single" w:sz="4" w:space="0" w:color="auto"/>
              <w:right w:val="single" w:sz="4" w:space="0" w:color="auto"/>
            </w:tcBorders>
          </w:tcPr>
          <w:p w14:paraId="2C5C3898" w14:textId="77777777" w:rsidR="00AA676C" w:rsidRPr="006209D4" w:rsidRDefault="00AA676C" w:rsidP="00C57CDD">
            <w:pPr>
              <w:pStyle w:val="List2"/>
              <w:numPr>
                <w:ilvl w:val="0"/>
                <w:numId w:val="0"/>
              </w:numPr>
              <w:jc w:val="center"/>
              <w:rPr>
                <w:sz w:val="16"/>
              </w:rPr>
            </w:pPr>
            <w:r w:rsidRPr="006209D4">
              <w:rPr>
                <w:sz w:val="16"/>
              </w:rPr>
              <w:t>97.87 %</w:t>
            </w:r>
            <w:r>
              <w:rPr>
                <w:sz w:val="16"/>
              </w:rPr>
              <w:t xml:space="preserve"> </w:t>
            </w:r>
            <w:r w:rsidRPr="006209D4">
              <w:rPr>
                <w:sz w:val="16"/>
              </w:rPr>
              <w:t>at R1</w:t>
            </w:r>
          </w:p>
        </w:tc>
        <w:tc>
          <w:tcPr>
            <w:tcW w:w="2059" w:type="dxa"/>
            <w:tcBorders>
              <w:top w:val="single" w:sz="4" w:space="0" w:color="auto"/>
              <w:left w:val="single" w:sz="4" w:space="0" w:color="auto"/>
              <w:bottom w:val="single" w:sz="4" w:space="0" w:color="auto"/>
              <w:right w:val="single" w:sz="4" w:space="0" w:color="auto"/>
            </w:tcBorders>
          </w:tcPr>
          <w:p w14:paraId="68F3EF2A" w14:textId="77777777" w:rsidR="00AA676C" w:rsidRPr="006209D4" w:rsidRDefault="00AA676C" w:rsidP="00C57CDD">
            <w:pPr>
              <w:pStyle w:val="List2"/>
              <w:numPr>
                <w:ilvl w:val="0"/>
                <w:numId w:val="0"/>
              </w:numPr>
              <w:jc w:val="center"/>
              <w:rPr>
                <w:sz w:val="16"/>
              </w:rPr>
            </w:pPr>
            <w:r w:rsidRPr="006209D4">
              <w:rPr>
                <w:sz w:val="16"/>
              </w:rPr>
              <w:t>94.23% at R1</w:t>
            </w:r>
          </w:p>
        </w:tc>
        <w:tc>
          <w:tcPr>
            <w:tcW w:w="1995" w:type="dxa"/>
            <w:tcBorders>
              <w:top w:val="single" w:sz="4" w:space="0" w:color="auto"/>
              <w:left w:val="single" w:sz="4" w:space="0" w:color="auto"/>
              <w:bottom w:val="single" w:sz="4" w:space="0" w:color="auto"/>
              <w:right w:val="single" w:sz="4" w:space="0" w:color="auto"/>
            </w:tcBorders>
          </w:tcPr>
          <w:p w14:paraId="712B1730" w14:textId="77777777" w:rsidR="00AA676C" w:rsidRPr="006209D4" w:rsidRDefault="00AA676C" w:rsidP="00C57CDD">
            <w:pPr>
              <w:pStyle w:val="List2"/>
              <w:numPr>
                <w:ilvl w:val="0"/>
                <w:numId w:val="0"/>
              </w:numPr>
              <w:jc w:val="center"/>
              <w:rPr>
                <w:sz w:val="16"/>
              </w:rPr>
            </w:pPr>
            <w:r w:rsidRPr="006209D4">
              <w:rPr>
                <w:sz w:val="16"/>
              </w:rPr>
              <w:t>95.98 % at RF</w:t>
            </w:r>
          </w:p>
        </w:tc>
      </w:tr>
      <w:tr w:rsidR="00AA676C" w14:paraId="6955D473" w14:textId="77777777" w:rsidTr="00AA676C">
        <w:tc>
          <w:tcPr>
            <w:tcW w:w="1859" w:type="dxa"/>
            <w:vMerge/>
            <w:tcBorders>
              <w:left w:val="single" w:sz="4" w:space="0" w:color="auto"/>
              <w:right w:val="single" w:sz="4" w:space="0" w:color="auto"/>
            </w:tcBorders>
          </w:tcPr>
          <w:p w14:paraId="45887634" w14:textId="77777777" w:rsidR="00AA676C" w:rsidRPr="006209D4" w:rsidRDefault="00AA676C" w:rsidP="00C57CDD">
            <w:pPr>
              <w:pStyle w:val="List2"/>
              <w:numPr>
                <w:ilvl w:val="0"/>
                <w:numId w:val="0"/>
              </w:numPr>
              <w:rPr>
                <w:sz w:val="16"/>
              </w:rPr>
            </w:pPr>
          </w:p>
        </w:tc>
        <w:tc>
          <w:tcPr>
            <w:tcW w:w="1895" w:type="dxa"/>
            <w:tcBorders>
              <w:top w:val="single" w:sz="4" w:space="0" w:color="auto"/>
              <w:left w:val="single" w:sz="4" w:space="0" w:color="auto"/>
              <w:bottom w:val="single" w:sz="4" w:space="0" w:color="auto"/>
              <w:right w:val="single" w:sz="4" w:space="0" w:color="auto"/>
            </w:tcBorders>
          </w:tcPr>
          <w:p w14:paraId="1F2B801C" w14:textId="77777777" w:rsidR="00AA676C" w:rsidRPr="006209D4" w:rsidRDefault="00AA676C" w:rsidP="00C57CDD">
            <w:pPr>
              <w:pStyle w:val="List2"/>
              <w:numPr>
                <w:ilvl w:val="0"/>
                <w:numId w:val="0"/>
              </w:numPr>
              <w:jc w:val="center"/>
              <w:rPr>
                <w:sz w:val="16"/>
              </w:rPr>
            </w:pPr>
            <w:r w:rsidRPr="006209D4">
              <w:rPr>
                <w:sz w:val="16"/>
              </w:rPr>
              <w:t>February 2021</w:t>
            </w:r>
          </w:p>
        </w:tc>
        <w:tc>
          <w:tcPr>
            <w:tcW w:w="2048" w:type="dxa"/>
            <w:tcBorders>
              <w:top w:val="single" w:sz="4" w:space="0" w:color="auto"/>
              <w:left w:val="single" w:sz="4" w:space="0" w:color="auto"/>
              <w:bottom w:val="single" w:sz="4" w:space="0" w:color="auto"/>
              <w:right w:val="single" w:sz="4" w:space="0" w:color="auto"/>
            </w:tcBorders>
          </w:tcPr>
          <w:p w14:paraId="62DE7621" w14:textId="77777777" w:rsidR="00AA676C" w:rsidRPr="006209D4" w:rsidRDefault="00AA676C" w:rsidP="00C57CDD">
            <w:pPr>
              <w:pStyle w:val="List2"/>
              <w:numPr>
                <w:ilvl w:val="0"/>
                <w:numId w:val="0"/>
              </w:numPr>
              <w:jc w:val="center"/>
              <w:rPr>
                <w:sz w:val="16"/>
              </w:rPr>
            </w:pPr>
            <w:r w:rsidRPr="006209D4">
              <w:rPr>
                <w:sz w:val="16"/>
              </w:rPr>
              <w:t>98.02% at R1</w:t>
            </w:r>
            <w:r>
              <w:rPr>
                <w:sz w:val="16"/>
              </w:rPr>
              <w:t xml:space="preserve"> </w:t>
            </w:r>
          </w:p>
        </w:tc>
        <w:tc>
          <w:tcPr>
            <w:tcW w:w="2059" w:type="dxa"/>
            <w:tcBorders>
              <w:top w:val="single" w:sz="4" w:space="0" w:color="auto"/>
              <w:left w:val="single" w:sz="4" w:space="0" w:color="auto"/>
              <w:bottom w:val="single" w:sz="4" w:space="0" w:color="auto"/>
              <w:right w:val="single" w:sz="4" w:space="0" w:color="auto"/>
            </w:tcBorders>
          </w:tcPr>
          <w:p w14:paraId="0B66C687" w14:textId="77777777" w:rsidR="00AA676C" w:rsidRPr="006209D4" w:rsidRDefault="00AA676C" w:rsidP="00C57CDD">
            <w:pPr>
              <w:pStyle w:val="List2"/>
              <w:numPr>
                <w:ilvl w:val="0"/>
                <w:numId w:val="0"/>
              </w:numPr>
              <w:jc w:val="center"/>
              <w:rPr>
                <w:sz w:val="16"/>
              </w:rPr>
            </w:pPr>
            <w:r w:rsidRPr="006209D4">
              <w:rPr>
                <w:sz w:val="16"/>
              </w:rPr>
              <w:t>94.60% at R1</w:t>
            </w:r>
          </w:p>
        </w:tc>
        <w:tc>
          <w:tcPr>
            <w:tcW w:w="1995" w:type="dxa"/>
            <w:tcBorders>
              <w:top w:val="single" w:sz="4" w:space="0" w:color="auto"/>
              <w:left w:val="single" w:sz="4" w:space="0" w:color="auto"/>
              <w:bottom w:val="single" w:sz="4" w:space="0" w:color="auto"/>
              <w:right w:val="single" w:sz="4" w:space="0" w:color="auto"/>
            </w:tcBorders>
          </w:tcPr>
          <w:p w14:paraId="00DAEA29" w14:textId="77777777" w:rsidR="00AA676C" w:rsidRPr="006209D4" w:rsidRDefault="00AA676C" w:rsidP="00C57CDD">
            <w:pPr>
              <w:pStyle w:val="List2"/>
              <w:numPr>
                <w:ilvl w:val="0"/>
                <w:numId w:val="0"/>
              </w:numPr>
              <w:jc w:val="center"/>
              <w:rPr>
                <w:sz w:val="16"/>
              </w:rPr>
            </w:pPr>
            <w:r w:rsidRPr="006209D4">
              <w:rPr>
                <w:sz w:val="16"/>
              </w:rPr>
              <w:t>95.01% at RF</w:t>
            </w:r>
          </w:p>
        </w:tc>
      </w:tr>
      <w:tr w:rsidR="00AA676C" w14:paraId="58B6F6C7" w14:textId="77777777" w:rsidTr="00AA676C">
        <w:tc>
          <w:tcPr>
            <w:tcW w:w="1859" w:type="dxa"/>
            <w:vMerge/>
            <w:tcBorders>
              <w:left w:val="single" w:sz="4" w:space="0" w:color="auto"/>
              <w:right w:val="single" w:sz="4" w:space="0" w:color="auto"/>
            </w:tcBorders>
          </w:tcPr>
          <w:p w14:paraId="1CC42A67" w14:textId="77777777" w:rsidR="00AA676C" w:rsidRPr="006209D4" w:rsidRDefault="00AA676C" w:rsidP="00C57CDD">
            <w:pPr>
              <w:pStyle w:val="List2"/>
              <w:numPr>
                <w:ilvl w:val="0"/>
                <w:numId w:val="0"/>
              </w:numPr>
              <w:rPr>
                <w:sz w:val="16"/>
              </w:rPr>
            </w:pPr>
          </w:p>
        </w:tc>
        <w:tc>
          <w:tcPr>
            <w:tcW w:w="1895" w:type="dxa"/>
            <w:tcBorders>
              <w:top w:val="single" w:sz="4" w:space="0" w:color="auto"/>
              <w:left w:val="single" w:sz="4" w:space="0" w:color="auto"/>
              <w:bottom w:val="single" w:sz="4" w:space="0" w:color="auto"/>
              <w:right w:val="single" w:sz="4" w:space="0" w:color="auto"/>
            </w:tcBorders>
          </w:tcPr>
          <w:p w14:paraId="2C9B8291" w14:textId="77777777" w:rsidR="00AA676C" w:rsidRPr="006209D4" w:rsidRDefault="00AA676C" w:rsidP="00C57CDD">
            <w:pPr>
              <w:pStyle w:val="List2"/>
              <w:numPr>
                <w:ilvl w:val="0"/>
                <w:numId w:val="0"/>
              </w:numPr>
              <w:jc w:val="center"/>
              <w:rPr>
                <w:sz w:val="16"/>
              </w:rPr>
            </w:pPr>
            <w:r>
              <w:rPr>
                <w:sz w:val="16"/>
              </w:rPr>
              <w:t>May 2021</w:t>
            </w:r>
          </w:p>
        </w:tc>
        <w:tc>
          <w:tcPr>
            <w:tcW w:w="2048" w:type="dxa"/>
            <w:tcBorders>
              <w:top w:val="single" w:sz="4" w:space="0" w:color="auto"/>
              <w:left w:val="single" w:sz="4" w:space="0" w:color="auto"/>
              <w:bottom w:val="single" w:sz="4" w:space="0" w:color="auto"/>
              <w:right w:val="single" w:sz="4" w:space="0" w:color="auto"/>
            </w:tcBorders>
          </w:tcPr>
          <w:p w14:paraId="64ECC3A6" w14:textId="77777777" w:rsidR="00AA676C" w:rsidRPr="006209D4" w:rsidRDefault="00AA676C" w:rsidP="00C57CDD">
            <w:pPr>
              <w:pStyle w:val="List2"/>
              <w:numPr>
                <w:ilvl w:val="0"/>
                <w:numId w:val="0"/>
              </w:numPr>
              <w:jc w:val="center"/>
              <w:rPr>
                <w:sz w:val="16"/>
              </w:rPr>
            </w:pPr>
            <w:r>
              <w:rPr>
                <w:sz w:val="16"/>
              </w:rPr>
              <w:t>98.08% at R1</w:t>
            </w:r>
          </w:p>
        </w:tc>
        <w:tc>
          <w:tcPr>
            <w:tcW w:w="2059" w:type="dxa"/>
            <w:tcBorders>
              <w:top w:val="single" w:sz="4" w:space="0" w:color="auto"/>
              <w:left w:val="single" w:sz="4" w:space="0" w:color="auto"/>
              <w:bottom w:val="single" w:sz="4" w:space="0" w:color="auto"/>
              <w:right w:val="single" w:sz="4" w:space="0" w:color="auto"/>
            </w:tcBorders>
          </w:tcPr>
          <w:p w14:paraId="6A1AA260" w14:textId="77777777" w:rsidR="00AA676C" w:rsidRPr="006209D4" w:rsidRDefault="00AA676C" w:rsidP="00C57CDD">
            <w:pPr>
              <w:pStyle w:val="List2"/>
              <w:numPr>
                <w:ilvl w:val="0"/>
                <w:numId w:val="0"/>
              </w:numPr>
              <w:jc w:val="center"/>
              <w:rPr>
                <w:sz w:val="16"/>
              </w:rPr>
            </w:pPr>
            <w:r>
              <w:rPr>
                <w:sz w:val="16"/>
              </w:rPr>
              <w:t>94.51% at R1</w:t>
            </w:r>
          </w:p>
        </w:tc>
        <w:tc>
          <w:tcPr>
            <w:tcW w:w="1995" w:type="dxa"/>
            <w:tcBorders>
              <w:top w:val="single" w:sz="4" w:space="0" w:color="auto"/>
              <w:left w:val="single" w:sz="4" w:space="0" w:color="auto"/>
              <w:bottom w:val="single" w:sz="4" w:space="0" w:color="auto"/>
              <w:right w:val="single" w:sz="4" w:space="0" w:color="auto"/>
            </w:tcBorders>
          </w:tcPr>
          <w:p w14:paraId="1AD42C5F" w14:textId="77777777" w:rsidR="00AA676C" w:rsidRPr="006209D4" w:rsidRDefault="00AA676C" w:rsidP="00C57CDD">
            <w:pPr>
              <w:pStyle w:val="List2"/>
              <w:numPr>
                <w:ilvl w:val="0"/>
                <w:numId w:val="0"/>
              </w:numPr>
              <w:jc w:val="center"/>
              <w:rPr>
                <w:sz w:val="16"/>
              </w:rPr>
            </w:pPr>
            <w:r>
              <w:rPr>
                <w:sz w:val="16"/>
              </w:rPr>
              <w:t>95.07% at RF</w:t>
            </w:r>
          </w:p>
        </w:tc>
      </w:tr>
      <w:tr w:rsidR="00AA676C" w14:paraId="6AD70A65" w14:textId="77777777" w:rsidTr="00AA676C">
        <w:tc>
          <w:tcPr>
            <w:tcW w:w="1859" w:type="dxa"/>
            <w:vMerge/>
            <w:tcBorders>
              <w:left w:val="single" w:sz="4" w:space="0" w:color="auto"/>
              <w:right w:val="single" w:sz="4" w:space="0" w:color="auto"/>
            </w:tcBorders>
          </w:tcPr>
          <w:p w14:paraId="7E2607F5" w14:textId="77777777" w:rsidR="00AA676C" w:rsidRPr="006209D4" w:rsidRDefault="00AA676C" w:rsidP="00C57CDD">
            <w:pPr>
              <w:pStyle w:val="List2"/>
              <w:numPr>
                <w:ilvl w:val="0"/>
                <w:numId w:val="0"/>
              </w:numPr>
              <w:rPr>
                <w:sz w:val="16"/>
              </w:rPr>
            </w:pPr>
          </w:p>
        </w:tc>
        <w:tc>
          <w:tcPr>
            <w:tcW w:w="1895" w:type="dxa"/>
            <w:tcBorders>
              <w:top w:val="single" w:sz="4" w:space="0" w:color="auto"/>
              <w:left w:val="single" w:sz="4" w:space="0" w:color="auto"/>
              <w:bottom w:val="single" w:sz="4" w:space="0" w:color="auto"/>
              <w:right w:val="single" w:sz="4" w:space="0" w:color="auto"/>
            </w:tcBorders>
          </w:tcPr>
          <w:p w14:paraId="140C2FC7" w14:textId="77777777" w:rsidR="00AA676C" w:rsidRDefault="00AA676C" w:rsidP="00C57CDD">
            <w:pPr>
              <w:pStyle w:val="List2"/>
              <w:numPr>
                <w:ilvl w:val="0"/>
                <w:numId w:val="0"/>
              </w:numPr>
              <w:jc w:val="center"/>
              <w:rPr>
                <w:sz w:val="16"/>
              </w:rPr>
            </w:pPr>
            <w:r>
              <w:rPr>
                <w:sz w:val="16"/>
              </w:rPr>
              <w:t>Difference from September 2020 to May 2021</w:t>
            </w:r>
          </w:p>
        </w:tc>
        <w:tc>
          <w:tcPr>
            <w:tcW w:w="2048" w:type="dxa"/>
            <w:tcBorders>
              <w:top w:val="single" w:sz="4" w:space="0" w:color="auto"/>
              <w:left w:val="single" w:sz="4" w:space="0" w:color="auto"/>
              <w:bottom w:val="single" w:sz="4" w:space="0" w:color="auto"/>
              <w:right w:val="single" w:sz="4" w:space="0" w:color="auto"/>
            </w:tcBorders>
          </w:tcPr>
          <w:p w14:paraId="32919CD1" w14:textId="77777777" w:rsidR="00AA676C" w:rsidRPr="008401AB" w:rsidRDefault="00AA676C" w:rsidP="00C57CDD">
            <w:pPr>
              <w:pStyle w:val="List2"/>
              <w:numPr>
                <w:ilvl w:val="0"/>
                <w:numId w:val="0"/>
              </w:numPr>
              <w:jc w:val="center"/>
              <w:rPr>
                <w:b/>
                <w:sz w:val="16"/>
              </w:rPr>
            </w:pPr>
            <w:r w:rsidRPr="008401AB">
              <w:rPr>
                <w:b/>
                <w:color w:val="00B050"/>
                <w:sz w:val="16"/>
              </w:rPr>
              <w:t xml:space="preserve">+ 0.21% </w:t>
            </w:r>
          </w:p>
        </w:tc>
        <w:tc>
          <w:tcPr>
            <w:tcW w:w="2059" w:type="dxa"/>
            <w:tcBorders>
              <w:top w:val="single" w:sz="4" w:space="0" w:color="auto"/>
              <w:left w:val="single" w:sz="4" w:space="0" w:color="auto"/>
              <w:bottom w:val="single" w:sz="4" w:space="0" w:color="auto"/>
              <w:right w:val="single" w:sz="4" w:space="0" w:color="auto"/>
            </w:tcBorders>
          </w:tcPr>
          <w:p w14:paraId="1739C842" w14:textId="77777777" w:rsidR="00AA676C" w:rsidRPr="008401AB" w:rsidRDefault="00AA676C" w:rsidP="008401AB">
            <w:pPr>
              <w:pStyle w:val="List2"/>
              <w:numPr>
                <w:ilvl w:val="0"/>
                <w:numId w:val="0"/>
              </w:numPr>
              <w:ind w:left="720"/>
              <w:rPr>
                <w:b/>
                <w:sz w:val="16"/>
              </w:rPr>
            </w:pPr>
            <w:r w:rsidRPr="008401AB">
              <w:rPr>
                <w:b/>
                <w:color w:val="FF0000"/>
                <w:sz w:val="16"/>
              </w:rPr>
              <w:t>-0.28%</w:t>
            </w:r>
          </w:p>
        </w:tc>
        <w:tc>
          <w:tcPr>
            <w:tcW w:w="1995" w:type="dxa"/>
            <w:tcBorders>
              <w:top w:val="single" w:sz="4" w:space="0" w:color="auto"/>
              <w:left w:val="single" w:sz="4" w:space="0" w:color="auto"/>
              <w:bottom w:val="single" w:sz="4" w:space="0" w:color="auto"/>
              <w:right w:val="single" w:sz="4" w:space="0" w:color="auto"/>
            </w:tcBorders>
          </w:tcPr>
          <w:p w14:paraId="1EC446A6" w14:textId="77777777" w:rsidR="00AA676C" w:rsidRPr="008401AB" w:rsidRDefault="00AA676C" w:rsidP="00C57CDD">
            <w:pPr>
              <w:pStyle w:val="List2"/>
              <w:numPr>
                <w:ilvl w:val="0"/>
                <w:numId w:val="0"/>
              </w:numPr>
              <w:jc w:val="center"/>
              <w:rPr>
                <w:b/>
                <w:sz w:val="16"/>
              </w:rPr>
            </w:pPr>
            <w:r>
              <w:rPr>
                <w:b/>
                <w:color w:val="FF0000"/>
                <w:sz w:val="16"/>
              </w:rPr>
              <w:t>-</w:t>
            </w:r>
            <w:r w:rsidRPr="008401AB">
              <w:rPr>
                <w:b/>
                <w:color w:val="FF0000"/>
                <w:sz w:val="16"/>
              </w:rPr>
              <w:t>0.91%</w:t>
            </w:r>
          </w:p>
        </w:tc>
      </w:tr>
      <w:tr w:rsidR="00AA676C" w14:paraId="6A1FDDE8" w14:textId="77777777" w:rsidTr="00AA676C">
        <w:tc>
          <w:tcPr>
            <w:tcW w:w="1859" w:type="dxa"/>
            <w:vMerge/>
            <w:tcBorders>
              <w:left w:val="single" w:sz="4" w:space="0" w:color="auto"/>
              <w:bottom w:val="single" w:sz="4" w:space="0" w:color="auto"/>
              <w:right w:val="single" w:sz="4" w:space="0" w:color="auto"/>
            </w:tcBorders>
          </w:tcPr>
          <w:p w14:paraId="56B6B874" w14:textId="77777777" w:rsidR="00AA676C" w:rsidRPr="006209D4" w:rsidRDefault="00AA676C" w:rsidP="00C57CDD">
            <w:pPr>
              <w:pStyle w:val="List2"/>
              <w:numPr>
                <w:ilvl w:val="0"/>
                <w:numId w:val="0"/>
              </w:numPr>
              <w:rPr>
                <w:sz w:val="16"/>
              </w:rPr>
            </w:pPr>
          </w:p>
        </w:tc>
        <w:tc>
          <w:tcPr>
            <w:tcW w:w="1895" w:type="dxa"/>
            <w:tcBorders>
              <w:top w:val="single" w:sz="4" w:space="0" w:color="auto"/>
              <w:left w:val="single" w:sz="4" w:space="0" w:color="auto"/>
              <w:bottom w:val="single" w:sz="4" w:space="0" w:color="auto"/>
              <w:right w:val="single" w:sz="4" w:space="0" w:color="auto"/>
            </w:tcBorders>
          </w:tcPr>
          <w:p w14:paraId="3ACF2C68" w14:textId="77777777" w:rsidR="00AA676C" w:rsidRDefault="00AA676C" w:rsidP="00AA676C">
            <w:pPr>
              <w:pStyle w:val="List2"/>
              <w:numPr>
                <w:ilvl w:val="0"/>
                <w:numId w:val="0"/>
              </w:numPr>
              <w:jc w:val="center"/>
              <w:rPr>
                <w:sz w:val="16"/>
              </w:rPr>
            </w:pPr>
            <w:r w:rsidRPr="00AA676C">
              <w:rPr>
                <w:sz w:val="16"/>
              </w:rPr>
              <w:t xml:space="preserve">Difference from </w:t>
            </w:r>
            <w:r>
              <w:rPr>
                <w:sz w:val="16"/>
              </w:rPr>
              <w:t>February 2021</w:t>
            </w:r>
            <w:r w:rsidRPr="00AA676C">
              <w:rPr>
                <w:sz w:val="16"/>
              </w:rPr>
              <w:t xml:space="preserve"> to May 2021</w:t>
            </w:r>
          </w:p>
        </w:tc>
        <w:tc>
          <w:tcPr>
            <w:tcW w:w="2048" w:type="dxa"/>
            <w:tcBorders>
              <w:top w:val="single" w:sz="4" w:space="0" w:color="auto"/>
              <w:left w:val="single" w:sz="4" w:space="0" w:color="auto"/>
              <w:bottom w:val="single" w:sz="4" w:space="0" w:color="auto"/>
              <w:right w:val="single" w:sz="4" w:space="0" w:color="auto"/>
            </w:tcBorders>
          </w:tcPr>
          <w:p w14:paraId="38E76BB2" w14:textId="77777777" w:rsidR="00AA676C" w:rsidRPr="008401AB" w:rsidRDefault="00AA676C" w:rsidP="00C57CDD">
            <w:pPr>
              <w:pStyle w:val="List2"/>
              <w:numPr>
                <w:ilvl w:val="0"/>
                <w:numId w:val="0"/>
              </w:numPr>
              <w:jc w:val="center"/>
              <w:rPr>
                <w:b/>
                <w:color w:val="00B050"/>
                <w:sz w:val="16"/>
              </w:rPr>
            </w:pPr>
            <w:r>
              <w:rPr>
                <w:b/>
                <w:color w:val="00B050"/>
                <w:sz w:val="16"/>
              </w:rPr>
              <w:t>+0.06%</w:t>
            </w:r>
          </w:p>
        </w:tc>
        <w:tc>
          <w:tcPr>
            <w:tcW w:w="2059" w:type="dxa"/>
            <w:tcBorders>
              <w:top w:val="single" w:sz="4" w:space="0" w:color="auto"/>
              <w:left w:val="single" w:sz="4" w:space="0" w:color="auto"/>
              <w:bottom w:val="single" w:sz="4" w:space="0" w:color="auto"/>
              <w:right w:val="single" w:sz="4" w:space="0" w:color="auto"/>
            </w:tcBorders>
          </w:tcPr>
          <w:p w14:paraId="211B644E" w14:textId="77777777" w:rsidR="00AA676C" w:rsidRPr="008401AB" w:rsidRDefault="00AA676C" w:rsidP="008401AB">
            <w:pPr>
              <w:pStyle w:val="List2"/>
              <w:numPr>
                <w:ilvl w:val="0"/>
                <w:numId w:val="0"/>
              </w:numPr>
              <w:ind w:left="720"/>
              <w:rPr>
                <w:b/>
                <w:color w:val="FF0000"/>
                <w:sz w:val="16"/>
              </w:rPr>
            </w:pPr>
            <w:r>
              <w:rPr>
                <w:b/>
                <w:color w:val="FF0000"/>
                <w:sz w:val="16"/>
              </w:rPr>
              <w:t>-0.09%</w:t>
            </w:r>
          </w:p>
        </w:tc>
        <w:tc>
          <w:tcPr>
            <w:tcW w:w="1995" w:type="dxa"/>
            <w:tcBorders>
              <w:top w:val="single" w:sz="4" w:space="0" w:color="auto"/>
              <w:left w:val="single" w:sz="4" w:space="0" w:color="auto"/>
              <w:bottom w:val="single" w:sz="4" w:space="0" w:color="auto"/>
              <w:right w:val="single" w:sz="4" w:space="0" w:color="auto"/>
            </w:tcBorders>
          </w:tcPr>
          <w:p w14:paraId="32E3D99B" w14:textId="77777777" w:rsidR="00AA676C" w:rsidRDefault="00AA676C" w:rsidP="00C57CDD">
            <w:pPr>
              <w:pStyle w:val="List2"/>
              <w:numPr>
                <w:ilvl w:val="0"/>
                <w:numId w:val="0"/>
              </w:numPr>
              <w:jc w:val="center"/>
              <w:rPr>
                <w:b/>
                <w:color w:val="FF0000"/>
                <w:sz w:val="16"/>
              </w:rPr>
            </w:pPr>
            <w:r>
              <w:rPr>
                <w:b/>
                <w:color w:val="00B050"/>
                <w:sz w:val="16"/>
              </w:rPr>
              <w:t>+0.06%</w:t>
            </w:r>
          </w:p>
        </w:tc>
      </w:tr>
      <w:tr w:rsidR="00CC3CA7" w14:paraId="40F515CA" w14:textId="77777777" w:rsidTr="002248DB">
        <w:tc>
          <w:tcPr>
            <w:tcW w:w="1859" w:type="dxa"/>
            <w:vMerge w:val="restart"/>
            <w:tcBorders>
              <w:top w:val="single" w:sz="4" w:space="0" w:color="auto"/>
              <w:left w:val="single" w:sz="4" w:space="0" w:color="auto"/>
              <w:bottom w:val="single" w:sz="4" w:space="0" w:color="auto"/>
              <w:right w:val="single" w:sz="4" w:space="0" w:color="auto"/>
            </w:tcBorders>
          </w:tcPr>
          <w:p w14:paraId="6390FBE0" w14:textId="77777777" w:rsidR="00CC3CA7" w:rsidRPr="006209D4" w:rsidRDefault="00CC3CA7" w:rsidP="00C57CDD">
            <w:pPr>
              <w:pStyle w:val="List2"/>
              <w:numPr>
                <w:ilvl w:val="0"/>
                <w:numId w:val="0"/>
              </w:numPr>
              <w:rPr>
                <w:sz w:val="16"/>
              </w:rPr>
            </w:pPr>
            <w:r w:rsidRPr="006209D4">
              <w:rPr>
                <w:sz w:val="16"/>
              </w:rPr>
              <w:t>Volume of non-compliant estimation</w:t>
            </w:r>
          </w:p>
        </w:tc>
        <w:tc>
          <w:tcPr>
            <w:tcW w:w="1895" w:type="dxa"/>
            <w:tcBorders>
              <w:top w:val="single" w:sz="4" w:space="0" w:color="auto"/>
              <w:left w:val="single" w:sz="4" w:space="0" w:color="auto"/>
              <w:bottom w:val="single" w:sz="4" w:space="0" w:color="auto"/>
              <w:right w:val="single" w:sz="4" w:space="0" w:color="auto"/>
            </w:tcBorders>
            <w:vAlign w:val="top"/>
          </w:tcPr>
          <w:p w14:paraId="4C1B9E1C" w14:textId="77777777" w:rsidR="00CC3CA7" w:rsidRPr="006209D4" w:rsidRDefault="00CC3CA7" w:rsidP="00C57CDD">
            <w:pPr>
              <w:pStyle w:val="List2"/>
              <w:numPr>
                <w:ilvl w:val="0"/>
                <w:numId w:val="0"/>
              </w:numPr>
              <w:jc w:val="center"/>
              <w:rPr>
                <w:sz w:val="16"/>
              </w:rPr>
            </w:pPr>
            <w:r w:rsidRPr="006209D4">
              <w:rPr>
                <w:sz w:val="16"/>
              </w:rPr>
              <w:t>September 2020</w:t>
            </w:r>
          </w:p>
        </w:tc>
        <w:tc>
          <w:tcPr>
            <w:tcW w:w="2048" w:type="dxa"/>
            <w:tcBorders>
              <w:top w:val="single" w:sz="4" w:space="0" w:color="auto"/>
              <w:left w:val="single" w:sz="4" w:space="0" w:color="auto"/>
              <w:bottom w:val="single" w:sz="4" w:space="0" w:color="auto"/>
              <w:right w:val="single" w:sz="4" w:space="0" w:color="auto"/>
            </w:tcBorders>
          </w:tcPr>
          <w:p w14:paraId="5A8D7AED" w14:textId="77777777" w:rsidR="00CC3CA7" w:rsidRPr="006209D4" w:rsidRDefault="00CC3CA7" w:rsidP="00C57CDD">
            <w:pPr>
              <w:pStyle w:val="List2"/>
              <w:numPr>
                <w:ilvl w:val="0"/>
                <w:numId w:val="0"/>
              </w:numPr>
              <w:jc w:val="center"/>
              <w:rPr>
                <w:sz w:val="16"/>
              </w:rPr>
            </w:pPr>
            <w:r w:rsidRPr="006209D4">
              <w:rPr>
                <w:sz w:val="16"/>
              </w:rPr>
              <w:t>94,423MWh</w:t>
            </w:r>
          </w:p>
        </w:tc>
        <w:tc>
          <w:tcPr>
            <w:tcW w:w="2059" w:type="dxa"/>
            <w:tcBorders>
              <w:top w:val="single" w:sz="4" w:space="0" w:color="auto"/>
              <w:left w:val="single" w:sz="4" w:space="0" w:color="auto"/>
              <w:bottom w:val="single" w:sz="4" w:space="0" w:color="auto"/>
              <w:right w:val="single" w:sz="4" w:space="0" w:color="auto"/>
            </w:tcBorders>
          </w:tcPr>
          <w:p w14:paraId="00B1BF60" w14:textId="77777777" w:rsidR="00CC3CA7" w:rsidRPr="006209D4" w:rsidRDefault="00CC3CA7" w:rsidP="00C57CDD">
            <w:pPr>
              <w:pStyle w:val="List2"/>
              <w:numPr>
                <w:ilvl w:val="0"/>
                <w:numId w:val="0"/>
              </w:numPr>
              <w:jc w:val="center"/>
              <w:rPr>
                <w:sz w:val="16"/>
              </w:rPr>
            </w:pPr>
            <w:r w:rsidRPr="006209D4">
              <w:rPr>
                <w:sz w:val="16"/>
              </w:rPr>
              <w:t>36,821MWh</w:t>
            </w:r>
          </w:p>
        </w:tc>
        <w:tc>
          <w:tcPr>
            <w:tcW w:w="1995" w:type="dxa"/>
            <w:tcBorders>
              <w:top w:val="single" w:sz="4" w:space="0" w:color="auto"/>
              <w:left w:val="single" w:sz="4" w:space="0" w:color="auto"/>
              <w:bottom w:val="single" w:sz="4" w:space="0" w:color="auto"/>
              <w:right w:val="single" w:sz="4" w:space="0" w:color="auto"/>
            </w:tcBorders>
          </w:tcPr>
          <w:p w14:paraId="3E078138" w14:textId="77777777" w:rsidR="00CC3CA7" w:rsidRPr="006209D4" w:rsidRDefault="00CC3CA7" w:rsidP="00C57CDD">
            <w:pPr>
              <w:pStyle w:val="List2"/>
              <w:numPr>
                <w:ilvl w:val="0"/>
                <w:numId w:val="0"/>
              </w:numPr>
              <w:jc w:val="center"/>
              <w:rPr>
                <w:sz w:val="16"/>
              </w:rPr>
            </w:pPr>
            <w:r w:rsidRPr="006209D4">
              <w:rPr>
                <w:sz w:val="16"/>
              </w:rPr>
              <w:t>113,281MWh</w:t>
            </w:r>
          </w:p>
        </w:tc>
      </w:tr>
      <w:tr w:rsidR="00CC3CA7" w14:paraId="52D23B4A" w14:textId="77777777" w:rsidTr="002248DB">
        <w:tc>
          <w:tcPr>
            <w:tcW w:w="1859" w:type="dxa"/>
            <w:vMerge/>
            <w:tcBorders>
              <w:top w:val="single" w:sz="4" w:space="0" w:color="auto"/>
              <w:left w:val="single" w:sz="4" w:space="0" w:color="auto"/>
              <w:bottom w:val="single" w:sz="4" w:space="0" w:color="auto"/>
              <w:right w:val="single" w:sz="4" w:space="0" w:color="auto"/>
            </w:tcBorders>
          </w:tcPr>
          <w:p w14:paraId="1551C086" w14:textId="77777777" w:rsidR="00CC3CA7" w:rsidRPr="006209D4" w:rsidRDefault="00CC3CA7" w:rsidP="00C57CDD">
            <w:pPr>
              <w:pStyle w:val="List2"/>
              <w:numPr>
                <w:ilvl w:val="0"/>
                <w:numId w:val="0"/>
              </w:numPr>
              <w:rPr>
                <w:sz w:val="16"/>
              </w:rPr>
            </w:pPr>
          </w:p>
        </w:tc>
        <w:tc>
          <w:tcPr>
            <w:tcW w:w="1895" w:type="dxa"/>
            <w:tcBorders>
              <w:top w:val="single" w:sz="4" w:space="0" w:color="auto"/>
              <w:left w:val="single" w:sz="4" w:space="0" w:color="auto"/>
              <w:bottom w:val="single" w:sz="4" w:space="0" w:color="auto"/>
              <w:right w:val="single" w:sz="4" w:space="0" w:color="auto"/>
            </w:tcBorders>
            <w:vAlign w:val="top"/>
          </w:tcPr>
          <w:p w14:paraId="7C539BDC" w14:textId="77777777" w:rsidR="00CC3CA7" w:rsidRPr="006209D4" w:rsidRDefault="00CC3CA7" w:rsidP="00C57CDD">
            <w:pPr>
              <w:pStyle w:val="List2"/>
              <w:numPr>
                <w:ilvl w:val="0"/>
                <w:numId w:val="0"/>
              </w:numPr>
              <w:jc w:val="center"/>
              <w:rPr>
                <w:sz w:val="16"/>
              </w:rPr>
            </w:pPr>
            <w:r w:rsidRPr="006209D4">
              <w:rPr>
                <w:sz w:val="16"/>
              </w:rPr>
              <w:t>February 2021</w:t>
            </w:r>
          </w:p>
        </w:tc>
        <w:tc>
          <w:tcPr>
            <w:tcW w:w="2048" w:type="dxa"/>
            <w:tcBorders>
              <w:top w:val="single" w:sz="4" w:space="0" w:color="auto"/>
              <w:left w:val="single" w:sz="4" w:space="0" w:color="auto"/>
              <w:bottom w:val="single" w:sz="4" w:space="0" w:color="auto"/>
              <w:right w:val="single" w:sz="4" w:space="0" w:color="auto"/>
            </w:tcBorders>
          </w:tcPr>
          <w:p w14:paraId="2E8F3631" w14:textId="77777777" w:rsidR="00CC3CA7" w:rsidRPr="006209D4" w:rsidRDefault="00CC3CA7" w:rsidP="00C57CDD">
            <w:pPr>
              <w:pStyle w:val="List2"/>
              <w:numPr>
                <w:ilvl w:val="0"/>
                <w:numId w:val="0"/>
              </w:numPr>
              <w:jc w:val="center"/>
              <w:rPr>
                <w:sz w:val="16"/>
              </w:rPr>
            </w:pPr>
            <w:r w:rsidRPr="006209D4">
              <w:rPr>
                <w:sz w:val="16"/>
              </w:rPr>
              <w:t>90,233MWh</w:t>
            </w:r>
          </w:p>
        </w:tc>
        <w:tc>
          <w:tcPr>
            <w:tcW w:w="2059" w:type="dxa"/>
            <w:tcBorders>
              <w:top w:val="single" w:sz="4" w:space="0" w:color="auto"/>
              <w:left w:val="single" w:sz="4" w:space="0" w:color="auto"/>
              <w:bottom w:val="single" w:sz="4" w:space="0" w:color="auto"/>
              <w:right w:val="single" w:sz="4" w:space="0" w:color="auto"/>
            </w:tcBorders>
          </w:tcPr>
          <w:p w14:paraId="471EC599" w14:textId="77777777" w:rsidR="00CC3CA7" w:rsidRPr="006209D4" w:rsidRDefault="00CC3CA7" w:rsidP="00C57CDD">
            <w:pPr>
              <w:pStyle w:val="List2"/>
              <w:numPr>
                <w:ilvl w:val="0"/>
                <w:numId w:val="0"/>
              </w:numPr>
              <w:jc w:val="center"/>
              <w:rPr>
                <w:sz w:val="16"/>
              </w:rPr>
            </w:pPr>
            <w:r w:rsidRPr="006209D4">
              <w:rPr>
                <w:sz w:val="16"/>
              </w:rPr>
              <w:t>42,642MWh</w:t>
            </w:r>
          </w:p>
        </w:tc>
        <w:tc>
          <w:tcPr>
            <w:tcW w:w="1995" w:type="dxa"/>
            <w:tcBorders>
              <w:top w:val="single" w:sz="4" w:space="0" w:color="auto"/>
              <w:left w:val="single" w:sz="4" w:space="0" w:color="auto"/>
              <w:bottom w:val="single" w:sz="4" w:space="0" w:color="auto"/>
              <w:right w:val="single" w:sz="4" w:space="0" w:color="auto"/>
            </w:tcBorders>
          </w:tcPr>
          <w:p w14:paraId="028F6995" w14:textId="77777777" w:rsidR="00CC3CA7" w:rsidRPr="006209D4" w:rsidRDefault="00CC3CA7" w:rsidP="00C57CDD">
            <w:pPr>
              <w:pStyle w:val="List2"/>
              <w:numPr>
                <w:ilvl w:val="0"/>
                <w:numId w:val="0"/>
              </w:numPr>
              <w:jc w:val="center"/>
              <w:rPr>
                <w:sz w:val="16"/>
              </w:rPr>
            </w:pPr>
            <w:r w:rsidRPr="006209D4">
              <w:rPr>
                <w:sz w:val="16"/>
              </w:rPr>
              <w:t>258, 509MWh</w:t>
            </w:r>
          </w:p>
        </w:tc>
      </w:tr>
      <w:tr w:rsidR="00CC3CA7" w14:paraId="65E3B7F0" w14:textId="77777777" w:rsidTr="002248DB">
        <w:tc>
          <w:tcPr>
            <w:tcW w:w="1859" w:type="dxa"/>
            <w:vMerge/>
            <w:tcBorders>
              <w:top w:val="single" w:sz="4" w:space="0" w:color="auto"/>
              <w:left w:val="single" w:sz="4" w:space="0" w:color="auto"/>
              <w:bottom w:val="single" w:sz="4" w:space="0" w:color="auto"/>
              <w:right w:val="single" w:sz="4" w:space="0" w:color="auto"/>
            </w:tcBorders>
          </w:tcPr>
          <w:p w14:paraId="66396EA2" w14:textId="77777777" w:rsidR="00CC3CA7" w:rsidRPr="006209D4" w:rsidRDefault="00CC3CA7" w:rsidP="00C57CDD">
            <w:pPr>
              <w:pStyle w:val="List2"/>
              <w:numPr>
                <w:ilvl w:val="0"/>
                <w:numId w:val="0"/>
              </w:numPr>
              <w:rPr>
                <w:sz w:val="16"/>
              </w:rPr>
            </w:pPr>
          </w:p>
        </w:tc>
        <w:tc>
          <w:tcPr>
            <w:tcW w:w="1895" w:type="dxa"/>
            <w:tcBorders>
              <w:top w:val="single" w:sz="4" w:space="0" w:color="auto"/>
              <w:left w:val="single" w:sz="4" w:space="0" w:color="auto"/>
              <w:bottom w:val="single" w:sz="4" w:space="0" w:color="auto"/>
              <w:right w:val="single" w:sz="4" w:space="0" w:color="auto"/>
            </w:tcBorders>
            <w:vAlign w:val="top"/>
          </w:tcPr>
          <w:p w14:paraId="44562B25" w14:textId="77777777" w:rsidR="00CC3CA7" w:rsidRPr="006209D4" w:rsidRDefault="00CC3CA7" w:rsidP="00C57CDD">
            <w:pPr>
              <w:pStyle w:val="List2"/>
              <w:numPr>
                <w:ilvl w:val="0"/>
                <w:numId w:val="0"/>
              </w:numPr>
              <w:jc w:val="center"/>
              <w:rPr>
                <w:sz w:val="16"/>
              </w:rPr>
            </w:pPr>
            <w:r>
              <w:rPr>
                <w:sz w:val="16"/>
              </w:rPr>
              <w:t>May 2021</w:t>
            </w:r>
          </w:p>
        </w:tc>
        <w:tc>
          <w:tcPr>
            <w:tcW w:w="2048" w:type="dxa"/>
            <w:tcBorders>
              <w:top w:val="single" w:sz="4" w:space="0" w:color="auto"/>
              <w:left w:val="single" w:sz="4" w:space="0" w:color="auto"/>
              <w:bottom w:val="single" w:sz="4" w:space="0" w:color="auto"/>
              <w:right w:val="single" w:sz="4" w:space="0" w:color="auto"/>
            </w:tcBorders>
          </w:tcPr>
          <w:p w14:paraId="38C212AB" w14:textId="77777777" w:rsidR="00CC3CA7" w:rsidRPr="006209D4" w:rsidRDefault="00FB3A9A" w:rsidP="00C57CDD">
            <w:pPr>
              <w:pStyle w:val="List2"/>
              <w:numPr>
                <w:ilvl w:val="0"/>
                <w:numId w:val="0"/>
              </w:numPr>
              <w:jc w:val="center"/>
              <w:rPr>
                <w:sz w:val="16"/>
              </w:rPr>
            </w:pPr>
            <w:r>
              <w:rPr>
                <w:sz w:val="16"/>
              </w:rPr>
              <w:t>78,668MWh</w:t>
            </w:r>
          </w:p>
        </w:tc>
        <w:tc>
          <w:tcPr>
            <w:tcW w:w="2059" w:type="dxa"/>
            <w:tcBorders>
              <w:top w:val="single" w:sz="4" w:space="0" w:color="auto"/>
              <w:left w:val="single" w:sz="4" w:space="0" w:color="auto"/>
              <w:bottom w:val="single" w:sz="4" w:space="0" w:color="auto"/>
              <w:right w:val="single" w:sz="4" w:space="0" w:color="auto"/>
            </w:tcBorders>
          </w:tcPr>
          <w:p w14:paraId="0852F700" w14:textId="77777777" w:rsidR="00CC3CA7" w:rsidRPr="006209D4" w:rsidRDefault="00FB3A9A" w:rsidP="00C57CDD">
            <w:pPr>
              <w:pStyle w:val="List2"/>
              <w:numPr>
                <w:ilvl w:val="0"/>
                <w:numId w:val="0"/>
              </w:numPr>
              <w:jc w:val="center"/>
              <w:rPr>
                <w:sz w:val="16"/>
              </w:rPr>
            </w:pPr>
            <w:r>
              <w:rPr>
                <w:sz w:val="16"/>
              </w:rPr>
              <w:t>41,720MWh</w:t>
            </w:r>
          </w:p>
        </w:tc>
        <w:tc>
          <w:tcPr>
            <w:tcW w:w="1995" w:type="dxa"/>
            <w:tcBorders>
              <w:top w:val="single" w:sz="4" w:space="0" w:color="auto"/>
              <w:left w:val="single" w:sz="4" w:space="0" w:color="auto"/>
              <w:bottom w:val="single" w:sz="4" w:space="0" w:color="auto"/>
              <w:right w:val="single" w:sz="4" w:space="0" w:color="auto"/>
            </w:tcBorders>
          </w:tcPr>
          <w:p w14:paraId="71DA7C69" w14:textId="77777777" w:rsidR="00CC3CA7" w:rsidRPr="006209D4" w:rsidRDefault="00FB3A9A" w:rsidP="00C57CDD">
            <w:pPr>
              <w:pStyle w:val="List2"/>
              <w:numPr>
                <w:ilvl w:val="0"/>
                <w:numId w:val="0"/>
              </w:numPr>
              <w:jc w:val="center"/>
              <w:rPr>
                <w:sz w:val="16"/>
              </w:rPr>
            </w:pPr>
            <w:r>
              <w:rPr>
                <w:sz w:val="16"/>
              </w:rPr>
              <w:t>241,532MWh</w:t>
            </w:r>
          </w:p>
        </w:tc>
      </w:tr>
      <w:tr w:rsidR="00901CBC" w14:paraId="6FEF2784" w14:textId="77777777" w:rsidTr="002248DB">
        <w:trPr>
          <w:trHeight w:val="426"/>
        </w:trPr>
        <w:tc>
          <w:tcPr>
            <w:tcW w:w="1859" w:type="dxa"/>
            <w:vMerge w:val="restart"/>
            <w:tcBorders>
              <w:top w:val="single" w:sz="4" w:space="0" w:color="auto"/>
              <w:left w:val="single" w:sz="4" w:space="0" w:color="auto"/>
              <w:bottom w:val="single" w:sz="4" w:space="0" w:color="auto"/>
              <w:right w:val="single" w:sz="4" w:space="0" w:color="auto"/>
            </w:tcBorders>
          </w:tcPr>
          <w:p w14:paraId="6C144C53" w14:textId="77777777" w:rsidR="00901CBC" w:rsidRPr="006209D4" w:rsidRDefault="00901CBC" w:rsidP="00C57CDD">
            <w:pPr>
              <w:pStyle w:val="List2"/>
              <w:numPr>
                <w:ilvl w:val="0"/>
                <w:numId w:val="0"/>
              </w:numPr>
              <w:rPr>
                <w:sz w:val="16"/>
              </w:rPr>
            </w:pPr>
            <w:r>
              <w:rPr>
                <w:sz w:val="16"/>
              </w:rPr>
              <w:t>Total volume of energy</w:t>
            </w:r>
          </w:p>
        </w:tc>
        <w:tc>
          <w:tcPr>
            <w:tcW w:w="1895" w:type="dxa"/>
            <w:tcBorders>
              <w:top w:val="single" w:sz="4" w:space="0" w:color="auto"/>
              <w:left w:val="single" w:sz="4" w:space="0" w:color="auto"/>
              <w:bottom w:val="single" w:sz="4" w:space="0" w:color="auto"/>
              <w:right w:val="single" w:sz="4" w:space="0" w:color="auto"/>
            </w:tcBorders>
            <w:vAlign w:val="top"/>
          </w:tcPr>
          <w:p w14:paraId="61C0F9B2" w14:textId="77777777" w:rsidR="00901CBC" w:rsidRPr="006209D4" w:rsidRDefault="00901CBC" w:rsidP="00C57CDD">
            <w:pPr>
              <w:pStyle w:val="List2"/>
              <w:numPr>
                <w:ilvl w:val="0"/>
                <w:numId w:val="0"/>
              </w:numPr>
              <w:jc w:val="center"/>
              <w:rPr>
                <w:sz w:val="16"/>
              </w:rPr>
            </w:pPr>
            <w:r w:rsidRPr="006209D4">
              <w:rPr>
                <w:sz w:val="16"/>
              </w:rPr>
              <w:t>September 2020</w:t>
            </w:r>
          </w:p>
        </w:tc>
        <w:tc>
          <w:tcPr>
            <w:tcW w:w="2048" w:type="dxa"/>
            <w:tcBorders>
              <w:top w:val="single" w:sz="4" w:space="0" w:color="auto"/>
              <w:left w:val="single" w:sz="4" w:space="0" w:color="auto"/>
              <w:bottom w:val="single" w:sz="4" w:space="0" w:color="auto"/>
              <w:right w:val="single" w:sz="4" w:space="0" w:color="auto"/>
            </w:tcBorders>
          </w:tcPr>
          <w:p w14:paraId="43381115" w14:textId="77777777" w:rsidR="00901CBC" w:rsidRPr="006209D4" w:rsidRDefault="00901CBC" w:rsidP="00C57CDD">
            <w:pPr>
              <w:pStyle w:val="List2"/>
              <w:numPr>
                <w:ilvl w:val="0"/>
                <w:numId w:val="0"/>
              </w:numPr>
              <w:jc w:val="center"/>
              <w:rPr>
                <w:sz w:val="16"/>
              </w:rPr>
            </w:pPr>
            <w:r>
              <w:rPr>
                <w:sz w:val="16"/>
              </w:rPr>
              <w:t>8,162,367</w:t>
            </w:r>
            <w:r w:rsidR="00750911">
              <w:rPr>
                <w:sz w:val="16"/>
              </w:rPr>
              <w:t>MWh</w:t>
            </w:r>
          </w:p>
        </w:tc>
        <w:tc>
          <w:tcPr>
            <w:tcW w:w="2059" w:type="dxa"/>
            <w:tcBorders>
              <w:top w:val="single" w:sz="4" w:space="0" w:color="auto"/>
              <w:left w:val="single" w:sz="4" w:space="0" w:color="auto"/>
              <w:bottom w:val="single" w:sz="4" w:space="0" w:color="auto"/>
              <w:right w:val="single" w:sz="4" w:space="0" w:color="auto"/>
            </w:tcBorders>
          </w:tcPr>
          <w:p w14:paraId="58F4304A" w14:textId="77777777" w:rsidR="00901CBC" w:rsidRPr="006209D4" w:rsidRDefault="00955DB6" w:rsidP="00C57CDD">
            <w:pPr>
              <w:pStyle w:val="List2"/>
              <w:numPr>
                <w:ilvl w:val="0"/>
                <w:numId w:val="0"/>
              </w:numPr>
              <w:jc w:val="center"/>
              <w:rPr>
                <w:sz w:val="16"/>
              </w:rPr>
            </w:pPr>
            <w:r w:rsidRPr="00955DB6">
              <w:rPr>
                <w:sz w:val="16"/>
              </w:rPr>
              <w:t>771,757MWh</w:t>
            </w:r>
          </w:p>
        </w:tc>
        <w:tc>
          <w:tcPr>
            <w:tcW w:w="1995" w:type="dxa"/>
            <w:tcBorders>
              <w:top w:val="single" w:sz="4" w:space="0" w:color="auto"/>
              <w:left w:val="single" w:sz="4" w:space="0" w:color="auto"/>
              <w:bottom w:val="single" w:sz="4" w:space="0" w:color="auto"/>
              <w:right w:val="single" w:sz="4" w:space="0" w:color="auto"/>
            </w:tcBorders>
          </w:tcPr>
          <w:p w14:paraId="2AED62AC" w14:textId="77777777" w:rsidR="00901CBC" w:rsidRPr="006209D4" w:rsidRDefault="00955DB6" w:rsidP="00C57CDD">
            <w:pPr>
              <w:pStyle w:val="List2"/>
              <w:numPr>
                <w:ilvl w:val="0"/>
                <w:numId w:val="0"/>
              </w:numPr>
              <w:jc w:val="center"/>
              <w:rPr>
                <w:sz w:val="16"/>
              </w:rPr>
            </w:pPr>
            <w:r>
              <w:rPr>
                <w:sz w:val="16"/>
              </w:rPr>
              <w:t>9,092,129MWh</w:t>
            </w:r>
          </w:p>
        </w:tc>
      </w:tr>
      <w:tr w:rsidR="00901CBC" w14:paraId="43FA9AF4" w14:textId="77777777" w:rsidTr="002248DB">
        <w:tc>
          <w:tcPr>
            <w:tcW w:w="1859" w:type="dxa"/>
            <w:vMerge/>
            <w:tcBorders>
              <w:top w:val="single" w:sz="4" w:space="0" w:color="auto"/>
              <w:left w:val="single" w:sz="4" w:space="0" w:color="auto"/>
              <w:bottom w:val="single" w:sz="4" w:space="0" w:color="auto"/>
              <w:right w:val="single" w:sz="4" w:space="0" w:color="auto"/>
            </w:tcBorders>
          </w:tcPr>
          <w:p w14:paraId="44CBD449" w14:textId="77777777" w:rsidR="00901CBC" w:rsidRPr="006209D4" w:rsidRDefault="00901CBC" w:rsidP="00C57CDD">
            <w:pPr>
              <w:pStyle w:val="List2"/>
              <w:numPr>
                <w:ilvl w:val="0"/>
                <w:numId w:val="0"/>
              </w:numPr>
              <w:rPr>
                <w:sz w:val="16"/>
              </w:rPr>
            </w:pPr>
          </w:p>
        </w:tc>
        <w:tc>
          <w:tcPr>
            <w:tcW w:w="1895" w:type="dxa"/>
            <w:tcBorders>
              <w:top w:val="single" w:sz="4" w:space="0" w:color="auto"/>
              <w:left w:val="single" w:sz="4" w:space="0" w:color="auto"/>
              <w:bottom w:val="single" w:sz="4" w:space="0" w:color="auto"/>
              <w:right w:val="single" w:sz="4" w:space="0" w:color="auto"/>
            </w:tcBorders>
            <w:vAlign w:val="top"/>
          </w:tcPr>
          <w:p w14:paraId="5A9BCC8F" w14:textId="77777777" w:rsidR="00901CBC" w:rsidRPr="006209D4" w:rsidRDefault="00901CBC" w:rsidP="00C57CDD">
            <w:pPr>
              <w:pStyle w:val="List2"/>
              <w:numPr>
                <w:ilvl w:val="0"/>
                <w:numId w:val="0"/>
              </w:numPr>
              <w:jc w:val="center"/>
              <w:rPr>
                <w:sz w:val="16"/>
              </w:rPr>
            </w:pPr>
            <w:r w:rsidRPr="006209D4">
              <w:rPr>
                <w:sz w:val="16"/>
              </w:rPr>
              <w:t>February 2021</w:t>
            </w:r>
          </w:p>
        </w:tc>
        <w:tc>
          <w:tcPr>
            <w:tcW w:w="2048" w:type="dxa"/>
            <w:tcBorders>
              <w:top w:val="single" w:sz="4" w:space="0" w:color="auto"/>
              <w:left w:val="single" w:sz="4" w:space="0" w:color="auto"/>
              <w:bottom w:val="single" w:sz="4" w:space="0" w:color="auto"/>
              <w:right w:val="single" w:sz="4" w:space="0" w:color="auto"/>
            </w:tcBorders>
          </w:tcPr>
          <w:p w14:paraId="26037433" w14:textId="77777777" w:rsidR="00901CBC" w:rsidRPr="006209D4" w:rsidRDefault="00750911" w:rsidP="00C57CDD">
            <w:pPr>
              <w:pStyle w:val="List2"/>
              <w:numPr>
                <w:ilvl w:val="0"/>
                <w:numId w:val="0"/>
              </w:numPr>
              <w:jc w:val="center"/>
              <w:rPr>
                <w:sz w:val="16"/>
              </w:rPr>
            </w:pPr>
            <w:r>
              <w:rPr>
                <w:sz w:val="16"/>
              </w:rPr>
              <w:t>9,169,976MWh</w:t>
            </w:r>
          </w:p>
        </w:tc>
        <w:tc>
          <w:tcPr>
            <w:tcW w:w="2059" w:type="dxa"/>
            <w:tcBorders>
              <w:top w:val="single" w:sz="4" w:space="0" w:color="auto"/>
              <w:left w:val="single" w:sz="4" w:space="0" w:color="auto"/>
              <w:bottom w:val="single" w:sz="4" w:space="0" w:color="auto"/>
              <w:right w:val="single" w:sz="4" w:space="0" w:color="auto"/>
            </w:tcBorders>
          </w:tcPr>
          <w:p w14:paraId="6D8D91BB" w14:textId="77777777" w:rsidR="00901CBC" w:rsidRPr="006209D4" w:rsidRDefault="00750911" w:rsidP="00C57CDD">
            <w:pPr>
              <w:pStyle w:val="List2"/>
              <w:numPr>
                <w:ilvl w:val="0"/>
                <w:numId w:val="0"/>
              </w:numPr>
              <w:jc w:val="center"/>
              <w:rPr>
                <w:sz w:val="16"/>
              </w:rPr>
            </w:pPr>
            <w:r>
              <w:rPr>
                <w:sz w:val="16"/>
              </w:rPr>
              <w:t>986,276MWh</w:t>
            </w:r>
          </w:p>
        </w:tc>
        <w:tc>
          <w:tcPr>
            <w:tcW w:w="1995" w:type="dxa"/>
            <w:tcBorders>
              <w:top w:val="single" w:sz="4" w:space="0" w:color="auto"/>
              <w:left w:val="single" w:sz="4" w:space="0" w:color="auto"/>
              <w:bottom w:val="single" w:sz="4" w:space="0" w:color="auto"/>
              <w:right w:val="single" w:sz="4" w:space="0" w:color="auto"/>
            </w:tcBorders>
          </w:tcPr>
          <w:p w14:paraId="6B1C9E87" w14:textId="77777777" w:rsidR="00901CBC" w:rsidRPr="006209D4" w:rsidRDefault="00955DB6" w:rsidP="00C57CDD">
            <w:pPr>
              <w:pStyle w:val="List2"/>
              <w:numPr>
                <w:ilvl w:val="0"/>
                <w:numId w:val="0"/>
              </w:numPr>
              <w:jc w:val="center"/>
              <w:rPr>
                <w:sz w:val="16"/>
              </w:rPr>
            </w:pPr>
            <w:r>
              <w:rPr>
                <w:sz w:val="16"/>
              </w:rPr>
              <w:t>12,964,989MWh</w:t>
            </w:r>
          </w:p>
        </w:tc>
      </w:tr>
      <w:tr w:rsidR="00901CBC" w14:paraId="534257EF" w14:textId="77777777" w:rsidTr="002248DB">
        <w:tc>
          <w:tcPr>
            <w:tcW w:w="1859" w:type="dxa"/>
            <w:vMerge/>
            <w:tcBorders>
              <w:top w:val="single" w:sz="4" w:space="0" w:color="auto"/>
              <w:left w:val="single" w:sz="4" w:space="0" w:color="auto"/>
              <w:bottom w:val="single" w:sz="4" w:space="0" w:color="auto"/>
              <w:right w:val="single" w:sz="4" w:space="0" w:color="auto"/>
            </w:tcBorders>
          </w:tcPr>
          <w:p w14:paraId="00174A80" w14:textId="77777777" w:rsidR="00901CBC" w:rsidRPr="006209D4" w:rsidRDefault="00901CBC" w:rsidP="00C57CDD">
            <w:pPr>
              <w:pStyle w:val="List2"/>
              <w:numPr>
                <w:ilvl w:val="0"/>
                <w:numId w:val="0"/>
              </w:numPr>
              <w:rPr>
                <w:sz w:val="16"/>
              </w:rPr>
            </w:pPr>
          </w:p>
        </w:tc>
        <w:tc>
          <w:tcPr>
            <w:tcW w:w="1895" w:type="dxa"/>
            <w:tcBorders>
              <w:top w:val="single" w:sz="4" w:space="0" w:color="auto"/>
              <w:left w:val="single" w:sz="4" w:space="0" w:color="auto"/>
              <w:bottom w:val="single" w:sz="4" w:space="0" w:color="auto"/>
              <w:right w:val="single" w:sz="4" w:space="0" w:color="auto"/>
            </w:tcBorders>
            <w:vAlign w:val="top"/>
          </w:tcPr>
          <w:p w14:paraId="1891CB65" w14:textId="77777777" w:rsidR="00901CBC" w:rsidRPr="006209D4" w:rsidRDefault="00901CBC" w:rsidP="00C57CDD">
            <w:pPr>
              <w:pStyle w:val="List2"/>
              <w:numPr>
                <w:ilvl w:val="0"/>
                <w:numId w:val="0"/>
              </w:numPr>
              <w:jc w:val="center"/>
              <w:rPr>
                <w:sz w:val="16"/>
              </w:rPr>
            </w:pPr>
            <w:r>
              <w:rPr>
                <w:sz w:val="16"/>
              </w:rPr>
              <w:t>May 2021</w:t>
            </w:r>
          </w:p>
        </w:tc>
        <w:tc>
          <w:tcPr>
            <w:tcW w:w="2048" w:type="dxa"/>
            <w:tcBorders>
              <w:top w:val="single" w:sz="4" w:space="0" w:color="auto"/>
              <w:left w:val="single" w:sz="4" w:space="0" w:color="auto"/>
              <w:bottom w:val="single" w:sz="4" w:space="0" w:color="auto"/>
              <w:right w:val="single" w:sz="4" w:space="0" w:color="auto"/>
            </w:tcBorders>
          </w:tcPr>
          <w:p w14:paraId="2C34B2B1" w14:textId="77777777" w:rsidR="00901CBC" w:rsidRPr="006209D4" w:rsidRDefault="00750911" w:rsidP="00C57CDD">
            <w:pPr>
              <w:pStyle w:val="List2"/>
              <w:numPr>
                <w:ilvl w:val="0"/>
                <w:numId w:val="0"/>
              </w:numPr>
              <w:jc w:val="center"/>
              <w:rPr>
                <w:sz w:val="16"/>
              </w:rPr>
            </w:pPr>
            <w:r>
              <w:rPr>
                <w:sz w:val="16"/>
              </w:rPr>
              <w:t>8,562,925MWh</w:t>
            </w:r>
          </w:p>
        </w:tc>
        <w:tc>
          <w:tcPr>
            <w:tcW w:w="2059" w:type="dxa"/>
            <w:tcBorders>
              <w:top w:val="single" w:sz="4" w:space="0" w:color="auto"/>
              <w:left w:val="single" w:sz="4" w:space="0" w:color="auto"/>
              <w:bottom w:val="single" w:sz="4" w:space="0" w:color="auto"/>
              <w:right w:val="single" w:sz="4" w:space="0" w:color="auto"/>
            </w:tcBorders>
          </w:tcPr>
          <w:p w14:paraId="7CB7FEFE" w14:textId="77777777" w:rsidR="00901CBC" w:rsidRPr="006209D4" w:rsidRDefault="00955DB6" w:rsidP="00C57CDD">
            <w:pPr>
              <w:pStyle w:val="List2"/>
              <w:numPr>
                <w:ilvl w:val="0"/>
                <w:numId w:val="0"/>
              </w:numPr>
              <w:jc w:val="center"/>
              <w:rPr>
                <w:sz w:val="16"/>
              </w:rPr>
            </w:pPr>
            <w:r>
              <w:rPr>
                <w:sz w:val="16"/>
              </w:rPr>
              <w:t>930,155MWh</w:t>
            </w:r>
          </w:p>
        </w:tc>
        <w:tc>
          <w:tcPr>
            <w:tcW w:w="1995" w:type="dxa"/>
            <w:tcBorders>
              <w:top w:val="single" w:sz="4" w:space="0" w:color="auto"/>
              <w:left w:val="single" w:sz="4" w:space="0" w:color="auto"/>
              <w:bottom w:val="single" w:sz="4" w:space="0" w:color="auto"/>
              <w:right w:val="single" w:sz="4" w:space="0" w:color="auto"/>
            </w:tcBorders>
          </w:tcPr>
          <w:p w14:paraId="39BE43F8" w14:textId="77777777" w:rsidR="00901CBC" w:rsidRPr="006209D4" w:rsidRDefault="007F36E1" w:rsidP="00C57CDD">
            <w:pPr>
              <w:pStyle w:val="List2"/>
              <w:numPr>
                <w:ilvl w:val="0"/>
                <w:numId w:val="0"/>
              </w:numPr>
              <w:jc w:val="center"/>
              <w:rPr>
                <w:sz w:val="16"/>
              </w:rPr>
            </w:pPr>
            <w:r>
              <w:rPr>
                <w:sz w:val="16"/>
              </w:rPr>
              <w:t>12,518,519MWh</w:t>
            </w:r>
          </w:p>
        </w:tc>
      </w:tr>
    </w:tbl>
    <w:p w14:paraId="00550E10" w14:textId="3D2968F6" w:rsidR="00122265" w:rsidRDefault="00122265" w:rsidP="00DF2E90">
      <w:pPr>
        <w:pStyle w:val="List2"/>
        <w:numPr>
          <w:ilvl w:val="0"/>
          <w:numId w:val="0"/>
        </w:numPr>
      </w:pPr>
    </w:p>
    <w:p w14:paraId="5A093415" w14:textId="77777777" w:rsidR="00A228B4" w:rsidRPr="00A228B4" w:rsidRDefault="00A228B4" w:rsidP="00C14A97">
      <w:pPr>
        <w:pStyle w:val="List2"/>
        <w:numPr>
          <w:ilvl w:val="0"/>
          <w:numId w:val="0"/>
        </w:numPr>
        <w:ind w:left="680"/>
        <w:rPr>
          <w:b/>
          <w:u w:val="single"/>
        </w:rPr>
      </w:pPr>
      <w:r w:rsidRPr="00A228B4">
        <w:rPr>
          <w:b/>
          <w:u w:val="single"/>
        </w:rPr>
        <w:t>Half Hourly performance considerations for the next quarter</w:t>
      </w:r>
    </w:p>
    <w:p w14:paraId="2E1FF348" w14:textId="77777777" w:rsidR="00826591" w:rsidRDefault="00C14A97" w:rsidP="00166330">
      <w:pPr>
        <w:pStyle w:val="List2"/>
      </w:pPr>
      <w:r>
        <w:t xml:space="preserve">The HH MC C </w:t>
      </w:r>
      <w:r w:rsidR="004A49DE">
        <w:t xml:space="preserve">market </w:t>
      </w:r>
      <w:r>
        <w:t xml:space="preserve">has increased </w:t>
      </w:r>
      <w:r w:rsidR="004A49DE">
        <w:t xml:space="preserve">performance </w:t>
      </w:r>
      <w:r>
        <w:t xml:space="preserve">slightly since the </w:t>
      </w:r>
      <w:r w:rsidR="00AC3AD0">
        <w:t xml:space="preserve">February </w:t>
      </w:r>
      <w:r w:rsidR="00561A37">
        <w:t xml:space="preserve">2021 </w:t>
      </w:r>
      <w:r>
        <w:t xml:space="preserve">report period. However, </w:t>
      </w:r>
      <w:r w:rsidR="00AC3AD0">
        <w:t>the sub-100kW performance has not yet recovered from</w:t>
      </w:r>
      <w:r w:rsidR="00166330">
        <w:t xml:space="preserve"> an </w:t>
      </w:r>
      <w:r>
        <w:t>industry</w:t>
      </w:r>
      <w:r w:rsidR="00166330">
        <w:t>-wide</w:t>
      </w:r>
      <w:r>
        <w:t xml:space="preserve"> decrease at SF over the Christmas period. </w:t>
      </w:r>
      <w:r w:rsidR="002F0BB4">
        <w:t xml:space="preserve">Whilst performance was impacted by the early 2021 lockdown in both MCC and sub 100kW, it was not impacted to the extent seen in the first lockdown where HH MC C monthly average performance </w:t>
      </w:r>
      <w:r w:rsidR="005823B6">
        <w:t>dropped to 94.90% for MC C and 90.35% for the Sub 100kW market.</w:t>
      </w:r>
    </w:p>
    <w:p w14:paraId="1AC4D75E" w14:textId="77777777" w:rsidR="00F3343A" w:rsidRDefault="00F7472C" w:rsidP="00940F4F">
      <w:pPr>
        <w:pStyle w:val="List2"/>
      </w:pPr>
      <w:r>
        <w:t xml:space="preserve">Over the next quarter we should expect both a further </w:t>
      </w:r>
      <w:r w:rsidR="00527304">
        <w:t>easing of</w:t>
      </w:r>
      <w:r>
        <w:t xml:space="preserve"> restrictions and </w:t>
      </w:r>
      <w:r w:rsidR="00527304">
        <w:t xml:space="preserve">a reduction in </w:t>
      </w:r>
      <w:r>
        <w:t>the volume of total energy (which</w:t>
      </w:r>
      <w:r w:rsidR="0043597A">
        <w:t>,</w:t>
      </w:r>
      <w:r>
        <w:t xml:space="preserve"> if everything else stayed the same</w:t>
      </w:r>
      <w:r w:rsidR="0043597A">
        <w:t>,</w:t>
      </w:r>
      <w:r>
        <w:t xml:space="preserve"> should result in a reduction in the volume</w:t>
      </w:r>
      <w:r w:rsidR="00830B7A">
        <w:t xml:space="preserve"> of </w:t>
      </w:r>
      <w:r w:rsidR="0043597A">
        <w:t>non-compliant estimation)</w:t>
      </w:r>
      <w:r w:rsidR="00940F4F">
        <w:t>.</w:t>
      </w:r>
      <w:r w:rsidR="004A49DE">
        <w:t xml:space="preserve"> </w:t>
      </w:r>
      <w:r w:rsidR="00940F4F">
        <w:t xml:space="preserve"> </w:t>
      </w:r>
    </w:p>
    <w:p w14:paraId="0C86EC32" w14:textId="77777777" w:rsidR="00940F4F" w:rsidRDefault="00940F4F" w:rsidP="00940F4F">
      <w:pPr>
        <w:pStyle w:val="List2"/>
      </w:pPr>
      <w:r>
        <w:t>However, t</w:t>
      </w:r>
      <w:r w:rsidRPr="00940F4F">
        <w:t>he impact of the April 2021 contract round has not yet been observed in these performance figures and is likely to result in a temporary drop in performance at the start of the next quarter.</w:t>
      </w:r>
      <w:r>
        <w:t xml:space="preserve"> In addition, Suppliers have highlighted that access to rectify faults is still challenging and that this continues to be an issue even as restrictions ease, as many business are prioritising access to customers and employees alongside new health and safety requirements</w:t>
      </w:r>
      <w:r w:rsidR="00A50A9B">
        <w:t>.</w:t>
      </w:r>
    </w:p>
    <w:p w14:paraId="2F1FF2BC" w14:textId="77777777" w:rsidR="00F7472C" w:rsidRDefault="00A50A9B" w:rsidP="000E0EC4">
      <w:pPr>
        <w:pStyle w:val="List2"/>
      </w:pPr>
      <w:r>
        <w:lastRenderedPageBreak/>
        <w:t>Therefore, whilst we should expect improvement</w:t>
      </w:r>
      <w:r w:rsidR="000D4673">
        <w:t>s over the next quarter</w:t>
      </w:r>
      <w:r w:rsidR="00557C5C">
        <w:t>,</w:t>
      </w:r>
      <w:r w:rsidR="000D4673">
        <w:t xml:space="preserve"> based</w:t>
      </w:r>
      <w:r>
        <w:t xml:space="preserve"> on the current </w:t>
      </w:r>
      <w:r w:rsidR="00557C5C">
        <w:t xml:space="preserve">COVID-19 guidance provided by </w:t>
      </w:r>
      <w:r>
        <w:t xml:space="preserve">the UK, Scottish and Welsh governments, there are likely to be some challenges </w:t>
      </w:r>
      <w:r w:rsidR="000D4673">
        <w:t xml:space="preserve">for Suppliers </w:t>
      </w:r>
      <w:r w:rsidR="00527304">
        <w:t xml:space="preserve">working to improve performance </w:t>
      </w:r>
      <w:r w:rsidR="000D4673">
        <w:t>over the period too.</w:t>
      </w:r>
    </w:p>
    <w:p w14:paraId="77AFF574" w14:textId="77777777" w:rsidR="00A50A9B" w:rsidRPr="00557C5C" w:rsidRDefault="000D4673" w:rsidP="00557C5C">
      <w:pPr>
        <w:pStyle w:val="List2"/>
        <w:numPr>
          <w:ilvl w:val="0"/>
          <w:numId w:val="0"/>
        </w:numPr>
        <w:ind w:left="680"/>
        <w:rPr>
          <w:b/>
          <w:u w:val="single"/>
        </w:rPr>
      </w:pPr>
      <w:r w:rsidRPr="000D4673">
        <w:rPr>
          <w:b/>
          <w:u w:val="single"/>
        </w:rPr>
        <w:t>Non Half Hourly considerations for the next quarter</w:t>
      </w:r>
    </w:p>
    <w:p w14:paraId="34685735" w14:textId="77777777" w:rsidR="002D6073" w:rsidRDefault="004A49DE" w:rsidP="00166330">
      <w:pPr>
        <w:pStyle w:val="List2"/>
      </w:pPr>
      <w:r>
        <w:t>The NHH market has increased performance slightly</w:t>
      </w:r>
      <w:r w:rsidR="002D6073">
        <w:t xml:space="preserve"> at RF</w:t>
      </w:r>
      <w:r>
        <w:t xml:space="preserve"> since the February 2021 report period. </w:t>
      </w:r>
      <w:r w:rsidR="002D6073">
        <w:t xml:space="preserve">R2 performance had been reducing this quarter as the lockdown at the start of </w:t>
      </w:r>
      <w:r w:rsidR="00557C5C">
        <w:t xml:space="preserve">2021 set in. However, we have seen an increase in R2 performance has eased </w:t>
      </w:r>
      <w:r w:rsidR="00E902E6">
        <w:t>since the start of April 2021. R3 performance appears to be reflecting the drop at R2 due to the lockdown and we will need to monitor R3 performance carefully over the next quarter to determine to what extent Suppliers are able to mitigate this in order to provide some insights into the future challenges at RF.</w:t>
      </w:r>
    </w:p>
    <w:p w14:paraId="21E64DAB" w14:textId="77777777" w:rsidR="00F3343A" w:rsidRDefault="00A11CE5" w:rsidP="00166330">
      <w:pPr>
        <w:pStyle w:val="List2"/>
      </w:pPr>
      <w:r>
        <w:t xml:space="preserve">The current RF Settlement Dates are at the point when the industry reached its lowest R3 performance </w:t>
      </w:r>
      <w:r w:rsidR="002D6073">
        <w:t>due to</w:t>
      </w:r>
      <w:r>
        <w:t xml:space="preserve"> the first lockdown. This,</w:t>
      </w:r>
      <w:r w:rsidR="00E902E6">
        <w:t xml:space="preserve"> </w:t>
      </w:r>
      <w:r>
        <w:t>alongside furth</w:t>
      </w:r>
      <w:r w:rsidR="002D6073">
        <w:t xml:space="preserve">er easing of restrictions </w:t>
      </w:r>
      <w:r w:rsidR="00F3343A">
        <w:t xml:space="preserve">(especially in Scotland where </w:t>
      </w:r>
      <w:r w:rsidR="000E0EC4">
        <w:t xml:space="preserve">the government </w:t>
      </w:r>
      <w:r w:rsidR="00F3343A">
        <w:t xml:space="preserve">prohibited </w:t>
      </w:r>
      <w:r w:rsidR="000E0EC4">
        <w:t xml:space="preserve">internal Meter Reading activity </w:t>
      </w:r>
      <w:r w:rsidR="00F3343A">
        <w:t xml:space="preserve">until the end of April) </w:t>
      </w:r>
      <w:r w:rsidR="002D6073">
        <w:t>and</w:t>
      </w:r>
      <w:r w:rsidR="00F3343A">
        <w:t xml:space="preserve"> a reduced volume of total energy</w:t>
      </w:r>
      <w:r w:rsidR="000E0EC4">
        <w:t xml:space="preserve"> this quarter,</w:t>
      </w:r>
      <w:r w:rsidR="00F3343A">
        <w:t xml:space="preserve"> indicate</w:t>
      </w:r>
      <w:r w:rsidR="000E0EC4">
        <w:t>s</w:t>
      </w:r>
      <w:r w:rsidR="00F3343A">
        <w:t xml:space="preserve"> that RF performance should increase over the next quarter.</w:t>
      </w:r>
    </w:p>
    <w:p w14:paraId="1B3E628E" w14:textId="77777777" w:rsidR="00826591" w:rsidRDefault="00A11CE5" w:rsidP="00166330">
      <w:pPr>
        <w:pStyle w:val="List2"/>
      </w:pPr>
      <w:r>
        <w:t xml:space="preserve"> </w:t>
      </w:r>
      <w:r w:rsidR="00F3343A">
        <w:t>However</w:t>
      </w:r>
      <w:r w:rsidR="000E0EC4">
        <w:t>,</w:t>
      </w:r>
      <w:r w:rsidR="00F3343A">
        <w:t xml:space="preserve"> as with the HH market, there are some challenges expected as Suppliers are reporting access rates that are approximately 50% lower than before the pandemic </w:t>
      </w:r>
      <w:r w:rsidR="000E0EC4">
        <w:t>with only minimal improvements since the restrictions have eased.</w:t>
      </w:r>
    </w:p>
    <w:p w14:paraId="4357955D" w14:textId="77777777" w:rsidR="00C14A97" w:rsidRDefault="00C14A97" w:rsidP="00C14A97">
      <w:pPr>
        <w:pStyle w:val="List"/>
      </w:pPr>
      <w:r>
        <w:t>Recommendations for the threshold for Focus Suppliers and EFR for the next quarter</w:t>
      </w:r>
    </w:p>
    <w:p w14:paraId="1209D7F8" w14:textId="77777777" w:rsidR="00C14A97" w:rsidRDefault="00C14A97" w:rsidP="00C14A97">
      <w:pPr>
        <w:pStyle w:val="List2"/>
      </w:pPr>
      <w:r>
        <w:t>Elexon has considered the following points in order to set the thresholds for the next quarter:</w:t>
      </w:r>
    </w:p>
    <w:p w14:paraId="1EAF0E00" w14:textId="77777777" w:rsidR="00C14A97" w:rsidRDefault="00C14A97" w:rsidP="00C14A97">
      <w:pPr>
        <w:pStyle w:val="List2"/>
        <w:numPr>
          <w:ilvl w:val="0"/>
          <w:numId w:val="15"/>
        </w:numPr>
      </w:pPr>
      <w:r>
        <w:t>The current number of Suppliers that fall above a number of different potential thresholds for each market area (below);</w:t>
      </w:r>
    </w:p>
    <w:p w14:paraId="3CB8E5B9" w14:textId="77777777" w:rsidR="00C14A97" w:rsidRDefault="00C14A97" w:rsidP="00C14A97">
      <w:pPr>
        <w:pStyle w:val="List2"/>
        <w:numPr>
          <w:ilvl w:val="0"/>
          <w:numId w:val="15"/>
        </w:numPr>
      </w:pPr>
      <w:r>
        <w:t>The relative volume of non-compliant estimation between each of the market areas; and</w:t>
      </w:r>
    </w:p>
    <w:p w14:paraId="1C51CE3D" w14:textId="77777777" w:rsidR="00C14A97" w:rsidRDefault="00C14A97" w:rsidP="00C14A97">
      <w:pPr>
        <w:pStyle w:val="List2"/>
        <w:numPr>
          <w:ilvl w:val="0"/>
          <w:numId w:val="15"/>
        </w:numPr>
      </w:pPr>
      <w:r>
        <w:t>The potential coming up in the next three months.</w:t>
      </w:r>
    </w:p>
    <w:p w14:paraId="0961C072" w14:textId="77777777" w:rsidR="008F149E" w:rsidRDefault="008F149E" w:rsidP="000E0EC4">
      <w:pPr>
        <w:pStyle w:val="List2"/>
        <w:numPr>
          <w:ilvl w:val="0"/>
          <w:numId w:val="0"/>
        </w:numPr>
      </w:pPr>
    </w:p>
    <w:p w14:paraId="0620976E" w14:textId="77777777" w:rsidR="00C14A97" w:rsidRPr="003C454C" w:rsidRDefault="00C14A97" w:rsidP="00C14A97">
      <w:pPr>
        <w:pStyle w:val="List2"/>
        <w:numPr>
          <w:ilvl w:val="0"/>
          <w:numId w:val="0"/>
        </w:numPr>
        <w:ind w:left="1360" w:hanging="680"/>
        <w:rPr>
          <w:b/>
          <w:u w:val="single"/>
        </w:rPr>
      </w:pPr>
      <w:r w:rsidRPr="003C454C">
        <w:rPr>
          <w:b/>
          <w:u w:val="single"/>
        </w:rPr>
        <w:t>HH MC C</w:t>
      </w:r>
      <w:r>
        <w:rPr>
          <w:b/>
          <w:u w:val="single"/>
        </w:rPr>
        <w:t xml:space="preserve"> – 2</w:t>
      </w:r>
      <w:r w:rsidR="000E0EC4">
        <w:rPr>
          <w:b/>
          <w:u w:val="single"/>
        </w:rPr>
        <w:t>2</w:t>
      </w:r>
      <w:r>
        <w:rPr>
          <w:b/>
          <w:u w:val="single"/>
        </w:rPr>
        <w:t>% of all non-compliant estimation</w:t>
      </w:r>
    </w:p>
    <w:p w14:paraId="2B5E0B6A" w14:textId="77777777" w:rsidR="00C14A97" w:rsidRDefault="00C14A97" w:rsidP="00C14A97">
      <w:pPr>
        <w:pStyle w:val="List2"/>
      </w:pPr>
      <w:r>
        <w:t xml:space="preserve">Elexon considered the effectiveness of the following thresholds for the HH </w:t>
      </w:r>
      <w:r w:rsidR="00122265">
        <w:t xml:space="preserve">MC C </w:t>
      </w:r>
      <w:r>
        <w:t>market:</w:t>
      </w:r>
    </w:p>
    <w:tbl>
      <w:tblPr>
        <w:tblStyle w:val="TableGrid1"/>
        <w:tblW w:w="0" w:type="auto"/>
        <w:tblInd w:w="704" w:type="dxa"/>
        <w:tblLook w:val="04A0" w:firstRow="1" w:lastRow="0" w:firstColumn="1" w:lastColumn="0" w:noHBand="0" w:noVBand="1"/>
      </w:tblPr>
      <w:tblGrid>
        <w:gridCol w:w="2409"/>
        <w:gridCol w:w="2410"/>
        <w:gridCol w:w="2410"/>
        <w:gridCol w:w="2410"/>
      </w:tblGrid>
      <w:tr w:rsidR="00202F6B" w:rsidRPr="00202F6B" w14:paraId="4867447A" w14:textId="77777777" w:rsidTr="00202F6B">
        <w:trPr>
          <w:tblHeader/>
        </w:trPr>
        <w:tc>
          <w:tcPr>
            <w:tcW w:w="2409" w:type="dxa"/>
            <w:shd w:val="clear" w:color="auto" w:fill="00008B" w:themeFill="text1"/>
          </w:tcPr>
          <w:p w14:paraId="51E89AAD" w14:textId="77777777" w:rsidR="00202F6B" w:rsidRPr="00202F6B" w:rsidRDefault="00202F6B" w:rsidP="00202F6B">
            <w:pPr>
              <w:spacing w:after="160" w:line="259" w:lineRule="auto"/>
              <w:jc w:val="center"/>
              <w:rPr>
                <w:rFonts w:ascii="Calibri" w:eastAsia="Calibri" w:hAnsi="Calibri" w:cs="Times New Roman"/>
                <w:b/>
                <w:sz w:val="22"/>
              </w:rPr>
            </w:pPr>
            <w:r w:rsidRPr="00202F6B">
              <w:rPr>
                <w:rFonts w:ascii="Calibri" w:eastAsia="Calibri" w:hAnsi="Calibri" w:cs="Times New Roman"/>
                <w:b/>
                <w:sz w:val="22"/>
              </w:rPr>
              <w:t>Threshold (MWh)</w:t>
            </w:r>
          </w:p>
        </w:tc>
        <w:tc>
          <w:tcPr>
            <w:tcW w:w="2410" w:type="dxa"/>
            <w:shd w:val="clear" w:color="auto" w:fill="00008B" w:themeFill="text1"/>
          </w:tcPr>
          <w:p w14:paraId="6382CF63" w14:textId="77777777" w:rsidR="00202F6B" w:rsidRPr="00202F6B" w:rsidRDefault="00202F6B" w:rsidP="00202F6B">
            <w:pPr>
              <w:spacing w:after="160" w:line="259" w:lineRule="auto"/>
              <w:jc w:val="center"/>
              <w:rPr>
                <w:rFonts w:ascii="Calibri" w:eastAsia="Calibri" w:hAnsi="Calibri" w:cs="Times New Roman"/>
                <w:b/>
                <w:sz w:val="22"/>
              </w:rPr>
            </w:pPr>
            <w:r w:rsidRPr="00202F6B">
              <w:rPr>
                <w:rFonts w:ascii="Calibri" w:eastAsia="Calibri" w:hAnsi="Calibri" w:cs="Times New Roman"/>
                <w:b/>
                <w:sz w:val="22"/>
              </w:rPr>
              <w:t>No of Suppliers</w:t>
            </w:r>
          </w:p>
        </w:tc>
        <w:tc>
          <w:tcPr>
            <w:tcW w:w="2410" w:type="dxa"/>
            <w:shd w:val="clear" w:color="auto" w:fill="00008B" w:themeFill="text1"/>
          </w:tcPr>
          <w:p w14:paraId="2C5B026D" w14:textId="77777777" w:rsidR="00202F6B" w:rsidRPr="00202F6B" w:rsidRDefault="00202F6B" w:rsidP="00202F6B">
            <w:pPr>
              <w:spacing w:after="160" w:line="259" w:lineRule="auto"/>
              <w:jc w:val="center"/>
              <w:rPr>
                <w:rFonts w:ascii="Calibri" w:eastAsia="Calibri" w:hAnsi="Calibri" w:cs="Times New Roman"/>
                <w:b/>
                <w:sz w:val="22"/>
              </w:rPr>
            </w:pPr>
            <w:r w:rsidRPr="00202F6B">
              <w:rPr>
                <w:rFonts w:ascii="Calibri" w:eastAsia="Calibri" w:hAnsi="Calibri" w:cs="Times New Roman"/>
                <w:b/>
                <w:sz w:val="22"/>
              </w:rPr>
              <w:t>Vol of non-compliant energy</w:t>
            </w:r>
          </w:p>
        </w:tc>
        <w:tc>
          <w:tcPr>
            <w:tcW w:w="2410" w:type="dxa"/>
            <w:shd w:val="clear" w:color="auto" w:fill="00008B" w:themeFill="text1"/>
          </w:tcPr>
          <w:p w14:paraId="3A78D3EF" w14:textId="77777777" w:rsidR="00202F6B" w:rsidRPr="00202F6B" w:rsidRDefault="00202F6B" w:rsidP="00202F6B">
            <w:pPr>
              <w:spacing w:after="160" w:line="259" w:lineRule="auto"/>
              <w:jc w:val="center"/>
              <w:rPr>
                <w:rFonts w:ascii="Calibri" w:eastAsia="Calibri" w:hAnsi="Calibri" w:cs="Times New Roman"/>
                <w:b/>
                <w:sz w:val="22"/>
              </w:rPr>
            </w:pPr>
            <w:r w:rsidRPr="00202F6B">
              <w:rPr>
                <w:rFonts w:ascii="Calibri" w:eastAsia="Calibri" w:hAnsi="Calibri" w:cs="Times New Roman"/>
                <w:b/>
                <w:sz w:val="22"/>
              </w:rPr>
              <w:t>% coverage of non-compliant energy in this market</w:t>
            </w:r>
          </w:p>
        </w:tc>
      </w:tr>
      <w:tr w:rsidR="00202F6B" w:rsidRPr="00202F6B" w14:paraId="2A3967EE" w14:textId="77777777" w:rsidTr="00202F6B">
        <w:trPr>
          <w:tblHeader/>
        </w:trPr>
        <w:tc>
          <w:tcPr>
            <w:tcW w:w="2409" w:type="dxa"/>
            <w:shd w:val="clear" w:color="auto" w:fill="D9D9D9" w:themeFill="background1" w:themeFillShade="D9"/>
          </w:tcPr>
          <w:p w14:paraId="3CBACF31" w14:textId="77777777" w:rsidR="00202F6B" w:rsidRPr="00202F6B" w:rsidRDefault="00202F6B" w:rsidP="00202F6B">
            <w:pPr>
              <w:spacing w:after="160" w:line="259" w:lineRule="auto"/>
              <w:jc w:val="center"/>
              <w:rPr>
                <w:rFonts w:ascii="Calibri" w:eastAsia="Calibri" w:hAnsi="Calibri" w:cs="Times New Roman"/>
                <w:sz w:val="22"/>
              </w:rPr>
            </w:pPr>
            <w:r w:rsidRPr="00202F6B">
              <w:rPr>
                <w:rFonts w:ascii="Calibri" w:eastAsia="Calibri" w:hAnsi="Calibri" w:cs="Times New Roman"/>
                <w:sz w:val="22"/>
              </w:rPr>
              <w:t>1,000</w:t>
            </w:r>
          </w:p>
        </w:tc>
        <w:tc>
          <w:tcPr>
            <w:tcW w:w="2410" w:type="dxa"/>
            <w:shd w:val="clear" w:color="auto" w:fill="D9D9D9" w:themeFill="background1" w:themeFillShade="D9"/>
          </w:tcPr>
          <w:p w14:paraId="65AB6097" w14:textId="77777777" w:rsidR="00202F6B" w:rsidRPr="00202F6B" w:rsidRDefault="00202F6B" w:rsidP="00202F6B">
            <w:pPr>
              <w:spacing w:after="160" w:line="259" w:lineRule="auto"/>
              <w:jc w:val="center"/>
              <w:rPr>
                <w:rFonts w:ascii="Calibri" w:eastAsia="Calibri" w:hAnsi="Calibri" w:cs="Times New Roman"/>
                <w:sz w:val="22"/>
              </w:rPr>
            </w:pPr>
            <w:r w:rsidRPr="00202F6B">
              <w:rPr>
                <w:rFonts w:ascii="Calibri" w:eastAsia="Calibri" w:hAnsi="Calibri" w:cs="Times New Roman"/>
                <w:sz w:val="22"/>
              </w:rPr>
              <w:t>17</w:t>
            </w:r>
          </w:p>
        </w:tc>
        <w:tc>
          <w:tcPr>
            <w:tcW w:w="2410" w:type="dxa"/>
            <w:shd w:val="clear" w:color="auto" w:fill="D9D9D9" w:themeFill="background1" w:themeFillShade="D9"/>
          </w:tcPr>
          <w:p w14:paraId="7AA5803B" w14:textId="77777777" w:rsidR="00202F6B" w:rsidRPr="00202F6B" w:rsidRDefault="00202F6B" w:rsidP="00202F6B">
            <w:pPr>
              <w:tabs>
                <w:tab w:val="left" w:pos="315"/>
              </w:tabs>
              <w:spacing w:after="160" w:line="259" w:lineRule="auto"/>
              <w:jc w:val="center"/>
              <w:rPr>
                <w:rFonts w:ascii="Calibri" w:eastAsia="Calibri" w:hAnsi="Calibri" w:cs="Times New Roman"/>
                <w:sz w:val="22"/>
              </w:rPr>
            </w:pPr>
            <w:r w:rsidRPr="00202F6B">
              <w:rPr>
                <w:rFonts w:ascii="Calibri" w:eastAsia="Calibri" w:hAnsi="Calibri" w:cs="Times New Roman"/>
                <w:sz w:val="22"/>
              </w:rPr>
              <w:t>69,949</w:t>
            </w:r>
          </w:p>
        </w:tc>
        <w:tc>
          <w:tcPr>
            <w:tcW w:w="2410" w:type="dxa"/>
            <w:shd w:val="clear" w:color="auto" w:fill="D9D9D9" w:themeFill="background1" w:themeFillShade="D9"/>
          </w:tcPr>
          <w:p w14:paraId="3A354F8B" w14:textId="77777777" w:rsidR="00202F6B" w:rsidRPr="00202F6B" w:rsidRDefault="00202F6B" w:rsidP="00202F6B">
            <w:pPr>
              <w:spacing w:after="160" w:line="259" w:lineRule="auto"/>
              <w:jc w:val="center"/>
              <w:rPr>
                <w:rFonts w:ascii="Calibri" w:eastAsia="Calibri" w:hAnsi="Calibri" w:cs="Times New Roman"/>
                <w:sz w:val="22"/>
              </w:rPr>
            </w:pPr>
            <w:r w:rsidRPr="00202F6B">
              <w:rPr>
                <w:rFonts w:ascii="Calibri" w:eastAsia="Calibri" w:hAnsi="Calibri" w:cs="Times New Roman"/>
                <w:sz w:val="22"/>
              </w:rPr>
              <w:t>89%</w:t>
            </w:r>
          </w:p>
        </w:tc>
      </w:tr>
      <w:tr w:rsidR="00202F6B" w:rsidRPr="00202F6B" w14:paraId="67D7A347" w14:textId="77777777" w:rsidTr="00202F6B">
        <w:trPr>
          <w:tblHeader/>
        </w:trPr>
        <w:tc>
          <w:tcPr>
            <w:tcW w:w="2409" w:type="dxa"/>
            <w:shd w:val="clear" w:color="auto" w:fill="D9D9D9" w:themeFill="background1" w:themeFillShade="D9"/>
          </w:tcPr>
          <w:p w14:paraId="7754E688" w14:textId="77777777" w:rsidR="00202F6B" w:rsidRPr="00202F6B" w:rsidRDefault="00202F6B" w:rsidP="00202F6B">
            <w:pPr>
              <w:spacing w:after="160" w:line="259" w:lineRule="auto"/>
              <w:jc w:val="center"/>
              <w:rPr>
                <w:rFonts w:ascii="Calibri" w:eastAsia="Calibri" w:hAnsi="Calibri" w:cs="Times New Roman"/>
                <w:sz w:val="22"/>
              </w:rPr>
            </w:pPr>
            <w:r w:rsidRPr="00202F6B">
              <w:rPr>
                <w:rFonts w:ascii="Calibri" w:eastAsia="Calibri" w:hAnsi="Calibri" w:cs="Times New Roman"/>
                <w:sz w:val="22"/>
              </w:rPr>
              <w:t>2,000</w:t>
            </w:r>
          </w:p>
        </w:tc>
        <w:tc>
          <w:tcPr>
            <w:tcW w:w="2410" w:type="dxa"/>
            <w:shd w:val="clear" w:color="auto" w:fill="D9D9D9" w:themeFill="background1" w:themeFillShade="D9"/>
          </w:tcPr>
          <w:p w14:paraId="0F1CDDC7" w14:textId="77777777" w:rsidR="00202F6B" w:rsidRPr="00202F6B" w:rsidRDefault="00202F6B" w:rsidP="00202F6B">
            <w:pPr>
              <w:spacing w:after="160" w:line="259" w:lineRule="auto"/>
              <w:jc w:val="center"/>
              <w:rPr>
                <w:rFonts w:ascii="Calibri" w:eastAsia="Calibri" w:hAnsi="Calibri" w:cs="Times New Roman"/>
                <w:sz w:val="22"/>
              </w:rPr>
            </w:pPr>
            <w:r w:rsidRPr="00202F6B">
              <w:rPr>
                <w:rFonts w:ascii="Calibri" w:eastAsia="Calibri" w:hAnsi="Calibri" w:cs="Times New Roman"/>
                <w:sz w:val="22"/>
              </w:rPr>
              <w:t>10</w:t>
            </w:r>
          </w:p>
        </w:tc>
        <w:tc>
          <w:tcPr>
            <w:tcW w:w="2410" w:type="dxa"/>
            <w:shd w:val="clear" w:color="auto" w:fill="D9D9D9" w:themeFill="background1" w:themeFillShade="D9"/>
          </w:tcPr>
          <w:p w14:paraId="6174E432" w14:textId="77777777" w:rsidR="00202F6B" w:rsidRPr="00202F6B" w:rsidRDefault="00202F6B" w:rsidP="00202F6B">
            <w:pPr>
              <w:spacing w:after="160" w:line="259" w:lineRule="auto"/>
              <w:jc w:val="center"/>
              <w:rPr>
                <w:rFonts w:ascii="Calibri" w:eastAsia="Calibri" w:hAnsi="Calibri" w:cs="Times New Roman"/>
                <w:sz w:val="22"/>
              </w:rPr>
            </w:pPr>
            <w:r w:rsidRPr="00202F6B">
              <w:rPr>
                <w:rFonts w:ascii="Calibri" w:eastAsia="Calibri" w:hAnsi="Calibri" w:cs="Times New Roman"/>
                <w:sz w:val="22"/>
              </w:rPr>
              <w:t>59,964</w:t>
            </w:r>
          </w:p>
        </w:tc>
        <w:tc>
          <w:tcPr>
            <w:tcW w:w="2410" w:type="dxa"/>
            <w:shd w:val="clear" w:color="auto" w:fill="D9D9D9" w:themeFill="background1" w:themeFillShade="D9"/>
          </w:tcPr>
          <w:p w14:paraId="5C634840" w14:textId="77777777" w:rsidR="00202F6B" w:rsidRPr="00202F6B" w:rsidRDefault="00202F6B" w:rsidP="00202F6B">
            <w:pPr>
              <w:spacing w:after="160" w:line="259" w:lineRule="auto"/>
              <w:jc w:val="center"/>
              <w:rPr>
                <w:rFonts w:ascii="Calibri" w:eastAsia="Calibri" w:hAnsi="Calibri" w:cs="Times New Roman"/>
                <w:sz w:val="22"/>
              </w:rPr>
            </w:pPr>
            <w:r w:rsidRPr="00202F6B">
              <w:rPr>
                <w:rFonts w:ascii="Calibri" w:eastAsia="Calibri" w:hAnsi="Calibri" w:cs="Times New Roman"/>
                <w:sz w:val="22"/>
              </w:rPr>
              <w:t>76%</w:t>
            </w:r>
          </w:p>
        </w:tc>
      </w:tr>
      <w:tr w:rsidR="00202F6B" w:rsidRPr="00202F6B" w14:paraId="2F571E93" w14:textId="77777777" w:rsidTr="00202F6B">
        <w:trPr>
          <w:tblHeader/>
        </w:trPr>
        <w:tc>
          <w:tcPr>
            <w:tcW w:w="2409" w:type="dxa"/>
          </w:tcPr>
          <w:p w14:paraId="569FC770" w14:textId="77777777" w:rsidR="00202F6B" w:rsidRPr="00202F6B" w:rsidRDefault="00202F6B" w:rsidP="00202F6B">
            <w:pPr>
              <w:spacing w:after="160" w:line="259" w:lineRule="auto"/>
              <w:jc w:val="center"/>
              <w:rPr>
                <w:rFonts w:ascii="Calibri" w:eastAsia="Calibri" w:hAnsi="Calibri" w:cs="Times New Roman"/>
                <w:sz w:val="22"/>
              </w:rPr>
            </w:pPr>
            <w:r w:rsidRPr="00202F6B">
              <w:rPr>
                <w:rFonts w:ascii="Calibri" w:eastAsia="Calibri" w:hAnsi="Calibri" w:cs="Times New Roman"/>
                <w:sz w:val="22"/>
              </w:rPr>
              <w:t>4,000</w:t>
            </w:r>
          </w:p>
        </w:tc>
        <w:tc>
          <w:tcPr>
            <w:tcW w:w="2410" w:type="dxa"/>
          </w:tcPr>
          <w:p w14:paraId="4AB2FC10" w14:textId="77777777" w:rsidR="00202F6B" w:rsidRPr="00202F6B" w:rsidRDefault="00202F6B" w:rsidP="00202F6B">
            <w:pPr>
              <w:spacing w:after="160" w:line="259" w:lineRule="auto"/>
              <w:jc w:val="center"/>
              <w:rPr>
                <w:rFonts w:ascii="Calibri" w:eastAsia="Calibri" w:hAnsi="Calibri" w:cs="Times New Roman"/>
                <w:sz w:val="22"/>
              </w:rPr>
            </w:pPr>
            <w:r w:rsidRPr="00202F6B">
              <w:rPr>
                <w:rFonts w:ascii="Calibri" w:eastAsia="Calibri" w:hAnsi="Calibri" w:cs="Times New Roman"/>
                <w:sz w:val="22"/>
              </w:rPr>
              <w:t>6</w:t>
            </w:r>
          </w:p>
        </w:tc>
        <w:tc>
          <w:tcPr>
            <w:tcW w:w="2410" w:type="dxa"/>
          </w:tcPr>
          <w:p w14:paraId="4F7CCCA0" w14:textId="77777777" w:rsidR="00202F6B" w:rsidRPr="00202F6B" w:rsidRDefault="00202F6B" w:rsidP="00202F6B">
            <w:pPr>
              <w:spacing w:after="160" w:line="259" w:lineRule="auto"/>
              <w:jc w:val="center"/>
              <w:rPr>
                <w:rFonts w:ascii="Calibri" w:eastAsia="Calibri" w:hAnsi="Calibri" w:cs="Times New Roman"/>
                <w:sz w:val="22"/>
              </w:rPr>
            </w:pPr>
            <w:r w:rsidRPr="00202F6B">
              <w:rPr>
                <w:rFonts w:ascii="Calibri" w:eastAsia="Calibri" w:hAnsi="Calibri" w:cs="Times New Roman"/>
                <w:sz w:val="22"/>
              </w:rPr>
              <w:t>47,687</w:t>
            </w:r>
          </w:p>
        </w:tc>
        <w:tc>
          <w:tcPr>
            <w:tcW w:w="2410" w:type="dxa"/>
          </w:tcPr>
          <w:p w14:paraId="01C2F5AA" w14:textId="77777777" w:rsidR="00202F6B" w:rsidRPr="00202F6B" w:rsidRDefault="00202F6B" w:rsidP="00202F6B">
            <w:pPr>
              <w:spacing w:after="160" w:line="259" w:lineRule="auto"/>
              <w:jc w:val="center"/>
              <w:rPr>
                <w:rFonts w:ascii="Calibri" w:eastAsia="Calibri" w:hAnsi="Calibri" w:cs="Times New Roman"/>
                <w:sz w:val="22"/>
              </w:rPr>
            </w:pPr>
            <w:r w:rsidRPr="00202F6B">
              <w:rPr>
                <w:rFonts w:ascii="Calibri" w:eastAsia="Calibri" w:hAnsi="Calibri" w:cs="Times New Roman"/>
                <w:sz w:val="22"/>
              </w:rPr>
              <w:t>61%</w:t>
            </w:r>
          </w:p>
        </w:tc>
      </w:tr>
      <w:tr w:rsidR="00202F6B" w:rsidRPr="00202F6B" w14:paraId="38D5785C" w14:textId="77777777" w:rsidTr="00202F6B">
        <w:trPr>
          <w:tblHeader/>
        </w:trPr>
        <w:tc>
          <w:tcPr>
            <w:tcW w:w="2409" w:type="dxa"/>
            <w:shd w:val="clear" w:color="auto" w:fill="D9D9D9" w:themeFill="background1" w:themeFillShade="D9"/>
          </w:tcPr>
          <w:p w14:paraId="3C3CC080" w14:textId="77777777" w:rsidR="00202F6B" w:rsidRPr="00202F6B" w:rsidRDefault="00202F6B" w:rsidP="00202F6B">
            <w:pPr>
              <w:spacing w:after="160" w:line="259" w:lineRule="auto"/>
              <w:jc w:val="center"/>
              <w:rPr>
                <w:rFonts w:ascii="Calibri" w:eastAsia="Calibri" w:hAnsi="Calibri" w:cs="Times New Roman"/>
                <w:sz w:val="22"/>
              </w:rPr>
            </w:pPr>
            <w:r w:rsidRPr="00202F6B">
              <w:rPr>
                <w:rFonts w:ascii="Calibri" w:eastAsia="Calibri" w:hAnsi="Calibri" w:cs="Times New Roman"/>
                <w:sz w:val="22"/>
              </w:rPr>
              <w:t>5,000</w:t>
            </w:r>
          </w:p>
        </w:tc>
        <w:tc>
          <w:tcPr>
            <w:tcW w:w="2410" w:type="dxa"/>
            <w:shd w:val="clear" w:color="auto" w:fill="D9D9D9" w:themeFill="background1" w:themeFillShade="D9"/>
          </w:tcPr>
          <w:p w14:paraId="01B1C9D7" w14:textId="77777777" w:rsidR="00202F6B" w:rsidRPr="00202F6B" w:rsidRDefault="00202F6B" w:rsidP="00202F6B">
            <w:pPr>
              <w:spacing w:after="160" w:line="259" w:lineRule="auto"/>
              <w:jc w:val="center"/>
              <w:rPr>
                <w:rFonts w:ascii="Calibri" w:eastAsia="Calibri" w:hAnsi="Calibri" w:cs="Times New Roman"/>
                <w:sz w:val="22"/>
              </w:rPr>
            </w:pPr>
            <w:r w:rsidRPr="00202F6B">
              <w:rPr>
                <w:rFonts w:ascii="Calibri" w:eastAsia="Calibri" w:hAnsi="Calibri" w:cs="Times New Roman"/>
                <w:sz w:val="22"/>
              </w:rPr>
              <w:t>6</w:t>
            </w:r>
          </w:p>
        </w:tc>
        <w:tc>
          <w:tcPr>
            <w:tcW w:w="2410" w:type="dxa"/>
            <w:shd w:val="clear" w:color="auto" w:fill="D9D9D9" w:themeFill="background1" w:themeFillShade="D9"/>
          </w:tcPr>
          <w:p w14:paraId="1C9900B1" w14:textId="77777777" w:rsidR="00202F6B" w:rsidRPr="00202F6B" w:rsidRDefault="00202F6B" w:rsidP="00202F6B">
            <w:pPr>
              <w:spacing w:after="160" w:line="259" w:lineRule="auto"/>
              <w:jc w:val="center"/>
              <w:rPr>
                <w:rFonts w:ascii="Calibri" w:eastAsia="Calibri" w:hAnsi="Calibri" w:cs="Times New Roman"/>
                <w:sz w:val="22"/>
              </w:rPr>
            </w:pPr>
            <w:r w:rsidRPr="00202F6B">
              <w:rPr>
                <w:rFonts w:ascii="Calibri" w:eastAsia="Calibri" w:hAnsi="Calibri" w:cs="Times New Roman"/>
                <w:sz w:val="22"/>
              </w:rPr>
              <w:t>47,687</w:t>
            </w:r>
          </w:p>
        </w:tc>
        <w:tc>
          <w:tcPr>
            <w:tcW w:w="2410" w:type="dxa"/>
            <w:shd w:val="clear" w:color="auto" w:fill="D9D9D9" w:themeFill="background1" w:themeFillShade="D9"/>
          </w:tcPr>
          <w:p w14:paraId="34BC5A00" w14:textId="77777777" w:rsidR="00202F6B" w:rsidRPr="00202F6B" w:rsidRDefault="00202F6B" w:rsidP="00202F6B">
            <w:pPr>
              <w:spacing w:after="160" w:line="259" w:lineRule="auto"/>
              <w:jc w:val="center"/>
              <w:rPr>
                <w:rFonts w:ascii="Calibri" w:eastAsia="Calibri" w:hAnsi="Calibri" w:cs="Times New Roman"/>
                <w:sz w:val="22"/>
              </w:rPr>
            </w:pPr>
            <w:r w:rsidRPr="00202F6B">
              <w:rPr>
                <w:rFonts w:ascii="Calibri" w:eastAsia="Calibri" w:hAnsi="Calibri" w:cs="Times New Roman"/>
                <w:sz w:val="22"/>
              </w:rPr>
              <w:t>61%</w:t>
            </w:r>
          </w:p>
        </w:tc>
      </w:tr>
      <w:tr w:rsidR="00202F6B" w:rsidRPr="00202F6B" w14:paraId="574CC543" w14:textId="77777777" w:rsidTr="00202F6B">
        <w:trPr>
          <w:tblHeader/>
        </w:trPr>
        <w:tc>
          <w:tcPr>
            <w:tcW w:w="2409" w:type="dxa"/>
            <w:shd w:val="clear" w:color="auto" w:fill="D9D9D9" w:themeFill="background1" w:themeFillShade="D9"/>
          </w:tcPr>
          <w:p w14:paraId="70772A66" w14:textId="77777777" w:rsidR="00202F6B" w:rsidRPr="00202F6B" w:rsidRDefault="00202F6B" w:rsidP="00202F6B">
            <w:pPr>
              <w:spacing w:after="160" w:line="259" w:lineRule="auto"/>
              <w:jc w:val="center"/>
              <w:rPr>
                <w:rFonts w:ascii="Calibri" w:eastAsia="Calibri" w:hAnsi="Calibri" w:cs="Times New Roman"/>
                <w:sz w:val="22"/>
              </w:rPr>
            </w:pPr>
            <w:r w:rsidRPr="00202F6B">
              <w:rPr>
                <w:rFonts w:ascii="Calibri" w:eastAsia="Calibri" w:hAnsi="Calibri" w:cs="Times New Roman"/>
                <w:sz w:val="22"/>
              </w:rPr>
              <w:t>6,000</w:t>
            </w:r>
          </w:p>
        </w:tc>
        <w:tc>
          <w:tcPr>
            <w:tcW w:w="2410" w:type="dxa"/>
            <w:shd w:val="clear" w:color="auto" w:fill="D9D9D9" w:themeFill="background1" w:themeFillShade="D9"/>
          </w:tcPr>
          <w:p w14:paraId="26A2881D" w14:textId="77777777" w:rsidR="00202F6B" w:rsidRPr="00202F6B" w:rsidRDefault="00202F6B" w:rsidP="00202F6B">
            <w:pPr>
              <w:spacing w:after="160" w:line="259" w:lineRule="auto"/>
              <w:jc w:val="center"/>
              <w:rPr>
                <w:rFonts w:ascii="Calibri" w:eastAsia="Calibri" w:hAnsi="Calibri" w:cs="Times New Roman"/>
                <w:sz w:val="22"/>
              </w:rPr>
            </w:pPr>
            <w:r w:rsidRPr="00202F6B">
              <w:rPr>
                <w:rFonts w:ascii="Calibri" w:eastAsia="Calibri" w:hAnsi="Calibri" w:cs="Times New Roman"/>
                <w:sz w:val="22"/>
              </w:rPr>
              <w:t>3</w:t>
            </w:r>
          </w:p>
        </w:tc>
        <w:tc>
          <w:tcPr>
            <w:tcW w:w="2410" w:type="dxa"/>
            <w:shd w:val="clear" w:color="auto" w:fill="D9D9D9" w:themeFill="background1" w:themeFillShade="D9"/>
          </w:tcPr>
          <w:p w14:paraId="444C7A28" w14:textId="77777777" w:rsidR="00202F6B" w:rsidRPr="00202F6B" w:rsidRDefault="00202F6B" w:rsidP="00202F6B">
            <w:pPr>
              <w:spacing w:after="160" w:line="259" w:lineRule="auto"/>
              <w:jc w:val="center"/>
              <w:rPr>
                <w:rFonts w:ascii="Calibri" w:eastAsia="Calibri" w:hAnsi="Calibri" w:cs="Times New Roman"/>
                <w:sz w:val="22"/>
              </w:rPr>
            </w:pPr>
            <w:r w:rsidRPr="00202F6B">
              <w:rPr>
                <w:rFonts w:ascii="Calibri" w:eastAsia="Calibri" w:hAnsi="Calibri" w:cs="Times New Roman"/>
                <w:sz w:val="22"/>
              </w:rPr>
              <w:t>31,064</w:t>
            </w:r>
          </w:p>
        </w:tc>
        <w:tc>
          <w:tcPr>
            <w:tcW w:w="2410" w:type="dxa"/>
            <w:shd w:val="clear" w:color="auto" w:fill="D9D9D9" w:themeFill="background1" w:themeFillShade="D9"/>
          </w:tcPr>
          <w:p w14:paraId="44F71E28" w14:textId="77777777" w:rsidR="00202F6B" w:rsidRPr="00202F6B" w:rsidRDefault="00202F6B" w:rsidP="00202F6B">
            <w:pPr>
              <w:spacing w:after="160" w:line="259" w:lineRule="auto"/>
              <w:jc w:val="center"/>
              <w:rPr>
                <w:rFonts w:ascii="Calibri" w:eastAsia="Calibri" w:hAnsi="Calibri" w:cs="Times New Roman"/>
                <w:sz w:val="22"/>
              </w:rPr>
            </w:pPr>
            <w:r w:rsidRPr="00202F6B">
              <w:rPr>
                <w:rFonts w:ascii="Calibri" w:eastAsia="Calibri" w:hAnsi="Calibri" w:cs="Times New Roman"/>
                <w:sz w:val="22"/>
              </w:rPr>
              <w:t>39%</w:t>
            </w:r>
          </w:p>
        </w:tc>
      </w:tr>
      <w:tr w:rsidR="00202F6B" w:rsidRPr="00202F6B" w14:paraId="13880259" w14:textId="77777777" w:rsidTr="00202F6B">
        <w:trPr>
          <w:tblHeader/>
        </w:trPr>
        <w:tc>
          <w:tcPr>
            <w:tcW w:w="2409" w:type="dxa"/>
            <w:shd w:val="clear" w:color="auto" w:fill="D9D9D9" w:themeFill="background1" w:themeFillShade="D9"/>
          </w:tcPr>
          <w:p w14:paraId="37388849" w14:textId="77777777" w:rsidR="00202F6B" w:rsidRPr="00202F6B" w:rsidRDefault="00202F6B" w:rsidP="00202F6B">
            <w:pPr>
              <w:spacing w:after="160" w:line="259" w:lineRule="auto"/>
              <w:jc w:val="center"/>
              <w:rPr>
                <w:rFonts w:ascii="Calibri" w:eastAsia="Calibri" w:hAnsi="Calibri" w:cs="Times New Roman"/>
                <w:sz w:val="22"/>
              </w:rPr>
            </w:pPr>
            <w:r w:rsidRPr="00202F6B">
              <w:rPr>
                <w:rFonts w:ascii="Calibri" w:eastAsia="Calibri" w:hAnsi="Calibri" w:cs="Times New Roman"/>
                <w:sz w:val="22"/>
              </w:rPr>
              <w:t>8,000</w:t>
            </w:r>
          </w:p>
        </w:tc>
        <w:tc>
          <w:tcPr>
            <w:tcW w:w="2410" w:type="dxa"/>
            <w:shd w:val="clear" w:color="auto" w:fill="D9D9D9" w:themeFill="background1" w:themeFillShade="D9"/>
          </w:tcPr>
          <w:p w14:paraId="0ED13668" w14:textId="77777777" w:rsidR="00202F6B" w:rsidRPr="00202F6B" w:rsidRDefault="00202F6B" w:rsidP="00202F6B">
            <w:pPr>
              <w:spacing w:after="160" w:line="259" w:lineRule="auto"/>
              <w:jc w:val="center"/>
              <w:rPr>
                <w:rFonts w:ascii="Calibri" w:eastAsia="Calibri" w:hAnsi="Calibri" w:cs="Times New Roman"/>
                <w:sz w:val="22"/>
              </w:rPr>
            </w:pPr>
            <w:r w:rsidRPr="00202F6B">
              <w:rPr>
                <w:rFonts w:ascii="Calibri" w:eastAsia="Calibri" w:hAnsi="Calibri" w:cs="Times New Roman"/>
                <w:sz w:val="22"/>
              </w:rPr>
              <w:t>2</w:t>
            </w:r>
          </w:p>
        </w:tc>
        <w:tc>
          <w:tcPr>
            <w:tcW w:w="2410" w:type="dxa"/>
            <w:shd w:val="clear" w:color="auto" w:fill="D9D9D9" w:themeFill="background1" w:themeFillShade="D9"/>
          </w:tcPr>
          <w:p w14:paraId="0B20FE1D" w14:textId="77777777" w:rsidR="00202F6B" w:rsidRPr="00202F6B" w:rsidRDefault="00202F6B" w:rsidP="00202F6B">
            <w:pPr>
              <w:spacing w:after="160" w:line="259" w:lineRule="auto"/>
              <w:jc w:val="center"/>
              <w:rPr>
                <w:rFonts w:ascii="Calibri" w:eastAsia="Calibri" w:hAnsi="Calibri" w:cs="Times New Roman"/>
                <w:sz w:val="22"/>
              </w:rPr>
            </w:pPr>
            <w:r w:rsidRPr="00202F6B">
              <w:rPr>
                <w:rFonts w:ascii="Calibri" w:eastAsia="Calibri" w:hAnsi="Calibri" w:cs="Times New Roman"/>
                <w:sz w:val="22"/>
              </w:rPr>
              <w:t>25,063</w:t>
            </w:r>
          </w:p>
        </w:tc>
        <w:tc>
          <w:tcPr>
            <w:tcW w:w="2410" w:type="dxa"/>
            <w:shd w:val="clear" w:color="auto" w:fill="D9D9D9" w:themeFill="background1" w:themeFillShade="D9"/>
          </w:tcPr>
          <w:p w14:paraId="0BC15935" w14:textId="77777777" w:rsidR="00202F6B" w:rsidRPr="00202F6B" w:rsidRDefault="00202F6B" w:rsidP="00202F6B">
            <w:pPr>
              <w:spacing w:after="160" w:line="259" w:lineRule="auto"/>
              <w:jc w:val="center"/>
              <w:rPr>
                <w:rFonts w:ascii="Calibri" w:eastAsia="Calibri" w:hAnsi="Calibri" w:cs="Times New Roman"/>
                <w:sz w:val="22"/>
              </w:rPr>
            </w:pPr>
            <w:r w:rsidRPr="00202F6B">
              <w:rPr>
                <w:rFonts w:ascii="Calibri" w:eastAsia="Calibri" w:hAnsi="Calibri" w:cs="Times New Roman"/>
                <w:sz w:val="22"/>
              </w:rPr>
              <w:t>32%</w:t>
            </w:r>
          </w:p>
        </w:tc>
      </w:tr>
    </w:tbl>
    <w:p w14:paraId="63CEDDBB" w14:textId="77777777" w:rsidR="000E0EC4" w:rsidRDefault="000E0EC4" w:rsidP="000E0EC4">
      <w:pPr>
        <w:pStyle w:val="List"/>
        <w:numPr>
          <w:ilvl w:val="0"/>
          <w:numId w:val="0"/>
        </w:numPr>
        <w:ind w:left="680"/>
      </w:pPr>
    </w:p>
    <w:p w14:paraId="121D4121" w14:textId="1431C669" w:rsidR="00C14A97" w:rsidRDefault="00C14A97" w:rsidP="00C14A97">
      <w:pPr>
        <w:pStyle w:val="List2"/>
      </w:pPr>
      <w:r>
        <w:t>Elexon concluded that</w:t>
      </w:r>
      <w:r w:rsidR="00E835D9">
        <w:t xml:space="preserve"> maintaining</w:t>
      </w:r>
      <w:r>
        <w:t xml:space="preserve"> a threshold of 4,000MWh and a market coverage of 6</w:t>
      </w:r>
      <w:r w:rsidR="00DF2E90">
        <w:t>1</w:t>
      </w:r>
      <w:r>
        <w:t>% of the non-compliant estimation would:</w:t>
      </w:r>
    </w:p>
    <w:p w14:paraId="07583B93" w14:textId="77777777" w:rsidR="00C14A97" w:rsidRDefault="00C14A97" w:rsidP="00C14A97">
      <w:pPr>
        <w:pStyle w:val="List2"/>
        <w:numPr>
          <w:ilvl w:val="0"/>
          <w:numId w:val="16"/>
        </w:numPr>
      </w:pPr>
      <w:r>
        <w:t>Cover the majority of non-compliant estimation whilst ensuring the number of focus Suppliers is proportional to the level of impact for that market area; and</w:t>
      </w:r>
    </w:p>
    <w:p w14:paraId="5EF22CCC" w14:textId="77777777" w:rsidR="00C14A97" w:rsidRDefault="00E835D9" w:rsidP="00C14A97">
      <w:pPr>
        <w:pStyle w:val="List2"/>
        <w:numPr>
          <w:ilvl w:val="0"/>
          <w:numId w:val="16"/>
        </w:numPr>
      </w:pPr>
      <w:r>
        <w:t xml:space="preserve">Keep the level of market coverage and number of Suppliers under focus at a similar level to that agreed as sensible during the last quarterly review in February 2021 when a 4,000MWh threshold resulted in a 66% market coverage and six focus Suppliers. It is also worth noting there are currently </w:t>
      </w:r>
      <w:r>
        <w:lastRenderedPageBreak/>
        <w:t xml:space="preserve">three Suppliers within EFR for HH MC C performance that </w:t>
      </w:r>
      <w:r w:rsidR="002C3D06">
        <w:t xml:space="preserve">now </w:t>
      </w:r>
      <w:r>
        <w:t xml:space="preserve">have </w:t>
      </w:r>
      <w:r w:rsidR="006B7960">
        <w:t>a volume of non-compliant estimation beneath the threshold but that have not yet met the criteria of reducing the volume of non-compliant estimation beneath 1,000MWh in order to exit EFR. This provides further coverage of the non-compliant estimation within this market.</w:t>
      </w:r>
    </w:p>
    <w:p w14:paraId="0BAD895F" w14:textId="77777777" w:rsidR="00C14A97" w:rsidRDefault="00C14A97" w:rsidP="00C14A97">
      <w:pPr>
        <w:pStyle w:val="List2"/>
        <w:numPr>
          <w:ilvl w:val="0"/>
          <w:numId w:val="0"/>
        </w:numPr>
        <w:ind w:left="680"/>
      </w:pPr>
    </w:p>
    <w:p w14:paraId="72B30CE6" w14:textId="5D47EE28" w:rsidR="00122265" w:rsidRDefault="00C14A97" w:rsidP="00DF2E90">
      <w:pPr>
        <w:pStyle w:val="List2"/>
        <w:numPr>
          <w:ilvl w:val="0"/>
          <w:numId w:val="0"/>
        </w:numPr>
        <w:ind w:left="1360" w:hanging="680"/>
        <w:rPr>
          <w:b/>
          <w:u w:val="single"/>
        </w:rPr>
      </w:pPr>
      <w:r w:rsidRPr="00BB5DA0">
        <w:rPr>
          <w:b/>
          <w:u w:val="single"/>
        </w:rPr>
        <w:t xml:space="preserve">HH </w:t>
      </w:r>
      <w:r>
        <w:rPr>
          <w:b/>
          <w:u w:val="single"/>
        </w:rPr>
        <w:t xml:space="preserve">Performance </w:t>
      </w:r>
      <w:r w:rsidRPr="00BB5DA0">
        <w:rPr>
          <w:b/>
          <w:u w:val="single"/>
        </w:rPr>
        <w:t>Sub 100kW – 11% of all non-compliant estimation</w:t>
      </w:r>
    </w:p>
    <w:p w14:paraId="39D027CF" w14:textId="6C6038F7" w:rsidR="00E63ADF" w:rsidRPr="00DF2E90" w:rsidRDefault="00122265" w:rsidP="00DF2E90">
      <w:pPr>
        <w:pStyle w:val="List2"/>
      </w:pPr>
      <w:r w:rsidRPr="00122265">
        <w:t xml:space="preserve">Elexon considered the effectiveness of the following thresholds for the HH </w:t>
      </w:r>
      <w:r>
        <w:t>Sub 100kW</w:t>
      </w:r>
      <w:r w:rsidRPr="00122265">
        <w:t xml:space="preserve"> market</w:t>
      </w:r>
      <w:r>
        <w:t>:</w:t>
      </w:r>
    </w:p>
    <w:tbl>
      <w:tblPr>
        <w:tblStyle w:val="TableGrid2"/>
        <w:tblW w:w="0" w:type="auto"/>
        <w:tblInd w:w="704" w:type="dxa"/>
        <w:tblLook w:val="04A0" w:firstRow="1" w:lastRow="0" w:firstColumn="1" w:lastColumn="0" w:noHBand="0" w:noVBand="1"/>
      </w:tblPr>
      <w:tblGrid>
        <w:gridCol w:w="2409"/>
        <w:gridCol w:w="2410"/>
        <w:gridCol w:w="2410"/>
        <w:gridCol w:w="2410"/>
      </w:tblGrid>
      <w:tr w:rsidR="00E63ADF" w:rsidRPr="00E63ADF" w14:paraId="6BA75C53" w14:textId="77777777" w:rsidTr="00A3104A">
        <w:trPr>
          <w:trHeight w:val="740"/>
          <w:tblHeader/>
        </w:trPr>
        <w:tc>
          <w:tcPr>
            <w:tcW w:w="2409" w:type="dxa"/>
            <w:shd w:val="clear" w:color="auto" w:fill="00008B" w:themeFill="text1"/>
          </w:tcPr>
          <w:p w14:paraId="0193F4FD" w14:textId="77777777" w:rsidR="00E63ADF" w:rsidRPr="00E63ADF" w:rsidRDefault="00E63ADF" w:rsidP="00E63ADF">
            <w:pPr>
              <w:spacing w:after="160" w:line="259" w:lineRule="auto"/>
              <w:jc w:val="center"/>
              <w:rPr>
                <w:rFonts w:ascii="Calibri" w:eastAsia="Calibri" w:hAnsi="Calibri" w:cs="Times New Roman"/>
                <w:b/>
                <w:sz w:val="22"/>
              </w:rPr>
            </w:pPr>
            <w:r w:rsidRPr="00E63ADF">
              <w:rPr>
                <w:rFonts w:ascii="Calibri" w:eastAsia="Calibri" w:hAnsi="Calibri" w:cs="Times New Roman"/>
                <w:b/>
                <w:sz w:val="22"/>
              </w:rPr>
              <w:t>Threshold (MWh)</w:t>
            </w:r>
          </w:p>
        </w:tc>
        <w:tc>
          <w:tcPr>
            <w:tcW w:w="2410" w:type="dxa"/>
            <w:shd w:val="clear" w:color="auto" w:fill="00008B" w:themeFill="text1"/>
          </w:tcPr>
          <w:p w14:paraId="242A37A6" w14:textId="77777777" w:rsidR="00E63ADF" w:rsidRPr="00E63ADF" w:rsidRDefault="00E63ADF" w:rsidP="00E63ADF">
            <w:pPr>
              <w:spacing w:after="160" w:line="259" w:lineRule="auto"/>
              <w:jc w:val="center"/>
              <w:rPr>
                <w:rFonts w:ascii="Calibri" w:eastAsia="Calibri" w:hAnsi="Calibri" w:cs="Times New Roman"/>
                <w:b/>
                <w:sz w:val="22"/>
              </w:rPr>
            </w:pPr>
            <w:r w:rsidRPr="00E63ADF">
              <w:rPr>
                <w:rFonts w:ascii="Calibri" w:eastAsia="Calibri" w:hAnsi="Calibri" w:cs="Times New Roman"/>
                <w:b/>
                <w:sz w:val="22"/>
              </w:rPr>
              <w:t>No of Suppliers</w:t>
            </w:r>
          </w:p>
        </w:tc>
        <w:tc>
          <w:tcPr>
            <w:tcW w:w="2410" w:type="dxa"/>
            <w:shd w:val="clear" w:color="auto" w:fill="00008B" w:themeFill="text1"/>
          </w:tcPr>
          <w:p w14:paraId="02A59574" w14:textId="77777777" w:rsidR="00E63ADF" w:rsidRPr="00E63ADF" w:rsidRDefault="00E63ADF" w:rsidP="00E63ADF">
            <w:pPr>
              <w:spacing w:after="160" w:line="259" w:lineRule="auto"/>
              <w:jc w:val="center"/>
              <w:rPr>
                <w:rFonts w:ascii="Calibri" w:eastAsia="Calibri" w:hAnsi="Calibri" w:cs="Times New Roman"/>
                <w:b/>
                <w:sz w:val="22"/>
              </w:rPr>
            </w:pPr>
            <w:r w:rsidRPr="00E63ADF">
              <w:rPr>
                <w:rFonts w:ascii="Calibri" w:eastAsia="Calibri" w:hAnsi="Calibri" w:cs="Times New Roman"/>
                <w:b/>
                <w:sz w:val="22"/>
              </w:rPr>
              <w:t>Vol of non-compliant energy</w:t>
            </w:r>
          </w:p>
        </w:tc>
        <w:tc>
          <w:tcPr>
            <w:tcW w:w="2410" w:type="dxa"/>
            <w:shd w:val="clear" w:color="auto" w:fill="00008B" w:themeFill="text1"/>
          </w:tcPr>
          <w:p w14:paraId="25634052" w14:textId="77777777" w:rsidR="00E63ADF" w:rsidRPr="00E63ADF" w:rsidRDefault="00E63ADF" w:rsidP="00E63ADF">
            <w:pPr>
              <w:spacing w:after="160" w:line="259" w:lineRule="auto"/>
              <w:jc w:val="center"/>
              <w:rPr>
                <w:rFonts w:ascii="Calibri" w:eastAsia="Calibri" w:hAnsi="Calibri" w:cs="Times New Roman"/>
                <w:b/>
                <w:sz w:val="22"/>
              </w:rPr>
            </w:pPr>
            <w:r w:rsidRPr="00E63ADF">
              <w:rPr>
                <w:rFonts w:ascii="Calibri" w:eastAsia="Calibri" w:hAnsi="Calibri" w:cs="Times New Roman"/>
                <w:b/>
                <w:sz w:val="22"/>
              </w:rPr>
              <w:t>% coverage of non-compliant energy in this market</w:t>
            </w:r>
          </w:p>
        </w:tc>
      </w:tr>
      <w:tr w:rsidR="00E63ADF" w:rsidRPr="00E63ADF" w14:paraId="2E871FCE" w14:textId="77777777" w:rsidTr="00A3104A">
        <w:trPr>
          <w:trHeight w:val="344"/>
          <w:tblHeader/>
        </w:trPr>
        <w:tc>
          <w:tcPr>
            <w:tcW w:w="2409" w:type="dxa"/>
            <w:shd w:val="clear" w:color="auto" w:fill="E9E6E7" w:themeFill="text2" w:themeFillTint="1A"/>
          </w:tcPr>
          <w:p w14:paraId="0E8DBCC7" w14:textId="77777777" w:rsidR="00E63ADF" w:rsidRPr="00E63ADF" w:rsidRDefault="00E63ADF" w:rsidP="00E63ADF">
            <w:pPr>
              <w:spacing w:after="160" w:line="259" w:lineRule="auto"/>
              <w:jc w:val="center"/>
              <w:rPr>
                <w:rFonts w:ascii="Calibri" w:eastAsia="Calibri" w:hAnsi="Calibri" w:cs="Times New Roman"/>
                <w:sz w:val="22"/>
              </w:rPr>
            </w:pPr>
            <w:r w:rsidRPr="00E63ADF">
              <w:rPr>
                <w:rFonts w:ascii="Calibri" w:eastAsia="Calibri" w:hAnsi="Calibri" w:cs="Times New Roman"/>
                <w:sz w:val="22"/>
              </w:rPr>
              <w:t>1,000</w:t>
            </w:r>
          </w:p>
        </w:tc>
        <w:tc>
          <w:tcPr>
            <w:tcW w:w="2410" w:type="dxa"/>
            <w:shd w:val="clear" w:color="auto" w:fill="E9E6E7" w:themeFill="text2" w:themeFillTint="1A"/>
          </w:tcPr>
          <w:p w14:paraId="6E8FC747" w14:textId="77777777" w:rsidR="00E63ADF" w:rsidRPr="00E63ADF" w:rsidRDefault="00E63ADF" w:rsidP="00E63ADF">
            <w:pPr>
              <w:spacing w:after="160" w:line="259" w:lineRule="auto"/>
              <w:jc w:val="center"/>
              <w:rPr>
                <w:rFonts w:ascii="Calibri" w:eastAsia="Calibri" w:hAnsi="Calibri" w:cs="Times New Roman"/>
                <w:sz w:val="22"/>
              </w:rPr>
            </w:pPr>
            <w:r w:rsidRPr="00E63ADF">
              <w:rPr>
                <w:rFonts w:ascii="Calibri" w:eastAsia="Calibri" w:hAnsi="Calibri" w:cs="Times New Roman"/>
                <w:sz w:val="22"/>
              </w:rPr>
              <w:t>12</w:t>
            </w:r>
          </w:p>
        </w:tc>
        <w:tc>
          <w:tcPr>
            <w:tcW w:w="2410" w:type="dxa"/>
            <w:shd w:val="clear" w:color="auto" w:fill="E9E6E7" w:themeFill="text2" w:themeFillTint="1A"/>
          </w:tcPr>
          <w:p w14:paraId="1CDCD659" w14:textId="77777777" w:rsidR="00E63ADF" w:rsidRPr="00E63ADF" w:rsidRDefault="00E63ADF" w:rsidP="00E63ADF">
            <w:pPr>
              <w:tabs>
                <w:tab w:val="left" w:pos="315"/>
              </w:tabs>
              <w:spacing w:after="160" w:line="259" w:lineRule="auto"/>
              <w:jc w:val="center"/>
              <w:rPr>
                <w:rFonts w:ascii="Calibri" w:eastAsia="Calibri" w:hAnsi="Calibri" w:cs="Times New Roman"/>
                <w:sz w:val="22"/>
              </w:rPr>
            </w:pPr>
            <w:r w:rsidRPr="00E63ADF">
              <w:rPr>
                <w:rFonts w:ascii="Calibri" w:eastAsia="Calibri" w:hAnsi="Calibri" w:cs="Times New Roman"/>
                <w:sz w:val="22"/>
              </w:rPr>
              <w:t>33,181</w:t>
            </w:r>
          </w:p>
        </w:tc>
        <w:tc>
          <w:tcPr>
            <w:tcW w:w="2410" w:type="dxa"/>
            <w:shd w:val="clear" w:color="auto" w:fill="E9E6E7" w:themeFill="text2" w:themeFillTint="1A"/>
          </w:tcPr>
          <w:p w14:paraId="5F17C901" w14:textId="77777777" w:rsidR="00E63ADF" w:rsidRPr="00E63ADF" w:rsidRDefault="00E63ADF" w:rsidP="00E63ADF">
            <w:pPr>
              <w:spacing w:after="160" w:line="259" w:lineRule="auto"/>
              <w:jc w:val="center"/>
              <w:rPr>
                <w:rFonts w:ascii="Calibri" w:eastAsia="Calibri" w:hAnsi="Calibri" w:cs="Times New Roman"/>
                <w:sz w:val="22"/>
              </w:rPr>
            </w:pPr>
            <w:r w:rsidRPr="00E63ADF">
              <w:rPr>
                <w:rFonts w:ascii="Calibri" w:eastAsia="Calibri" w:hAnsi="Calibri" w:cs="Times New Roman"/>
                <w:sz w:val="22"/>
              </w:rPr>
              <w:t>80%</w:t>
            </w:r>
          </w:p>
        </w:tc>
      </w:tr>
      <w:tr w:rsidR="00E63ADF" w:rsidRPr="00E63ADF" w14:paraId="3B54BDEF" w14:textId="77777777" w:rsidTr="00A3104A">
        <w:trPr>
          <w:trHeight w:val="322"/>
          <w:tblHeader/>
        </w:trPr>
        <w:tc>
          <w:tcPr>
            <w:tcW w:w="2409" w:type="dxa"/>
            <w:shd w:val="clear" w:color="auto" w:fill="E9E6E7" w:themeFill="text2" w:themeFillTint="1A"/>
          </w:tcPr>
          <w:p w14:paraId="10DBDFA8" w14:textId="77777777" w:rsidR="00E63ADF" w:rsidRPr="00E63ADF" w:rsidRDefault="00E63ADF" w:rsidP="00E63ADF">
            <w:pPr>
              <w:spacing w:after="160" w:line="259" w:lineRule="auto"/>
              <w:jc w:val="center"/>
              <w:rPr>
                <w:rFonts w:ascii="Calibri" w:eastAsia="Calibri" w:hAnsi="Calibri" w:cs="Times New Roman"/>
                <w:sz w:val="22"/>
              </w:rPr>
            </w:pPr>
            <w:r w:rsidRPr="00E63ADF">
              <w:rPr>
                <w:rFonts w:ascii="Calibri" w:eastAsia="Calibri" w:hAnsi="Calibri" w:cs="Times New Roman"/>
                <w:sz w:val="22"/>
              </w:rPr>
              <w:t>2,000</w:t>
            </w:r>
          </w:p>
        </w:tc>
        <w:tc>
          <w:tcPr>
            <w:tcW w:w="2410" w:type="dxa"/>
            <w:shd w:val="clear" w:color="auto" w:fill="E9E6E7" w:themeFill="text2" w:themeFillTint="1A"/>
          </w:tcPr>
          <w:p w14:paraId="5E1FDDE3" w14:textId="77777777" w:rsidR="00E63ADF" w:rsidRPr="00E63ADF" w:rsidRDefault="00E63ADF" w:rsidP="00E63ADF">
            <w:pPr>
              <w:spacing w:after="160" w:line="259" w:lineRule="auto"/>
              <w:jc w:val="center"/>
              <w:rPr>
                <w:rFonts w:ascii="Calibri" w:eastAsia="Calibri" w:hAnsi="Calibri" w:cs="Times New Roman"/>
                <w:sz w:val="22"/>
              </w:rPr>
            </w:pPr>
            <w:r w:rsidRPr="00E63ADF">
              <w:rPr>
                <w:rFonts w:ascii="Calibri" w:eastAsia="Calibri" w:hAnsi="Calibri" w:cs="Times New Roman"/>
                <w:sz w:val="22"/>
              </w:rPr>
              <w:t>8</w:t>
            </w:r>
          </w:p>
        </w:tc>
        <w:tc>
          <w:tcPr>
            <w:tcW w:w="2410" w:type="dxa"/>
            <w:shd w:val="clear" w:color="auto" w:fill="E9E6E7" w:themeFill="text2" w:themeFillTint="1A"/>
          </w:tcPr>
          <w:p w14:paraId="07902D9A" w14:textId="77777777" w:rsidR="00E63ADF" w:rsidRPr="00E63ADF" w:rsidRDefault="00E63ADF" w:rsidP="00E63ADF">
            <w:pPr>
              <w:spacing w:after="160" w:line="259" w:lineRule="auto"/>
              <w:jc w:val="center"/>
              <w:rPr>
                <w:rFonts w:ascii="Calibri" w:eastAsia="Calibri" w:hAnsi="Calibri" w:cs="Times New Roman"/>
                <w:sz w:val="22"/>
              </w:rPr>
            </w:pPr>
            <w:r w:rsidRPr="00E63ADF">
              <w:rPr>
                <w:rFonts w:ascii="Calibri" w:eastAsia="Calibri" w:hAnsi="Calibri" w:cs="Times New Roman"/>
                <w:sz w:val="22"/>
              </w:rPr>
              <w:t>28,823</w:t>
            </w:r>
          </w:p>
        </w:tc>
        <w:tc>
          <w:tcPr>
            <w:tcW w:w="2410" w:type="dxa"/>
            <w:shd w:val="clear" w:color="auto" w:fill="E9E6E7" w:themeFill="text2" w:themeFillTint="1A"/>
          </w:tcPr>
          <w:p w14:paraId="41322225" w14:textId="77777777" w:rsidR="00E63ADF" w:rsidRPr="00E63ADF" w:rsidRDefault="00E63ADF" w:rsidP="00E63ADF">
            <w:pPr>
              <w:spacing w:after="160" w:line="259" w:lineRule="auto"/>
              <w:jc w:val="center"/>
              <w:rPr>
                <w:rFonts w:ascii="Calibri" w:eastAsia="Calibri" w:hAnsi="Calibri" w:cs="Times New Roman"/>
                <w:sz w:val="22"/>
              </w:rPr>
            </w:pPr>
            <w:r w:rsidRPr="00E63ADF">
              <w:rPr>
                <w:rFonts w:ascii="Calibri" w:eastAsia="Calibri" w:hAnsi="Calibri" w:cs="Times New Roman"/>
                <w:sz w:val="22"/>
              </w:rPr>
              <w:t>69%</w:t>
            </w:r>
          </w:p>
        </w:tc>
      </w:tr>
      <w:tr w:rsidR="00E63ADF" w:rsidRPr="00E63ADF" w14:paraId="3B093659" w14:textId="77777777" w:rsidTr="00A3104A">
        <w:trPr>
          <w:trHeight w:val="272"/>
          <w:tblHeader/>
        </w:trPr>
        <w:tc>
          <w:tcPr>
            <w:tcW w:w="2409" w:type="dxa"/>
            <w:shd w:val="clear" w:color="auto" w:fill="E9E6E7" w:themeFill="text2" w:themeFillTint="1A"/>
          </w:tcPr>
          <w:p w14:paraId="3D074128" w14:textId="77777777" w:rsidR="00E63ADF" w:rsidRPr="00E63ADF" w:rsidRDefault="00E63ADF" w:rsidP="00E63ADF">
            <w:pPr>
              <w:spacing w:after="160" w:line="259" w:lineRule="auto"/>
              <w:jc w:val="center"/>
              <w:rPr>
                <w:rFonts w:ascii="Calibri" w:eastAsia="Calibri" w:hAnsi="Calibri" w:cs="Times New Roman"/>
                <w:sz w:val="22"/>
              </w:rPr>
            </w:pPr>
            <w:r w:rsidRPr="00E63ADF">
              <w:rPr>
                <w:rFonts w:ascii="Calibri" w:eastAsia="Calibri" w:hAnsi="Calibri" w:cs="Times New Roman"/>
                <w:sz w:val="22"/>
              </w:rPr>
              <w:t>3,000</w:t>
            </w:r>
          </w:p>
        </w:tc>
        <w:tc>
          <w:tcPr>
            <w:tcW w:w="2410" w:type="dxa"/>
            <w:shd w:val="clear" w:color="auto" w:fill="E9E6E7" w:themeFill="text2" w:themeFillTint="1A"/>
          </w:tcPr>
          <w:p w14:paraId="5A5B725F" w14:textId="77777777" w:rsidR="00E63ADF" w:rsidRPr="00E63ADF" w:rsidRDefault="00E63ADF" w:rsidP="00E63ADF">
            <w:pPr>
              <w:spacing w:after="160" w:line="259" w:lineRule="auto"/>
              <w:jc w:val="center"/>
              <w:rPr>
                <w:rFonts w:ascii="Calibri" w:eastAsia="Calibri" w:hAnsi="Calibri" w:cs="Times New Roman"/>
                <w:sz w:val="22"/>
              </w:rPr>
            </w:pPr>
            <w:r w:rsidRPr="00E63ADF">
              <w:rPr>
                <w:rFonts w:ascii="Calibri" w:eastAsia="Calibri" w:hAnsi="Calibri" w:cs="Times New Roman"/>
                <w:sz w:val="22"/>
              </w:rPr>
              <w:t>4</w:t>
            </w:r>
          </w:p>
        </w:tc>
        <w:tc>
          <w:tcPr>
            <w:tcW w:w="2410" w:type="dxa"/>
            <w:shd w:val="clear" w:color="auto" w:fill="E9E6E7" w:themeFill="text2" w:themeFillTint="1A"/>
          </w:tcPr>
          <w:p w14:paraId="013F945C" w14:textId="77777777" w:rsidR="00E63ADF" w:rsidRPr="00E63ADF" w:rsidRDefault="00E63ADF" w:rsidP="00E63ADF">
            <w:pPr>
              <w:spacing w:after="160" w:line="259" w:lineRule="auto"/>
              <w:jc w:val="center"/>
              <w:rPr>
                <w:rFonts w:ascii="Calibri" w:eastAsia="Calibri" w:hAnsi="Calibri" w:cs="Times New Roman"/>
                <w:sz w:val="22"/>
              </w:rPr>
            </w:pPr>
            <w:r w:rsidRPr="00E63ADF">
              <w:rPr>
                <w:rFonts w:ascii="Calibri" w:eastAsia="Calibri" w:hAnsi="Calibri" w:cs="Times New Roman"/>
                <w:sz w:val="22"/>
              </w:rPr>
              <w:t>19,048</w:t>
            </w:r>
          </w:p>
        </w:tc>
        <w:tc>
          <w:tcPr>
            <w:tcW w:w="2410" w:type="dxa"/>
            <w:shd w:val="clear" w:color="auto" w:fill="E9E6E7" w:themeFill="text2" w:themeFillTint="1A"/>
          </w:tcPr>
          <w:p w14:paraId="7F2B4BD5" w14:textId="77777777" w:rsidR="00E63ADF" w:rsidRPr="00E63ADF" w:rsidRDefault="00E63ADF" w:rsidP="00E63ADF">
            <w:pPr>
              <w:spacing w:after="160" w:line="259" w:lineRule="auto"/>
              <w:jc w:val="center"/>
              <w:rPr>
                <w:rFonts w:ascii="Calibri" w:eastAsia="Calibri" w:hAnsi="Calibri" w:cs="Times New Roman"/>
                <w:sz w:val="22"/>
              </w:rPr>
            </w:pPr>
            <w:r w:rsidRPr="00E63ADF">
              <w:rPr>
                <w:rFonts w:ascii="Calibri" w:eastAsia="Calibri" w:hAnsi="Calibri" w:cs="Times New Roman"/>
                <w:sz w:val="22"/>
              </w:rPr>
              <w:t>46%</w:t>
            </w:r>
          </w:p>
        </w:tc>
      </w:tr>
      <w:tr w:rsidR="00E63ADF" w:rsidRPr="00E63ADF" w14:paraId="69DC6415" w14:textId="77777777" w:rsidTr="00A3104A">
        <w:trPr>
          <w:trHeight w:val="393"/>
          <w:tblHeader/>
        </w:trPr>
        <w:tc>
          <w:tcPr>
            <w:tcW w:w="2409" w:type="dxa"/>
          </w:tcPr>
          <w:p w14:paraId="6B76BF09" w14:textId="77777777" w:rsidR="00E63ADF" w:rsidRPr="00E63ADF" w:rsidRDefault="00E63ADF" w:rsidP="00E63ADF">
            <w:pPr>
              <w:spacing w:after="160" w:line="259" w:lineRule="auto"/>
              <w:jc w:val="center"/>
              <w:rPr>
                <w:rFonts w:ascii="Calibri" w:eastAsia="Calibri" w:hAnsi="Calibri" w:cs="Times New Roman"/>
                <w:sz w:val="22"/>
              </w:rPr>
            </w:pPr>
            <w:r w:rsidRPr="00E63ADF">
              <w:rPr>
                <w:rFonts w:ascii="Calibri" w:eastAsia="Calibri" w:hAnsi="Calibri" w:cs="Times New Roman"/>
                <w:sz w:val="22"/>
              </w:rPr>
              <w:t>4,000</w:t>
            </w:r>
          </w:p>
        </w:tc>
        <w:tc>
          <w:tcPr>
            <w:tcW w:w="2410" w:type="dxa"/>
          </w:tcPr>
          <w:p w14:paraId="458B99C8" w14:textId="77777777" w:rsidR="00E63ADF" w:rsidRPr="00E63ADF" w:rsidRDefault="00E63ADF" w:rsidP="00E63ADF">
            <w:pPr>
              <w:spacing w:after="160" w:line="259" w:lineRule="auto"/>
              <w:jc w:val="center"/>
              <w:rPr>
                <w:rFonts w:ascii="Calibri" w:eastAsia="Calibri" w:hAnsi="Calibri" w:cs="Times New Roman"/>
                <w:sz w:val="22"/>
              </w:rPr>
            </w:pPr>
            <w:r w:rsidRPr="00E63ADF">
              <w:rPr>
                <w:rFonts w:ascii="Calibri" w:eastAsia="Calibri" w:hAnsi="Calibri" w:cs="Times New Roman"/>
                <w:sz w:val="22"/>
              </w:rPr>
              <w:t>3</w:t>
            </w:r>
          </w:p>
        </w:tc>
        <w:tc>
          <w:tcPr>
            <w:tcW w:w="2410" w:type="dxa"/>
          </w:tcPr>
          <w:p w14:paraId="17975B82" w14:textId="77777777" w:rsidR="00E63ADF" w:rsidRPr="00E63ADF" w:rsidRDefault="00E63ADF" w:rsidP="00E63ADF">
            <w:pPr>
              <w:spacing w:after="160" w:line="259" w:lineRule="auto"/>
              <w:jc w:val="center"/>
              <w:rPr>
                <w:rFonts w:ascii="Calibri" w:eastAsia="Calibri" w:hAnsi="Calibri" w:cs="Times New Roman"/>
                <w:sz w:val="22"/>
              </w:rPr>
            </w:pPr>
            <w:r w:rsidRPr="00E63ADF">
              <w:rPr>
                <w:rFonts w:ascii="Calibri" w:eastAsia="Calibri" w:hAnsi="Calibri" w:cs="Times New Roman"/>
                <w:sz w:val="22"/>
              </w:rPr>
              <w:t>15,170</w:t>
            </w:r>
          </w:p>
        </w:tc>
        <w:tc>
          <w:tcPr>
            <w:tcW w:w="2410" w:type="dxa"/>
          </w:tcPr>
          <w:p w14:paraId="249E5981" w14:textId="77777777" w:rsidR="00E63ADF" w:rsidRPr="00E63ADF" w:rsidRDefault="00E63ADF" w:rsidP="00E63ADF">
            <w:pPr>
              <w:spacing w:after="160" w:line="259" w:lineRule="auto"/>
              <w:jc w:val="center"/>
              <w:rPr>
                <w:rFonts w:ascii="Calibri" w:eastAsia="Calibri" w:hAnsi="Calibri" w:cs="Times New Roman"/>
                <w:sz w:val="22"/>
              </w:rPr>
            </w:pPr>
            <w:r w:rsidRPr="00E63ADF">
              <w:rPr>
                <w:rFonts w:ascii="Calibri" w:eastAsia="Calibri" w:hAnsi="Calibri" w:cs="Times New Roman"/>
                <w:sz w:val="22"/>
              </w:rPr>
              <w:t>36%</w:t>
            </w:r>
          </w:p>
        </w:tc>
      </w:tr>
      <w:tr w:rsidR="00E63ADF" w:rsidRPr="00E63ADF" w14:paraId="2EFFC821" w14:textId="77777777" w:rsidTr="00A3104A">
        <w:trPr>
          <w:trHeight w:val="200"/>
          <w:tblHeader/>
        </w:trPr>
        <w:tc>
          <w:tcPr>
            <w:tcW w:w="2409" w:type="dxa"/>
            <w:shd w:val="clear" w:color="auto" w:fill="E9E6E7" w:themeFill="text2" w:themeFillTint="1A"/>
          </w:tcPr>
          <w:p w14:paraId="46F858A3" w14:textId="77777777" w:rsidR="00E63ADF" w:rsidRPr="00E63ADF" w:rsidRDefault="00E63ADF" w:rsidP="00E63ADF">
            <w:pPr>
              <w:spacing w:after="160" w:line="259" w:lineRule="auto"/>
              <w:jc w:val="center"/>
              <w:rPr>
                <w:rFonts w:ascii="Calibri" w:eastAsia="Calibri" w:hAnsi="Calibri" w:cs="Times New Roman"/>
                <w:sz w:val="22"/>
              </w:rPr>
            </w:pPr>
            <w:r w:rsidRPr="00E63ADF">
              <w:rPr>
                <w:rFonts w:ascii="Calibri" w:eastAsia="Calibri" w:hAnsi="Calibri" w:cs="Times New Roman"/>
                <w:sz w:val="22"/>
              </w:rPr>
              <w:t>5,000</w:t>
            </w:r>
          </w:p>
        </w:tc>
        <w:tc>
          <w:tcPr>
            <w:tcW w:w="2410" w:type="dxa"/>
            <w:shd w:val="clear" w:color="auto" w:fill="E9E6E7" w:themeFill="text2" w:themeFillTint="1A"/>
          </w:tcPr>
          <w:p w14:paraId="406D4B58" w14:textId="77777777" w:rsidR="00E63ADF" w:rsidRPr="00E63ADF" w:rsidRDefault="00E63ADF" w:rsidP="00E63ADF">
            <w:pPr>
              <w:spacing w:after="160" w:line="259" w:lineRule="auto"/>
              <w:jc w:val="center"/>
              <w:rPr>
                <w:rFonts w:ascii="Calibri" w:eastAsia="Calibri" w:hAnsi="Calibri" w:cs="Times New Roman"/>
                <w:sz w:val="22"/>
              </w:rPr>
            </w:pPr>
            <w:r w:rsidRPr="00E63ADF">
              <w:rPr>
                <w:rFonts w:ascii="Calibri" w:eastAsia="Calibri" w:hAnsi="Calibri" w:cs="Times New Roman"/>
                <w:sz w:val="22"/>
              </w:rPr>
              <w:t>2</w:t>
            </w:r>
          </w:p>
        </w:tc>
        <w:tc>
          <w:tcPr>
            <w:tcW w:w="2410" w:type="dxa"/>
            <w:shd w:val="clear" w:color="auto" w:fill="E9E6E7" w:themeFill="text2" w:themeFillTint="1A"/>
          </w:tcPr>
          <w:p w14:paraId="3BF0388D" w14:textId="77777777" w:rsidR="00E63ADF" w:rsidRPr="00E63ADF" w:rsidRDefault="00E63ADF" w:rsidP="00E63ADF">
            <w:pPr>
              <w:spacing w:after="160" w:line="259" w:lineRule="auto"/>
              <w:jc w:val="center"/>
              <w:rPr>
                <w:rFonts w:ascii="Calibri" w:eastAsia="Calibri" w:hAnsi="Calibri" w:cs="Times New Roman"/>
                <w:sz w:val="22"/>
              </w:rPr>
            </w:pPr>
            <w:r w:rsidRPr="00E63ADF">
              <w:rPr>
                <w:rFonts w:ascii="Calibri" w:eastAsia="Calibri" w:hAnsi="Calibri" w:cs="Times New Roman"/>
                <w:sz w:val="22"/>
              </w:rPr>
              <w:t>11,135</w:t>
            </w:r>
          </w:p>
        </w:tc>
        <w:tc>
          <w:tcPr>
            <w:tcW w:w="2410" w:type="dxa"/>
            <w:shd w:val="clear" w:color="auto" w:fill="E9E6E7" w:themeFill="text2" w:themeFillTint="1A"/>
          </w:tcPr>
          <w:p w14:paraId="09B63AF0" w14:textId="77777777" w:rsidR="00E63ADF" w:rsidRPr="00E63ADF" w:rsidRDefault="00E63ADF" w:rsidP="00E63ADF">
            <w:pPr>
              <w:spacing w:after="160" w:line="259" w:lineRule="auto"/>
              <w:jc w:val="center"/>
              <w:rPr>
                <w:rFonts w:ascii="Calibri" w:eastAsia="Calibri" w:hAnsi="Calibri" w:cs="Times New Roman"/>
                <w:sz w:val="22"/>
              </w:rPr>
            </w:pPr>
            <w:r w:rsidRPr="00E63ADF">
              <w:rPr>
                <w:rFonts w:ascii="Calibri" w:eastAsia="Calibri" w:hAnsi="Calibri" w:cs="Times New Roman"/>
                <w:sz w:val="22"/>
              </w:rPr>
              <w:t>27%</w:t>
            </w:r>
          </w:p>
        </w:tc>
      </w:tr>
    </w:tbl>
    <w:p w14:paraId="07D479A0" w14:textId="77777777" w:rsidR="00E63ADF" w:rsidRDefault="00E63ADF" w:rsidP="00A3104A">
      <w:pPr>
        <w:pStyle w:val="List2"/>
        <w:numPr>
          <w:ilvl w:val="0"/>
          <w:numId w:val="0"/>
        </w:numPr>
        <w:rPr>
          <w:b/>
          <w:u w:val="single"/>
        </w:rPr>
      </w:pPr>
    </w:p>
    <w:p w14:paraId="7D4AA9F1" w14:textId="77777777" w:rsidR="004543E4" w:rsidRDefault="004543E4" w:rsidP="004543E4">
      <w:pPr>
        <w:pStyle w:val="List2"/>
      </w:pPr>
      <w:r>
        <w:t>Elexon concluded that maintaining a threshold of 4,000MWh and a market coverage of 36% of the non-compliant estimation would:</w:t>
      </w:r>
    </w:p>
    <w:p w14:paraId="346672F2" w14:textId="77777777" w:rsidR="004543E4" w:rsidRDefault="004543E4" w:rsidP="004543E4">
      <w:pPr>
        <w:pStyle w:val="List2"/>
        <w:numPr>
          <w:ilvl w:val="0"/>
          <w:numId w:val="16"/>
        </w:numPr>
      </w:pPr>
      <w:r>
        <w:t>Cover the majority of non-compliant estimation whilst ensuring the number of focus Suppliers is proportional to the level of impact for that market area</w:t>
      </w:r>
      <w:r w:rsidR="00A3104A">
        <w:t xml:space="preserve"> (this market area only has 11% of all non-compliant estimation but was a much larger proportion prior to the pandemic so it is important to maintain so oversight and action here)</w:t>
      </w:r>
      <w:r>
        <w:t>; and</w:t>
      </w:r>
    </w:p>
    <w:p w14:paraId="59547312" w14:textId="77777777" w:rsidR="004543E4" w:rsidRDefault="004543E4" w:rsidP="004543E4">
      <w:pPr>
        <w:pStyle w:val="List2"/>
        <w:numPr>
          <w:ilvl w:val="0"/>
          <w:numId w:val="16"/>
        </w:numPr>
      </w:pPr>
      <w:r>
        <w:t xml:space="preserve">Keep the level of market coverage and number of Suppliers under focus at a similar level to that agreed as sensible during the last quarterly review in February 2021 when a 4,000MWh threshold resulted in a </w:t>
      </w:r>
      <w:r w:rsidR="00A3104A">
        <w:t>37</w:t>
      </w:r>
      <w:r>
        <w:t xml:space="preserve">% market coverage and </w:t>
      </w:r>
      <w:r w:rsidR="00A3104A">
        <w:t>three</w:t>
      </w:r>
      <w:r>
        <w:t xml:space="preserve"> focus Suppliers. </w:t>
      </w:r>
    </w:p>
    <w:p w14:paraId="17CF6C7B" w14:textId="77777777" w:rsidR="00C14A97" w:rsidRDefault="00C14A97" w:rsidP="00C14A97">
      <w:pPr>
        <w:pStyle w:val="List2"/>
        <w:numPr>
          <w:ilvl w:val="0"/>
          <w:numId w:val="0"/>
        </w:numPr>
      </w:pPr>
    </w:p>
    <w:p w14:paraId="00AF3269" w14:textId="5E4CC789" w:rsidR="00122265" w:rsidRDefault="00C14A97" w:rsidP="00DF2E90">
      <w:pPr>
        <w:pStyle w:val="List2"/>
        <w:numPr>
          <w:ilvl w:val="0"/>
          <w:numId w:val="0"/>
        </w:numPr>
        <w:ind w:left="680"/>
        <w:rPr>
          <w:b/>
          <w:u w:val="single"/>
        </w:rPr>
      </w:pPr>
      <w:r w:rsidRPr="00A56C23">
        <w:rPr>
          <w:b/>
          <w:u w:val="single"/>
        </w:rPr>
        <w:t>NHH Performance – 6</w:t>
      </w:r>
      <w:r w:rsidR="00A3104A">
        <w:rPr>
          <w:b/>
          <w:u w:val="single"/>
        </w:rPr>
        <w:t>7</w:t>
      </w:r>
      <w:r w:rsidRPr="00A56C23">
        <w:rPr>
          <w:b/>
          <w:u w:val="single"/>
        </w:rPr>
        <w:t>% of all non-compliant estimation</w:t>
      </w:r>
    </w:p>
    <w:p w14:paraId="5C3D3C81" w14:textId="337F7172" w:rsidR="00122265" w:rsidRPr="00DF2E90" w:rsidRDefault="00122265" w:rsidP="007F13F0">
      <w:pPr>
        <w:pStyle w:val="List2"/>
      </w:pPr>
      <w:r w:rsidRPr="00122265">
        <w:t xml:space="preserve">Elexon considered the effectiveness of the following thresholds for the </w:t>
      </w:r>
      <w:r>
        <w:t>NHH</w:t>
      </w:r>
      <w:r w:rsidRPr="00122265">
        <w:t xml:space="preserve"> market</w:t>
      </w:r>
      <w:r>
        <w:t>:</w:t>
      </w:r>
    </w:p>
    <w:tbl>
      <w:tblPr>
        <w:tblStyle w:val="TableGrid3"/>
        <w:tblW w:w="0" w:type="auto"/>
        <w:tblInd w:w="421" w:type="dxa"/>
        <w:tblLook w:val="04A0" w:firstRow="1" w:lastRow="0" w:firstColumn="1" w:lastColumn="0" w:noHBand="0" w:noVBand="1"/>
      </w:tblPr>
      <w:tblGrid>
        <w:gridCol w:w="2374"/>
        <w:gridCol w:w="2374"/>
        <w:gridCol w:w="2374"/>
        <w:gridCol w:w="2375"/>
      </w:tblGrid>
      <w:tr w:rsidR="002C3D06" w:rsidRPr="002C3D06" w14:paraId="0187EDC3" w14:textId="77777777" w:rsidTr="00537423">
        <w:tc>
          <w:tcPr>
            <w:tcW w:w="2374" w:type="dxa"/>
            <w:shd w:val="clear" w:color="auto" w:fill="00008B" w:themeFill="text1"/>
          </w:tcPr>
          <w:p w14:paraId="3446FAEE" w14:textId="77777777" w:rsidR="002C3D06" w:rsidRPr="002C3D06" w:rsidRDefault="002C3D06" w:rsidP="002C3D06">
            <w:pPr>
              <w:spacing w:after="0" w:line="240" w:lineRule="auto"/>
              <w:jc w:val="center"/>
              <w:rPr>
                <w:rFonts w:ascii="Calibri" w:eastAsia="Calibri" w:hAnsi="Calibri" w:cs="Times New Roman"/>
                <w:b/>
                <w:sz w:val="22"/>
              </w:rPr>
            </w:pPr>
            <w:r w:rsidRPr="002C3D06">
              <w:rPr>
                <w:rFonts w:ascii="Calibri" w:eastAsia="Calibri" w:hAnsi="Calibri" w:cs="Times New Roman"/>
                <w:b/>
                <w:sz w:val="22"/>
              </w:rPr>
              <w:t>Threshold (MWh)</w:t>
            </w:r>
          </w:p>
        </w:tc>
        <w:tc>
          <w:tcPr>
            <w:tcW w:w="2374" w:type="dxa"/>
            <w:shd w:val="clear" w:color="auto" w:fill="00008B" w:themeFill="text1"/>
          </w:tcPr>
          <w:p w14:paraId="22153CAD" w14:textId="77777777" w:rsidR="002C3D06" w:rsidRPr="002C3D06" w:rsidRDefault="002C3D06" w:rsidP="002C3D06">
            <w:pPr>
              <w:spacing w:after="0" w:line="240" w:lineRule="auto"/>
              <w:jc w:val="center"/>
              <w:rPr>
                <w:rFonts w:ascii="Calibri" w:eastAsia="Calibri" w:hAnsi="Calibri" w:cs="Times New Roman"/>
                <w:b/>
                <w:sz w:val="22"/>
              </w:rPr>
            </w:pPr>
            <w:r w:rsidRPr="002C3D06">
              <w:rPr>
                <w:rFonts w:ascii="Calibri" w:eastAsia="Calibri" w:hAnsi="Calibri" w:cs="Times New Roman"/>
                <w:b/>
                <w:sz w:val="22"/>
              </w:rPr>
              <w:t>No of Suppliers</w:t>
            </w:r>
          </w:p>
        </w:tc>
        <w:tc>
          <w:tcPr>
            <w:tcW w:w="2374" w:type="dxa"/>
            <w:shd w:val="clear" w:color="auto" w:fill="00008B" w:themeFill="text1"/>
          </w:tcPr>
          <w:p w14:paraId="23C585E0" w14:textId="77777777" w:rsidR="002C3D06" w:rsidRPr="002C3D06" w:rsidRDefault="002C3D06" w:rsidP="002C3D06">
            <w:pPr>
              <w:spacing w:after="0" w:line="240" w:lineRule="auto"/>
              <w:jc w:val="center"/>
              <w:rPr>
                <w:rFonts w:ascii="Calibri" w:eastAsia="Calibri" w:hAnsi="Calibri" w:cs="Times New Roman"/>
                <w:b/>
                <w:sz w:val="22"/>
              </w:rPr>
            </w:pPr>
            <w:r w:rsidRPr="002C3D06">
              <w:rPr>
                <w:rFonts w:ascii="Calibri" w:eastAsia="Calibri" w:hAnsi="Calibri" w:cs="Times New Roman"/>
                <w:b/>
                <w:sz w:val="22"/>
              </w:rPr>
              <w:t>Vol of non-compliant energy</w:t>
            </w:r>
          </w:p>
        </w:tc>
        <w:tc>
          <w:tcPr>
            <w:tcW w:w="2375" w:type="dxa"/>
            <w:shd w:val="clear" w:color="auto" w:fill="00008B" w:themeFill="text1"/>
          </w:tcPr>
          <w:p w14:paraId="6BADB1B9" w14:textId="77777777" w:rsidR="002C3D06" w:rsidRPr="002C3D06" w:rsidRDefault="002C3D06" w:rsidP="002C3D06">
            <w:pPr>
              <w:spacing w:after="0" w:line="240" w:lineRule="auto"/>
              <w:jc w:val="center"/>
              <w:rPr>
                <w:rFonts w:ascii="Calibri" w:eastAsia="Calibri" w:hAnsi="Calibri" w:cs="Times New Roman"/>
                <w:b/>
                <w:sz w:val="22"/>
              </w:rPr>
            </w:pPr>
            <w:r w:rsidRPr="002C3D06">
              <w:rPr>
                <w:rFonts w:ascii="Calibri" w:eastAsia="Calibri" w:hAnsi="Calibri" w:cs="Times New Roman"/>
                <w:b/>
                <w:sz w:val="22"/>
              </w:rPr>
              <w:t>% coverage of non-compliant energy in this market</w:t>
            </w:r>
          </w:p>
        </w:tc>
      </w:tr>
      <w:tr w:rsidR="002C3D06" w:rsidRPr="002C3D06" w14:paraId="1B47FC14" w14:textId="77777777" w:rsidTr="002C3D06">
        <w:tc>
          <w:tcPr>
            <w:tcW w:w="2374" w:type="dxa"/>
            <w:shd w:val="clear" w:color="auto" w:fill="E9E6E7" w:themeFill="text2" w:themeFillTint="1A"/>
          </w:tcPr>
          <w:p w14:paraId="56B90683" w14:textId="77777777" w:rsidR="002C3D06" w:rsidRPr="002C3D06" w:rsidRDefault="002C3D06" w:rsidP="002C3D06">
            <w:pPr>
              <w:spacing w:after="0" w:line="240" w:lineRule="auto"/>
              <w:jc w:val="center"/>
              <w:rPr>
                <w:rFonts w:ascii="Calibri" w:eastAsia="Calibri" w:hAnsi="Calibri" w:cs="Times New Roman"/>
                <w:sz w:val="22"/>
              </w:rPr>
            </w:pPr>
            <w:r w:rsidRPr="002C3D06">
              <w:rPr>
                <w:rFonts w:ascii="Calibri" w:eastAsia="Calibri" w:hAnsi="Calibri" w:cs="Times New Roman"/>
                <w:sz w:val="22"/>
              </w:rPr>
              <w:t>2,000</w:t>
            </w:r>
          </w:p>
        </w:tc>
        <w:tc>
          <w:tcPr>
            <w:tcW w:w="2374" w:type="dxa"/>
            <w:shd w:val="clear" w:color="auto" w:fill="E9E6E7" w:themeFill="text2" w:themeFillTint="1A"/>
          </w:tcPr>
          <w:p w14:paraId="133BC408" w14:textId="77777777" w:rsidR="002C3D06" w:rsidRPr="002C3D06" w:rsidRDefault="002C3D06" w:rsidP="002C3D06">
            <w:pPr>
              <w:spacing w:after="0" w:line="240" w:lineRule="auto"/>
              <w:jc w:val="center"/>
              <w:rPr>
                <w:rFonts w:ascii="Calibri" w:eastAsia="Calibri" w:hAnsi="Calibri" w:cs="Times New Roman"/>
                <w:sz w:val="22"/>
              </w:rPr>
            </w:pPr>
            <w:r w:rsidRPr="002C3D06">
              <w:rPr>
                <w:rFonts w:ascii="Calibri" w:eastAsia="Calibri" w:hAnsi="Calibri" w:cs="Times New Roman"/>
                <w:sz w:val="22"/>
              </w:rPr>
              <w:t>16</w:t>
            </w:r>
          </w:p>
        </w:tc>
        <w:tc>
          <w:tcPr>
            <w:tcW w:w="2374" w:type="dxa"/>
            <w:shd w:val="clear" w:color="auto" w:fill="E9E6E7" w:themeFill="text2" w:themeFillTint="1A"/>
          </w:tcPr>
          <w:p w14:paraId="76DC302F" w14:textId="77777777" w:rsidR="002C3D06" w:rsidRPr="002C3D06" w:rsidRDefault="002C3D06" w:rsidP="002C3D06">
            <w:pPr>
              <w:tabs>
                <w:tab w:val="left" w:pos="315"/>
              </w:tabs>
              <w:spacing w:after="0" w:line="240" w:lineRule="auto"/>
              <w:jc w:val="center"/>
              <w:rPr>
                <w:rFonts w:ascii="Calibri" w:eastAsia="Calibri" w:hAnsi="Calibri" w:cs="Times New Roman"/>
                <w:sz w:val="22"/>
              </w:rPr>
            </w:pPr>
            <w:r w:rsidRPr="002C3D06">
              <w:rPr>
                <w:rFonts w:ascii="Calibri" w:eastAsia="Calibri" w:hAnsi="Calibri" w:cs="Times New Roman"/>
                <w:sz w:val="22"/>
              </w:rPr>
              <w:t>232,883</w:t>
            </w:r>
          </w:p>
        </w:tc>
        <w:tc>
          <w:tcPr>
            <w:tcW w:w="2375" w:type="dxa"/>
            <w:shd w:val="clear" w:color="auto" w:fill="E9E6E7" w:themeFill="text2" w:themeFillTint="1A"/>
          </w:tcPr>
          <w:p w14:paraId="78316DA3" w14:textId="77777777" w:rsidR="002C3D06" w:rsidRPr="002C3D06" w:rsidRDefault="002C3D06" w:rsidP="002C3D06">
            <w:pPr>
              <w:spacing w:after="0" w:line="240" w:lineRule="auto"/>
              <w:jc w:val="center"/>
              <w:rPr>
                <w:rFonts w:ascii="Calibri" w:eastAsia="Calibri" w:hAnsi="Calibri" w:cs="Times New Roman"/>
                <w:sz w:val="22"/>
              </w:rPr>
            </w:pPr>
            <w:r w:rsidRPr="002C3D06">
              <w:rPr>
                <w:rFonts w:ascii="Calibri" w:eastAsia="Calibri" w:hAnsi="Calibri" w:cs="Times New Roman"/>
                <w:sz w:val="22"/>
              </w:rPr>
              <w:t>96%</w:t>
            </w:r>
          </w:p>
        </w:tc>
      </w:tr>
      <w:tr w:rsidR="002C3D06" w:rsidRPr="002C3D06" w14:paraId="0AFB4059" w14:textId="77777777" w:rsidTr="002C3D06">
        <w:tc>
          <w:tcPr>
            <w:tcW w:w="2374" w:type="dxa"/>
          </w:tcPr>
          <w:p w14:paraId="339E5A77" w14:textId="77777777" w:rsidR="002C3D06" w:rsidRPr="002C3D06" w:rsidRDefault="002C3D06" w:rsidP="002C3D06">
            <w:pPr>
              <w:spacing w:after="0" w:line="240" w:lineRule="auto"/>
              <w:jc w:val="center"/>
              <w:rPr>
                <w:rFonts w:ascii="Calibri" w:eastAsia="Calibri" w:hAnsi="Calibri" w:cs="Times New Roman"/>
                <w:sz w:val="22"/>
              </w:rPr>
            </w:pPr>
            <w:r w:rsidRPr="002C3D06">
              <w:rPr>
                <w:rFonts w:ascii="Calibri" w:eastAsia="Calibri" w:hAnsi="Calibri" w:cs="Times New Roman"/>
                <w:sz w:val="22"/>
              </w:rPr>
              <w:t>4,000</w:t>
            </w:r>
          </w:p>
        </w:tc>
        <w:tc>
          <w:tcPr>
            <w:tcW w:w="2374" w:type="dxa"/>
          </w:tcPr>
          <w:p w14:paraId="5D0160D8" w14:textId="77777777" w:rsidR="002C3D06" w:rsidRPr="002C3D06" w:rsidRDefault="002C3D06" w:rsidP="002C3D06">
            <w:pPr>
              <w:spacing w:after="0" w:line="240" w:lineRule="auto"/>
              <w:jc w:val="center"/>
              <w:rPr>
                <w:rFonts w:ascii="Calibri" w:eastAsia="Calibri" w:hAnsi="Calibri" w:cs="Times New Roman"/>
                <w:sz w:val="22"/>
              </w:rPr>
            </w:pPr>
            <w:r w:rsidRPr="002C3D06">
              <w:rPr>
                <w:rFonts w:ascii="Calibri" w:eastAsia="Calibri" w:hAnsi="Calibri" w:cs="Times New Roman"/>
                <w:sz w:val="22"/>
              </w:rPr>
              <w:t>12</w:t>
            </w:r>
          </w:p>
        </w:tc>
        <w:tc>
          <w:tcPr>
            <w:tcW w:w="2374" w:type="dxa"/>
          </w:tcPr>
          <w:p w14:paraId="18ED219A" w14:textId="77777777" w:rsidR="002C3D06" w:rsidRPr="002C3D06" w:rsidRDefault="002C3D06" w:rsidP="002C3D06">
            <w:pPr>
              <w:spacing w:after="0" w:line="240" w:lineRule="auto"/>
              <w:jc w:val="center"/>
              <w:rPr>
                <w:rFonts w:ascii="Calibri" w:eastAsia="Calibri" w:hAnsi="Calibri" w:cs="Times New Roman"/>
                <w:sz w:val="22"/>
              </w:rPr>
            </w:pPr>
            <w:r w:rsidRPr="002C3D06">
              <w:rPr>
                <w:rFonts w:ascii="Calibri" w:eastAsia="Calibri" w:hAnsi="Calibri" w:cs="Times New Roman"/>
                <w:sz w:val="22"/>
              </w:rPr>
              <w:t>222,207</w:t>
            </w:r>
          </w:p>
        </w:tc>
        <w:tc>
          <w:tcPr>
            <w:tcW w:w="2375" w:type="dxa"/>
          </w:tcPr>
          <w:p w14:paraId="5C2ED055" w14:textId="77777777" w:rsidR="002C3D06" w:rsidRPr="002C3D06" w:rsidRDefault="002C3D06" w:rsidP="002C3D06">
            <w:pPr>
              <w:spacing w:after="0" w:line="240" w:lineRule="auto"/>
              <w:jc w:val="center"/>
              <w:rPr>
                <w:rFonts w:ascii="Calibri" w:eastAsia="Calibri" w:hAnsi="Calibri" w:cs="Times New Roman"/>
                <w:sz w:val="22"/>
              </w:rPr>
            </w:pPr>
            <w:r w:rsidRPr="002C3D06">
              <w:rPr>
                <w:rFonts w:ascii="Calibri" w:eastAsia="Calibri" w:hAnsi="Calibri" w:cs="Times New Roman"/>
                <w:sz w:val="22"/>
              </w:rPr>
              <w:t>92%</w:t>
            </w:r>
          </w:p>
        </w:tc>
      </w:tr>
      <w:tr w:rsidR="002C3D06" w:rsidRPr="002C3D06" w14:paraId="39FB4F5A" w14:textId="77777777" w:rsidTr="002C3D06">
        <w:tc>
          <w:tcPr>
            <w:tcW w:w="2374" w:type="dxa"/>
            <w:shd w:val="clear" w:color="auto" w:fill="E9E6E7" w:themeFill="text2" w:themeFillTint="1A"/>
          </w:tcPr>
          <w:p w14:paraId="63E04649" w14:textId="77777777" w:rsidR="002C3D06" w:rsidRPr="002C3D06" w:rsidRDefault="002C3D06" w:rsidP="002C3D06">
            <w:pPr>
              <w:spacing w:after="0" w:line="240" w:lineRule="auto"/>
              <w:jc w:val="center"/>
              <w:rPr>
                <w:rFonts w:ascii="Calibri" w:eastAsia="Calibri" w:hAnsi="Calibri" w:cs="Times New Roman"/>
                <w:sz w:val="22"/>
              </w:rPr>
            </w:pPr>
            <w:r w:rsidRPr="002C3D06">
              <w:rPr>
                <w:rFonts w:ascii="Calibri" w:eastAsia="Calibri" w:hAnsi="Calibri" w:cs="Times New Roman"/>
                <w:sz w:val="22"/>
              </w:rPr>
              <w:t>6,000</w:t>
            </w:r>
          </w:p>
        </w:tc>
        <w:tc>
          <w:tcPr>
            <w:tcW w:w="2374" w:type="dxa"/>
            <w:shd w:val="clear" w:color="auto" w:fill="E9E6E7" w:themeFill="text2" w:themeFillTint="1A"/>
          </w:tcPr>
          <w:p w14:paraId="2DF541F3" w14:textId="77777777" w:rsidR="002C3D06" w:rsidRPr="002C3D06" w:rsidRDefault="002C3D06" w:rsidP="002C3D06">
            <w:pPr>
              <w:spacing w:after="0" w:line="240" w:lineRule="auto"/>
              <w:jc w:val="center"/>
              <w:rPr>
                <w:rFonts w:ascii="Calibri" w:eastAsia="Calibri" w:hAnsi="Calibri" w:cs="Times New Roman"/>
                <w:sz w:val="22"/>
              </w:rPr>
            </w:pPr>
            <w:r w:rsidRPr="002C3D06">
              <w:rPr>
                <w:rFonts w:ascii="Calibri" w:eastAsia="Calibri" w:hAnsi="Calibri" w:cs="Times New Roman"/>
                <w:sz w:val="22"/>
              </w:rPr>
              <w:t>10</w:t>
            </w:r>
          </w:p>
        </w:tc>
        <w:tc>
          <w:tcPr>
            <w:tcW w:w="2374" w:type="dxa"/>
            <w:shd w:val="clear" w:color="auto" w:fill="E9E6E7" w:themeFill="text2" w:themeFillTint="1A"/>
          </w:tcPr>
          <w:p w14:paraId="34EFE28A" w14:textId="77777777" w:rsidR="002C3D06" w:rsidRPr="002C3D06" w:rsidRDefault="002C3D06" w:rsidP="002C3D06">
            <w:pPr>
              <w:spacing w:after="0" w:line="240" w:lineRule="auto"/>
              <w:jc w:val="center"/>
              <w:rPr>
                <w:rFonts w:ascii="Calibri" w:eastAsia="Calibri" w:hAnsi="Calibri" w:cs="Times New Roman"/>
                <w:sz w:val="22"/>
              </w:rPr>
            </w:pPr>
            <w:r w:rsidRPr="002C3D06">
              <w:rPr>
                <w:rFonts w:ascii="Calibri" w:eastAsia="Calibri" w:hAnsi="Calibri" w:cs="Times New Roman"/>
                <w:sz w:val="22"/>
              </w:rPr>
              <w:t>212,695</w:t>
            </w:r>
          </w:p>
        </w:tc>
        <w:tc>
          <w:tcPr>
            <w:tcW w:w="2375" w:type="dxa"/>
            <w:shd w:val="clear" w:color="auto" w:fill="E9E6E7" w:themeFill="text2" w:themeFillTint="1A"/>
          </w:tcPr>
          <w:p w14:paraId="71D2AB1C" w14:textId="77777777" w:rsidR="002C3D06" w:rsidRPr="002C3D06" w:rsidRDefault="002C3D06" w:rsidP="002C3D06">
            <w:pPr>
              <w:spacing w:after="0" w:line="240" w:lineRule="auto"/>
              <w:jc w:val="center"/>
              <w:rPr>
                <w:rFonts w:ascii="Calibri" w:eastAsia="Calibri" w:hAnsi="Calibri" w:cs="Times New Roman"/>
                <w:sz w:val="22"/>
              </w:rPr>
            </w:pPr>
            <w:r w:rsidRPr="002C3D06">
              <w:rPr>
                <w:rFonts w:ascii="Calibri" w:eastAsia="Calibri" w:hAnsi="Calibri" w:cs="Times New Roman"/>
                <w:sz w:val="22"/>
              </w:rPr>
              <w:t>88%</w:t>
            </w:r>
          </w:p>
        </w:tc>
      </w:tr>
      <w:tr w:rsidR="002C3D06" w:rsidRPr="002C3D06" w14:paraId="03CC9031" w14:textId="77777777" w:rsidTr="002C3D06">
        <w:tc>
          <w:tcPr>
            <w:tcW w:w="2374" w:type="dxa"/>
            <w:shd w:val="clear" w:color="auto" w:fill="E9E6E7" w:themeFill="text2" w:themeFillTint="1A"/>
          </w:tcPr>
          <w:p w14:paraId="79200509" w14:textId="77777777" w:rsidR="002C3D06" w:rsidRPr="002C3D06" w:rsidRDefault="002C3D06" w:rsidP="002C3D06">
            <w:pPr>
              <w:spacing w:after="0" w:line="240" w:lineRule="auto"/>
              <w:jc w:val="center"/>
              <w:rPr>
                <w:rFonts w:ascii="Calibri" w:eastAsia="Calibri" w:hAnsi="Calibri" w:cs="Times New Roman"/>
                <w:sz w:val="22"/>
              </w:rPr>
            </w:pPr>
            <w:r w:rsidRPr="002C3D06">
              <w:rPr>
                <w:rFonts w:ascii="Calibri" w:eastAsia="Calibri" w:hAnsi="Calibri" w:cs="Times New Roman"/>
                <w:sz w:val="22"/>
              </w:rPr>
              <w:t>8,000</w:t>
            </w:r>
          </w:p>
        </w:tc>
        <w:tc>
          <w:tcPr>
            <w:tcW w:w="2374" w:type="dxa"/>
            <w:shd w:val="clear" w:color="auto" w:fill="E9E6E7" w:themeFill="text2" w:themeFillTint="1A"/>
          </w:tcPr>
          <w:p w14:paraId="5C6E2633" w14:textId="77777777" w:rsidR="002C3D06" w:rsidRPr="002C3D06" w:rsidRDefault="002C3D06" w:rsidP="002C3D06">
            <w:pPr>
              <w:spacing w:after="0" w:line="240" w:lineRule="auto"/>
              <w:jc w:val="center"/>
              <w:rPr>
                <w:rFonts w:ascii="Calibri" w:eastAsia="Calibri" w:hAnsi="Calibri" w:cs="Times New Roman"/>
                <w:sz w:val="22"/>
              </w:rPr>
            </w:pPr>
            <w:r w:rsidRPr="002C3D06">
              <w:rPr>
                <w:rFonts w:ascii="Calibri" w:eastAsia="Calibri" w:hAnsi="Calibri" w:cs="Times New Roman"/>
                <w:sz w:val="22"/>
              </w:rPr>
              <w:t>7</w:t>
            </w:r>
          </w:p>
        </w:tc>
        <w:tc>
          <w:tcPr>
            <w:tcW w:w="2374" w:type="dxa"/>
            <w:shd w:val="clear" w:color="auto" w:fill="E9E6E7" w:themeFill="text2" w:themeFillTint="1A"/>
          </w:tcPr>
          <w:p w14:paraId="08BC5D27" w14:textId="77777777" w:rsidR="002C3D06" w:rsidRPr="002C3D06" w:rsidRDefault="002C3D06" w:rsidP="002C3D06">
            <w:pPr>
              <w:spacing w:after="0" w:line="240" w:lineRule="auto"/>
              <w:jc w:val="center"/>
              <w:rPr>
                <w:rFonts w:ascii="Calibri" w:eastAsia="Calibri" w:hAnsi="Calibri" w:cs="Times New Roman"/>
                <w:sz w:val="22"/>
              </w:rPr>
            </w:pPr>
            <w:r w:rsidRPr="002C3D06">
              <w:rPr>
                <w:rFonts w:ascii="Calibri" w:eastAsia="Calibri" w:hAnsi="Calibri" w:cs="Times New Roman"/>
                <w:sz w:val="22"/>
              </w:rPr>
              <w:t>192,808</w:t>
            </w:r>
          </w:p>
        </w:tc>
        <w:tc>
          <w:tcPr>
            <w:tcW w:w="2375" w:type="dxa"/>
            <w:shd w:val="clear" w:color="auto" w:fill="E9E6E7" w:themeFill="text2" w:themeFillTint="1A"/>
          </w:tcPr>
          <w:p w14:paraId="3D4E66DA" w14:textId="77777777" w:rsidR="002C3D06" w:rsidRPr="002C3D06" w:rsidRDefault="002C3D06" w:rsidP="002C3D06">
            <w:pPr>
              <w:spacing w:after="0" w:line="240" w:lineRule="auto"/>
              <w:jc w:val="center"/>
              <w:rPr>
                <w:rFonts w:ascii="Calibri" w:eastAsia="Calibri" w:hAnsi="Calibri" w:cs="Times New Roman"/>
                <w:sz w:val="22"/>
              </w:rPr>
            </w:pPr>
            <w:r w:rsidRPr="002C3D06">
              <w:rPr>
                <w:rFonts w:ascii="Calibri" w:eastAsia="Calibri" w:hAnsi="Calibri" w:cs="Times New Roman"/>
                <w:sz w:val="22"/>
              </w:rPr>
              <w:t>80%</w:t>
            </w:r>
          </w:p>
        </w:tc>
      </w:tr>
      <w:tr w:rsidR="002C3D06" w:rsidRPr="002C3D06" w14:paraId="17AAC1E5" w14:textId="77777777" w:rsidTr="002C3D06">
        <w:tc>
          <w:tcPr>
            <w:tcW w:w="2374" w:type="dxa"/>
            <w:shd w:val="clear" w:color="auto" w:fill="E9E6E7" w:themeFill="text2" w:themeFillTint="1A"/>
          </w:tcPr>
          <w:p w14:paraId="59C456DB" w14:textId="77777777" w:rsidR="002C3D06" w:rsidRPr="002C3D06" w:rsidRDefault="002C3D06" w:rsidP="002C3D06">
            <w:pPr>
              <w:spacing w:after="0" w:line="240" w:lineRule="auto"/>
              <w:jc w:val="center"/>
              <w:rPr>
                <w:rFonts w:ascii="Calibri" w:eastAsia="Calibri" w:hAnsi="Calibri" w:cs="Times New Roman"/>
                <w:sz w:val="22"/>
              </w:rPr>
            </w:pPr>
            <w:r w:rsidRPr="002C3D06">
              <w:rPr>
                <w:rFonts w:ascii="Calibri" w:eastAsia="Calibri" w:hAnsi="Calibri" w:cs="Times New Roman"/>
                <w:sz w:val="22"/>
              </w:rPr>
              <w:t>10,000</w:t>
            </w:r>
          </w:p>
        </w:tc>
        <w:tc>
          <w:tcPr>
            <w:tcW w:w="2374" w:type="dxa"/>
            <w:shd w:val="clear" w:color="auto" w:fill="E9E6E7" w:themeFill="text2" w:themeFillTint="1A"/>
          </w:tcPr>
          <w:p w14:paraId="5C44EC18" w14:textId="77777777" w:rsidR="002C3D06" w:rsidRPr="002C3D06" w:rsidRDefault="002C3D06" w:rsidP="002C3D06">
            <w:pPr>
              <w:spacing w:after="0" w:line="240" w:lineRule="auto"/>
              <w:jc w:val="center"/>
              <w:rPr>
                <w:rFonts w:ascii="Calibri" w:eastAsia="Calibri" w:hAnsi="Calibri" w:cs="Times New Roman"/>
                <w:sz w:val="22"/>
              </w:rPr>
            </w:pPr>
            <w:r w:rsidRPr="002C3D06">
              <w:rPr>
                <w:rFonts w:ascii="Calibri" w:eastAsia="Calibri" w:hAnsi="Calibri" w:cs="Times New Roman"/>
                <w:sz w:val="22"/>
              </w:rPr>
              <w:t>6</w:t>
            </w:r>
          </w:p>
        </w:tc>
        <w:tc>
          <w:tcPr>
            <w:tcW w:w="2374" w:type="dxa"/>
            <w:shd w:val="clear" w:color="auto" w:fill="E9E6E7" w:themeFill="text2" w:themeFillTint="1A"/>
          </w:tcPr>
          <w:p w14:paraId="5B223B12" w14:textId="77777777" w:rsidR="002C3D06" w:rsidRPr="002C3D06" w:rsidRDefault="002C3D06" w:rsidP="002C3D06">
            <w:pPr>
              <w:spacing w:after="0" w:line="240" w:lineRule="auto"/>
              <w:jc w:val="center"/>
              <w:rPr>
                <w:rFonts w:ascii="Calibri" w:eastAsia="Calibri" w:hAnsi="Calibri" w:cs="Times New Roman"/>
                <w:sz w:val="22"/>
              </w:rPr>
            </w:pPr>
            <w:r w:rsidRPr="002C3D06">
              <w:rPr>
                <w:rFonts w:ascii="Calibri" w:eastAsia="Calibri" w:hAnsi="Calibri" w:cs="Times New Roman"/>
                <w:sz w:val="22"/>
              </w:rPr>
              <w:t>184,070</w:t>
            </w:r>
          </w:p>
        </w:tc>
        <w:tc>
          <w:tcPr>
            <w:tcW w:w="2375" w:type="dxa"/>
            <w:shd w:val="clear" w:color="auto" w:fill="E9E6E7" w:themeFill="text2" w:themeFillTint="1A"/>
          </w:tcPr>
          <w:p w14:paraId="4B410006" w14:textId="77777777" w:rsidR="002C3D06" w:rsidRPr="002C3D06" w:rsidRDefault="002C3D06" w:rsidP="002C3D06">
            <w:pPr>
              <w:spacing w:after="0" w:line="240" w:lineRule="auto"/>
              <w:jc w:val="center"/>
              <w:rPr>
                <w:rFonts w:ascii="Calibri" w:eastAsia="Calibri" w:hAnsi="Calibri" w:cs="Times New Roman"/>
                <w:sz w:val="22"/>
              </w:rPr>
            </w:pPr>
            <w:r w:rsidRPr="002C3D06">
              <w:rPr>
                <w:rFonts w:ascii="Calibri" w:eastAsia="Calibri" w:hAnsi="Calibri" w:cs="Times New Roman"/>
                <w:sz w:val="22"/>
              </w:rPr>
              <w:t>76%</w:t>
            </w:r>
          </w:p>
        </w:tc>
      </w:tr>
      <w:tr w:rsidR="002C3D06" w:rsidRPr="002C3D06" w14:paraId="05D5EE4C" w14:textId="77777777" w:rsidTr="002C3D06">
        <w:tc>
          <w:tcPr>
            <w:tcW w:w="2374" w:type="dxa"/>
            <w:shd w:val="clear" w:color="auto" w:fill="E9E6E7" w:themeFill="text2" w:themeFillTint="1A"/>
          </w:tcPr>
          <w:p w14:paraId="0CDD2E42" w14:textId="77777777" w:rsidR="002C3D06" w:rsidRPr="002C3D06" w:rsidRDefault="002C3D06" w:rsidP="002C3D06">
            <w:pPr>
              <w:spacing w:after="0" w:line="240" w:lineRule="auto"/>
              <w:jc w:val="center"/>
              <w:rPr>
                <w:rFonts w:ascii="Calibri" w:eastAsia="Calibri" w:hAnsi="Calibri" w:cs="Times New Roman"/>
                <w:sz w:val="22"/>
              </w:rPr>
            </w:pPr>
            <w:r w:rsidRPr="002C3D06">
              <w:rPr>
                <w:rFonts w:ascii="Calibri" w:eastAsia="Calibri" w:hAnsi="Calibri" w:cs="Times New Roman"/>
                <w:sz w:val="22"/>
              </w:rPr>
              <w:t>20,000</w:t>
            </w:r>
          </w:p>
        </w:tc>
        <w:tc>
          <w:tcPr>
            <w:tcW w:w="2374" w:type="dxa"/>
            <w:shd w:val="clear" w:color="auto" w:fill="E9E6E7" w:themeFill="text2" w:themeFillTint="1A"/>
          </w:tcPr>
          <w:p w14:paraId="1C445912" w14:textId="77777777" w:rsidR="002C3D06" w:rsidRPr="002C3D06" w:rsidRDefault="002C3D06" w:rsidP="002C3D06">
            <w:pPr>
              <w:spacing w:after="0" w:line="240" w:lineRule="auto"/>
              <w:jc w:val="center"/>
              <w:rPr>
                <w:rFonts w:ascii="Calibri" w:eastAsia="Calibri" w:hAnsi="Calibri" w:cs="Times New Roman"/>
                <w:sz w:val="22"/>
              </w:rPr>
            </w:pPr>
            <w:r w:rsidRPr="002C3D06">
              <w:rPr>
                <w:rFonts w:ascii="Calibri" w:eastAsia="Calibri" w:hAnsi="Calibri" w:cs="Times New Roman"/>
                <w:sz w:val="22"/>
              </w:rPr>
              <w:t>5</w:t>
            </w:r>
          </w:p>
        </w:tc>
        <w:tc>
          <w:tcPr>
            <w:tcW w:w="2374" w:type="dxa"/>
            <w:shd w:val="clear" w:color="auto" w:fill="E9E6E7" w:themeFill="text2" w:themeFillTint="1A"/>
          </w:tcPr>
          <w:p w14:paraId="0519B8C5" w14:textId="77777777" w:rsidR="002C3D06" w:rsidRPr="002C3D06" w:rsidRDefault="002C3D06" w:rsidP="002C3D06">
            <w:pPr>
              <w:spacing w:after="0" w:line="240" w:lineRule="auto"/>
              <w:jc w:val="center"/>
              <w:rPr>
                <w:rFonts w:ascii="Calibri" w:eastAsia="Calibri" w:hAnsi="Calibri" w:cs="Times New Roman"/>
                <w:sz w:val="22"/>
              </w:rPr>
            </w:pPr>
            <w:r w:rsidRPr="002C3D06">
              <w:rPr>
                <w:rFonts w:ascii="Calibri" w:eastAsia="Calibri" w:hAnsi="Calibri" w:cs="Times New Roman"/>
                <w:sz w:val="22"/>
              </w:rPr>
              <w:t>172,828</w:t>
            </w:r>
          </w:p>
        </w:tc>
        <w:tc>
          <w:tcPr>
            <w:tcW w:w="2375" w:type="dxa"/>
            <w:shd w:val="clear" w:color="auto" w:fill="E9E6E7" w:themeFill="text2" w:themeFillTint="1A"/>
          </w:tcPr>
          <w:p w14:paraId="46D21E01" w14:textId="77777777" w:rsidR="002C3D06" w:rsidRPr="002C3D06" w:rsidRDefault="002C3D06" w:rsidP="002C3D06">
            <w:pPr>
              <w:spacing w:after="0" w:line="240" w:lineRule="auto"/>
              <w:jc w:val="center"/>
              <w:rPr>
                <w:rFonts w:ascii="Calibri" w:eastAsia="Calibri" w:hAnsi="Calibri" w:cs="Times New Roman"/>
                <w:sz w:val="22"/>
              </w:rPr>
            </w:pPr>
            <w:r w:rsidRPr="002C3D06">
              <w:rPr>
                <w:rFonts w:ascii="Calibri" w:eastAsia="Calibri" w:hAnsi="Calibri" w:cs="Times New Roman"/>
                <w:sz w:val="22"/>
              </w:rPr>
              <w:t>72%</w:t>
            </w:r>
          </w:p>
        </w:tc>
      </w:tr>
    </w:tbl>
    <w:p w14:paraId="7B239C98" w14:textId="77777777" w:rsidR="00A3104A" w:rsidRDefault="00A3104A" w:rsidP="00C14A97">
      <w:pPr>
        <w:pStyle w:val="List2"/>
        <w:numPr>
          <w:ilvl w:val="0"/>
          <w:numId w:val="0"/>
        </w:numPr>
        <w:ind w:left="680"/>
        <w:rPr>
          <w:b/>
          <w:u w:val="single"/>
        </w:rPr>
      </w:pPr>
    </w:p>
    <w:p w14:paraId="203B5BE5" w14:textId="77777777" w:rsidR="00C14A97" w:rsidRDefault="00C14A97" w:rsidP="00C14A97">
      <w:pPr>
        <w:pStyle w:val="List2"/>
      </w:pPr>
      <w:r>
        <w:t>Elexon concluded that a threshold of 4,000MWh and a market coverage of</w:t>
      </w:r>
      <w:r w:rsidR="002C3D06">
        <w:t xml:space="preserve"> 92</w:t>
      </w:r>
      <w:r>
        <w:t>% of the non-compliant estimation would:</w:t>
      </w:r>
    </w:p>
    <w:p w14:paraId="20413097" w14:textId="77777777" w:rsidR="00C14A97" w:rsidRDefault="00C14A97" w:rsidP="00C14A97">
      <w:pPr>
        <w:pStyle w:val="List2"/>
        <w:numPr>
          <w:ilvl w:val="0"/>
          <w:numId w:val="16"/>
        </w:numPr>
      </w:pPr>
      <w:r>
        <w:t>Cover the vast majority of non-compliant estimation whilst ensuring the number of focus Suppliers is at a manageable to maintain sufficient focus</w:t>
      </w:r>
      <w:r w:rsidR="00106827">
        <w:t>;</w:t>
      </w:r>
      <w:r>
        <w:t xml:space="preserve"> and</w:t>
      </w:r>
    </w:p>
    <w:p w14:paraId="7FF1E6DF" w14:textId="77777777" w:rsidR="005A3954" w:rsidRDefault="005A3954" w:rsidP="002C3D06">
      <w:pPr>
        <w:pStyle w:val="List2"/>
        <w:numPr>
          <w:ilvl w:val="0"/>
          <w:numId w:val="16"/>
        </w:numPr>
      </w:pPr>
      <w:r>
        <w:t xml:space="preserve">Keep the level of market coverage and number of Suppliers under focus at a similar level to that agreed as sensible during the last quarterly review in February 2021 when a 4,000MWh threshold resulted in an 86% market coverage and 13 focus Suppliers. </w:t>
      </w:r>
      <w:r w:rsidR="002C3D06">
        <w:t xml:space="preserve">There are an additional two Supplier Ids that now have a volume of non-compliant estimation beneath the threshold but that have not yet met </w:t>
      </w:r>
      <w:r w:rsidR="002C3D06">
        <w:lastRenderedPageBreak/>
        <w:t>the criteria of reducing the volume of non-compliant estimation beneath 1,000MWh in order to exit EFR. This provides further coverage of the non-compliant estimation within this market.</w:t>
      </w:r>
    </w:p>
    <w:p w14:paraId="7E32E6EE" w14:textId="77777777" w:rsidR="00C14A97" w:rsidRPr="006209D4" w:rsidRDefault="00C14A97" w:rsidP="006209D4">
      <w:pPr>
        <w:pStyle w:val="List"/>
      </w:pPr>
      <w:r w:rsidRPr="003014F0">
        <w:t>Review of EFR exit requirement and EFR exit recommendation</w:t>
      </w:r>
    </w:p>
    <w:p w14:paraId="01D22449" w14:textId="77777777" w:rsidR="00C14A97" w:rsidRDefault="00C14A97" w:rsidP="00C14A97">
      <w:pPr>
        <w:pStyle w:val="List2"/>
      </w:pPr>
      <w:r>
        <w:t>In October 2020, the PAB agreed that Suppliers were no longer required to maintain a performance average above the relevant standard for three months to exit EFR and agreed that that an EFR exit threshold for performance standards issues would be set and reviewed on a quarterly basis.</w:t>
      </w:r>
    </w:p>
    <w:p w14:paraId="75C6C6AE" w14:textId="346A581A" w:rsidR="00C14A97" w:rsidRDefault="00C14A97" w:rsidP="00C14A97">
      <w:pPr>
        <w:pStyle w:val="List2"/>
      </w:pPr>
      <w:r>
        <w:t>This threshold was initially set so that Suppliers with a volume of below 1</w:t>
      </w:r>
      <w:r w:rsidR="007F13F0">
        <w:t>,</w:t>
      </w:r>
      <w:r>
        <w:t>000MWh of non-compliant energy would be able to exit EFR so that Elexon and the PAB’s focus could remain on the Suppliers wit</w:t>
      </w:r>
      <w:r w:rsidR="002C3D06">
        <w:t>h the largest Settlement impact and the PAB agreed the this exit threshold should remain in place in February 2021.</w:t>
      </w:r>
    </w:p>
    <w:p w14:paraId="65C0E9F6" w14:textId="77777777" w:rsidR="00C14A97" w:rsidRDefault="00106827" w:rsidP="003625EB">
      <w:pPr>
        <w:pStyle w:val="List2"/>
      </w:pPr>
      <w:r>
        <w:t>Based on the recommendations to maintain the focus Supplier thresholds and the potential of these threshold reducing in the next quarter, Elexon does not recommend changing the EFR exit criteria for the upcoming quarter.</w:t>
      </w:r>
    </w:p>
    <w:p w14:paraId="34DC70BD" w14:textId="77777777" w:rsidR="00106827" w:rsidRDefault="00106827" w:rsidP="00CC68EB">
      <w:pPr>
        <w:pStyle w:val="List"/>
      </w:pPr>
      <w:r>
        <w:t xml:space="preserve">Recommended </w:t>
      </w:r>
      <w:r w:rsidR="00D04A69">
        <w:t>adaptions to the quarterly performance review approach</w:t>
      </w:r>
    </w:p>
    <w:p w14:paraId="07DDCB7F" w14:textId="77777777" w:rsidR="00106827" w:rsidRDefault="00CC68EB" w:rsidP="00106827">
      <w:pPr>
        <w:pStyle w:val="List2"/>
      </w:pPr>
      <w:r>
        <w:t>Elexon recommends that the quarterly review approach is adapted so that in addition to considering the approach to performance management and thresholds for the quarter ahead, where possible it also considers any potential or likely changes in approach for the quarter, which follows</w:t>
      </w:r>
      <w:r w:rsidR="00530D58">
        <w:t xml:space="preserve"> and signals these to the industry</w:t>
      </w:r>
      <w:r>
        <w:t>.</w:t>
      </w:r>
    </w:p>
    <w:p w14:paraId="62D46987" w14:textId="77777777" w:rsidR="00106827" w:rsidRDefault="00530D58" w:rsidP="00106827">
      <w:pPr>
        <w:pStyle w:val="List2"/>
      </w:pPr>
      <w:r>
        <w:t>These signals would be indications only and would still require confirmation at the next quarterly review but in providing this communication to the industry it will help it to prepare adapt to any expected change</w:t>
      </w:r>
      <w:r w:rsidR="005D3AD6">
        <w:t>s</w:t>
      </w:r>
      <w:r>
        <w:t xml:space="preserve"> </w:t>
      </w:r>
      <w:r w:rsidR="005D3AD6">
        <w:t>and</w:t>
      </w:r>
      <w:r>
        <w:t xml:space="preserve"> ensure that Operational Support Managers (OSMs) are able to support and monitor </w:t>
      </w:r>
      <w:r w:rsidR="005D3AD6">
        <w:t>Suppliers appropriately ahead in preparation.</w:t>
      </w:r>
      <w:r w:rsidR="00787A7E">
        <w:t xml:space="preserve"> It would also enable the industry to signal concerns regarding the approach to Elexon on the PAB so that we can consider them prior to making decisions.</w:t>
      </w:r>
    </w:p>
    <w:p w14:paraId="09E14832" w14:textId="77777777" w:rsidR="00833D52" w:rsidRDefault="00833D52" w:rsidP="00106827">
      <w:pPr>
        <w:pStyle w:val="List2"/>
      </w:pPr>
      <w:r>
        <w:t xml:space="preserve">Whilst this approach will help us to manage performance during the pandemic and as we transition out of it, this process will also </w:t>
      </w:r>
      <w:r w:rsidR="00787A7E">
        <w:t>help us adapt to navigate seasonality and industry wide issues</w:t>
      </w:r>
      <w:r w:rsidR="0002671A">
        <w:t>. It will</w:t>
      </w:r>
      <w:r w:rsidR="00787A7E">
        <w:t xml:space="preserve"> ensure that our focus is</w:t>
      </w:r>
      <w:r w:rsidR="0002671A">
        <w:t xml:space="preserve"> always</w:t>
      </w:r>
      <w:r w:rsidR="00787A7E">
        <w:t xml:space="preserve"> on the performance </w:t>
      </w:r>
      <w:r w:rsidR="0002671A">
        <w:t>issues that</w:t>
      </w:r>
      <w:r w:rsidR="00787A7E">
        <w:t xml:space="preserve"> are causing the biggest impact or risk to Settlement</w:t>
      </w:r>
      <w:r w:rsidR="0002671A">
        <w:t xml:space="preserve"> whilst also providing forewarning to the industry where it is possible.</w:t>
      </w:r>
    </w:p>
    <w:p w14:paraId="3F8DDA70" w14:textId="77777777" w:rsidR="005D3AD6" w:rsidRDefault="005D3AD6" w:rsidP="005D3AD6">
      <w:pPr>
        <w:pStyle w:val="List2"/>
        <w:numPr>
          <w:ilvl w:val="0"/>
          <w:numId w:val="0"/>
        </w:numPr>
        <w:ind w:left="680"/>
      </w:pPr>
      <w:r>
        <w:rPr>
          <w:noProof/>
          <w:lang w:eastAsia="en-GB"/>
        </w:rPr>
        <w:lastRenderedPageBreak/>
        <w:drawing>
          <wp:inline distT="0" distB="0" distL="0" distR="0" wp14:anchorId="240AC67C" wp14:editId="3133C621">
            <wp:extent cx="5608320" cy="5090160"/>
            <wp:effectExtent l="0" t="0" r="0" b="1524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4001C3BE" w14:textId="77777777" w:rsidR="00106827" w:rsidRDefault="00106827" w:rsidP="00106827">
      <w:pPr>
        <w:pStyle w:val="List2"/>
        <w:numPr>
          <w:ilvl w:val="0"/>
          <w:numId w:val="0"/>
        </w:numPr>
        <w:ind w:left="680"/>
      </w:pPr>
    </w:p>
    <w:p w14:paraId="1EBF2DB0" w14:textId="77777777" w:rsidR="00106827" w:rsidRDefault="00D04A69" w:rsidP="00537423">
      <w:pPr>
        <w:pStyle w:val="List"/>
      </w:pPr>
      <w:r>
        <w:t>Likely changes as a result of the next threshold review in August 2021</w:t>
      </w:r>
    </w:p>
    <w:p w14:paraId="27486E5D" w14:textId="77777777" w:rsidR="00106827" w:rsidRDefault="00074544" w:rsidP="00106827">
      <w:pPr>
        <w:pStyle w:val="List2"/>
      </w:pPr>
      <w:r>
        <w:t>Elexon expects that, whilst there are some significant challenges for the industry and there is still potential for further impact from the COVID-19 pandemic on the industry</w:t>
      </w:r>
      <w:r w:rsidR="00902804">
        <w:t>, as noted in se</w:t>
      </w:r>
      <w:r w:rsidR="00221135">
        <w:t>ction four, performance is expected to improve whilst the total volume of energy is likely to reduce across all three markets. This means that it is likely that the thresholds would need to reduce to keep an acceptable level of coverage of the non-compliant estimation within the focus of Elexon and the PAB. Consequently, it is likely that Elexon will</w:t>
      </w:r>
      <w:r w:rsidR="00106827">
        <w:t xml:space="preserve"> recommend</w:t>
      </w:r>
      <w:r w:rsidR="00221135">
        <w:t xml:space="preserve"> that the threshold is reduced – potentially to as low as </w:t>
      </w:r>
      <w:r w:rsidR="0083742C">
        <w:t>2,000MWh. Elexon and the PAB will confirm this</w:t>
      </w:r>
      <w:r w:rsidR="00221135">
        <w:t xml:space="preserve"> based on the data available in </w:t>
      </w:r>
      <w:r w:rsidR="0083742C">
        <w:t>August.</w:t>
      </w:r>
    </w:p>
    <w:p w14:paraId="20BEACD2" w14:textId="77777777" w:rsidR="00106827" w:rsidRDefault="0083742C" w:rsidP="00106827">
      <w:pPr>
        <w:pStyle w:val="List2"/>
      </w:pPr>
      <w:r>
        <w:t xml:space="preserve">Since </w:t>
      </w:r>
      <w:r w:rsidR="00C921E6">
        <w:t>the PAB resumed EFR for performance related issues</w:t>
      </w:r>
      <w:r>
        <w:t>, performance forecast</w:t>
      </w:r>
      <w:r w:rsidR="00C921E6">
        <w:t>s</w:t>
      </w:r>
      <w:r>
        <w:t xml:space="preserve"> have not been mandatory, as the PAB understood that forecasting would be challenging whilst restrictions were in place and without an understanding of likely response and access rates. By August, Elexon believes this should be less challenging and that </w:t>
      </w:r>
      <w:r w:rsidR="00B32592">
        <w:t xml:space="preserve">Suppliers are likely to have a better understanding of the </w:t>
      </w:r>
      <w:r>
        <w:t xml:space="preserve">response and resolution rates. </w:t>
      </w:r>
      <w:r w:rsidR="00C921E6">
        <w:t>Therefore,</w:t>
      </w:r>
      <w:r>
        <w:t xml:space="preserve"> it is likely that as part of the August review, Elexon will recommend that Suppliers </w:t>
      </w:r>
      <w:r w:rsidR="00B32592">
        <w:t>be</w:t>
      </w:r>
      <w:r>
        <w:t xml:space="preserve"> required to submit </w:t>
      </w:r>
      <w:r w:rsidR="00B32592">
        <w:t xml:space="preserve">an </w:t>
      </w:r>
      <w:r>
        <w:t>end of quarter performance target</w:t>
      </w:r>
      <w:r w:rsidR="00B32592">
        <w:t>, which they update for the following period at the end of each quarter</w:t>
      </w:r>
      <w:r>
        <w:t>.</w:t>
      </w:r>
    </w:p>
    <w:p w14:paraId="4DF8AF42" w14:textId="77777777" w:rsidR="00106827" w:rsidRDefault="00B32592" w:rsidP="00244C97">
      <w:pPr>
        <w:pStyle w:val="List2"/>
      </w:pPr>
      <w:r>
        <w:t>Given that</w:t>
      </w:r>
      <w:r w:rsidR="00C0002B">
        <w:t xml:space="preserve"> we can expect </w:t>
      </w:r>
      <w:r>
        <w:t xml:space="preserve">some uncertainty and volatility </w:t>
      </w:r>
      <w:r w:rsidR="0048559C">
        <w:t xml:space="preserve">because of the pandemic and recovery from it </w:t>
      </w:r>
      <w:r>
        <w:t xml:space="preserve">for some time to come, Elexon is unlikely to recommend that PAB escalation </w:t>
      </w:r>
      <w:r w:rsidR="00C0002B">
        <w:t>take</w:t>
      </w:r>
      <w:r>
        <w:t xml:space="preserve"> place if </w:t>
      </w:r>
      <w:r w:rsidR="0048559C">
        <w:t xml:space="preserve">Suppliers miss </w:t>
      </w:r>
      <w:r>
        <w:t>these</w:t>
      </w:r>
      <w:r w:rsidR="0048559C">
        <w:t xml:space="preserve"> </w:t>
      </w:r>
      <w:r>
        <w:t xml:space="preserve">performance </w:t>
      </w:r>
      <w:r w:rsidR="0048559C">
        <w:t xml:space="preserve">targets </w:t>
      </w:r>
      <w:r>
        <w:t>and</w:t>
      </w:r>
      <w:r w:rsidR="00C0002B">
        <w:t>,</w:t>
      </w:r>
      <w:r>
        <w:t xml:space="preserve"> instead</w:t>
      </w:r>
      <w:r w:rsidR="00C0002B">
        <w:t>,</w:t>
      </w:r>
      <w:r>
        <w:t xml:space="preserve"> </w:t>
      </w:r>
      <w:r w:rsidR="00C0002B">
        <w:t xml:space="preserve">Elexon will provide the reasons for the missed </w:t>
      </w:r>
      <w:r w:rsidR="0048559C">
        <w:t>targets</w:t>
      </w:r>
      <w:r w:rsidR="00C0002B">
        <w:t xml:space="preserve"> and any lessons from it</w:t>
      </w:r>
      <w:r>
        <w:t xml:space="preserve"> in the risk report</w:t>
      </w:r>
      <w:r w:rsidR="00C0002B">
        <w:t>. The PAB</w:t>
      </w:r>
      <w:r w:rsidR="0048559C">
        <w:t xml:space="preserve"> will apply its </w:t>
      </w:r>
      <w:r w:rsidR="00C0002B">
        <w:t xml:space="preserve">escalation process </w:t>
      </w:r>
      <w:r w:rsidR="0048559C">
        <w:t xml:space="preserve">however, </w:t>
      </w:r>
      <w:r w:rsidR="00C0002B">
        <w:t xml:space="preserve">if there is a </w:t>
      </w:r>
      <w:r w:rsidR="00106827">
        <w:t xml:space="preserve">lack of co-operation within the EFR process or </w:t>
      </w:r>
      <w:r w:rsidR="00C0002B">
        <w:t xml:space="preserve">if </w:t>
      </w:r>
      <w:r w:rsidR="0048559C">
        <w:t xml:space="preserve">there is no evidence of </w:t>
      </w:r>
      <w:r w:rsidR="007D374F">
        <w:t xml:space="preserve">a </w:t>
      </w:r>
      <w:r w:rsidR="0048559C">
        <w:t>Supplier undertaking a reasonable level of action</w:t>
      </w:r>
      <w:r w:rsidR="007D374F">
        <w:t xml:space="preserve"> to improve its performance</w:t>
      </w:r>
      <w:r w:rsidR="0048559C">
        <w:t>.</w:t>
      </w:r>
    </w:p>
    <w:p w14:paraId="58684EF1" w14:textId="77777777" w:rsidR="00106827" w:rsidRDefault="00D04A69" w:rsidP="00106827">
      <w:pPr>
        <w:pStyle w:val="List"/>
      </w:pPr>
      <w:r>
        <w:t xml:space="preserve">Recommended </w:t>
      </w:r>
      <w:r w:rsidR="00106827">
        <w:t>PAB Reporting</w:t>
      </w:r>
      <w:r>
        <w:t xml:space="preserve"> changes</w:t>
      </w:r>
    </w:p>
    <w:p w14:paraId="34A956D5" w14:textId="77777777" w:rsidR="00106827" w:rsidRDefault="007D374F" w:rsidP="003625EB">
      <w:pPr>
        <w:pStyle w:val="List2"/>
      </w:pPr>
      <w:r>
        <w:lastRenderedPageBreak/>
        <w:t>Elexon has been providing the PAB with monthly updates on the actions the three Suppliers with the highest volume of non-compliant energy in the HH MC C, HH Sub 100kW and NHH markets</w:t>
      </w:r>
      <w:r w:rsidR="00244C97">
        <w:t xml:space="preserve"> are taking</w:t>
      </w:r>
      <w:r>
        <w:t xml:space="preserve"> </w:t>
      </w:r>
      <w:r w:rsidR="00537423">
        <w:t xml:space="preserve">since </w:t>
      </w:r>
      <w:r w:rsidR="00244C97">
        <w:t xml:space="preserve">it agreed the approach to monitoring the approach to monitoring performance during COVID-19 in October 2020 (nine updates in total). </w:t>
      </w:r>
    </w:p>
    <w:p w14:paraId="5F74F6B4" w14:textId="77777777" w:rsidR="00537423" w:rsidRDefault="00537423" w:rsidP="00537423">
      <w:pPr>
        <w:pStyle w:val="List2"/>
      </w:pPr>
      <w:r>
        <w:t>The vast majority of the focus Suppliers are now within EFR and Elexon recommends that updates are now provided on an exception basis to enable to focus on the other priority areas set out within the Risk Operating Plan.</w:t>
      </w:r>
    </w:p>
    <w:p w14:paraId="2529429D" w14:textId="77777777" w:rsidR="00537423" w:rsidRDefault="00537423" w:rsidP="00537423">
      <w:pPr>
        <w:pStyle w:val="List"/>
      </w:pPr>
      <w:r>
        <w:t xml:space="preserve">EFR </w:t>
      </w:r>
      <w:r w:rsidR="00BB4905">
        <w:t xml:space="preserve">Considerations this </w:t>
      </w:r>
      <w:r w:rsidR="00EB34CD">
        <w:t>quarter</w:t>
      </w:r>
    </w:p>
    <w:p w14:paraId="3AED581A" w14:textId="77777777" w:rsidR="00537423" w:rsidRDefault="00BB4905" w:rsidP="003625EB">
      <w:pPr>
        <w:pStyle w:val="List2"/>
      </w:pPr>
      <w:r>
        <w:t xml:space="preserve">All but one of the focus Suppliers within the HH MC C market </w:t>
      </w:r>
      <w:r w:rsidR="003916AD">
        <w:t>have EFR applied</w:t>
      </w:r>
      <w:r>
        <w:t>. Elexon has provided an update on this Supplier within the EFR Recommendation</w:t>
      </w:r>
      <w:r w:rsidR="003916AD">
        <w:t>s</w:t>
      </w:r>
      <w:r>
        <w:t xml:space="preserve"> section of the Confidential Risk Report. None of the Suppliers that are within EFR </w:t>
      </w:r>
      <w:r w:rsidR="003916AD">
        <w:t>has</w:t>
      </w:r>
      <w:r>
        <w:t xml:space="preserve"> met the threshold to exit the technique</w:t>
      </w:r>
      <w:r w:rsidR="003916AD">
        <w:t xml:space="preserve"> this quarter.</w:t>
      </w:r>
    </w:p>
    <w:p w14:paraId="3E59B9D5" w14:textId="77777777" w:rsidR="003916AD" w:rsidRPr="003916AD" w:rsidRDefault="003916AD" w:rsidP="003916AD">
      <w:pPr>
        <w:pStyle w:val="List2"/>
      </w:pPr>
      <w:r>
        <w:t>All of the focus Suppliers within the HH Sub 100kW market have EFR applied.</w:t>
      </w:r>
      <w:r w:rsidRPr="003916AD">
        <w:t xml:space="preserve"> None of the Suppliers that are within EFR has met the threshold to exit the technique this quarter.</w:t>
      </w:r>
    </w:p>
    <w:p w14:paraId="133AF8CC" w14:textId="77777777" w:rsidR="003916AD" w:rsidRDefault="003916AD" w:rsidP="00404821">
      <w:pPr>
        <w:pStyle w:val="List2"/>
      </w:pPr>
      <w:r w:rsidRPr="003916AD">
        <w:t>All but</w:t>
      </w:r>
      <w:r>
        <w:t xml:space="preserve"> two </w:t>
      </w:r>
      <w:r w:rsidRPr="003916AD">
        <w:t xml:space="preserve">of the focus Suppliers within the </w:t>
      </w:r>
      <w:r>
        <w:t xml:space="preserve">NHH </w:t>
      </w:r>
      <w:r w:rsidRPr="003916AD">
        <w:t>market have EFR applied. Elexon has provided an update on t</w:t>
      </w:r>
      <w:r>
        <w:t xml:space="preserve">hese two </w:t>
      </w:r>
      <w:r w:rsidRPr="003916AD">
        <w:t>Supplier</w:t>
      </w:r>
      <w:r>
        <w:t>s</w:t>
      </w:r>
      <w:r w:rsidRPr="003916AD">
        <w:t xml:space="preserve"> within the EFR Recommendation</w:t>
      </w:r>
      <w:r>
        <w:t>s</w:t>
      </w:r>
      <w:r w:rsidRPr="003916AD">
        <w:t xml:space="preserve"> section of the Confidential Risk Report</w:t>
      </w:r>
      <w:r w:rsidR="00404821">
        <w:t xml:space="preserve"> along with an update on one Supplier that</w:t>
      </w:r>
      <w:r w:rsidRPr="003916AD">
        <w:t xml:space="preserve"> has met the threshold to exit the technique this quarter.</w:t>
      </w:r>
    </w:p>
    <w:p w14:paraId="58676A79" w14:textId="77777777" w:rsidR="00404821" w:rsidRDefault="00404821" w:rsidP="00404821">
      <w:pPr>
        <w:pStyle w:val="List"/>
      </w:pPr>
      <w:r>
        <w:t>Recommendations</w:t>
      </w:r>
    </w:p>
    <w:p w14:paraId="126C7EEC" w14:textId="549577D8" w:rsidR="00404821" w:rsidRDefault="00034C2E" w:rsidP="00404821">
      <w:pPr>
        <w:pStyle w:val="List2"/>
      </w:pPr>
      <w:r>
        <w:t>We invite the PAB to:</w:t>
      </w:r>
    </w:p>
    <w:p w14:paraId="674DEAD7" w14:textId="0523812C" w:rsidR="00404821" w:rsidRDefault="00940651" w:rsidP="00DF22C0">
      <w:pPr>
        <w:pStyle w:val="List4"/>
      </w:pPr>
      <w:r w:rsidRPr="00940651">
        <w:rPr>
          <w:b/>
        </w:rPr>
        <w:t>N</w:t>
      </w:r>
      <w:r w:rsidR="00034C2E">
        <w:rPr>
          <w:b/>
        </w:rPr>
        <w:t>OTE</w:t>
      </w:r>
      <w:r>
        <w:t xml:space="preserve"> the contents of the paper;</w:t>
      </w:r>
    </w:p>
    <w:p w14:paraId="33372268" w14:textId="3E1F3772" w:rsidR="00940651" w:rsidRDefault="00940651" w:rsidP="00DF22C0">
      <w:pPr>
        <w:pStyle w:val="List4"/>
      </w:pPr>
      <w:r w:rsidRPr="00940651">
        <w:rPr>
          <w:b/>
        </w:rPr>
        <w:t>A</w:t>
      </w:r>
      <w:r w:rsidR="00034C2E">
        <w:rPr>
          <w:b/>
        </w:rPr>
        <w:t>GREE</w:t>
      </w:r>
      <w:r w:rsidRPr="00940651">
        <w:rPr>
          <w:b/>
        </w:rPr>
        <w:t xml:space="preserve"> </w:t>
      </w:r>
      <w:r w:rsidR="00A748E7">
        <w:t>that the 4,000MW</w:t>
      </w:r>
      <w:r>
        <w:t>h threshold for the focus Suppliers in the HHMC C, HH Sub 100kW and NHH market is maintained for the next quarter;</w:t>
      </w:r>
    </w:p>
    <w:p w14:paraId="652FC3A0" w14:textId="4E9EEEAC" w:rsidR="00940651" w:rsidRDefault="00940651" w:rsidP="00DF22C0">
      <w:pPr>
        <w:pStyle w:val="List4"/>
        <w:rPr>
          <w:b/>
        </w:rPr>
      </w:pPr>
      <w:r w:rsidRPr="00940651">
        <w:rPr>
          <w:b/>
        </w:rPr>
        <w:t>A</w:t>
      </w:r>
      <w:r w:rsidR="00034C2E">
        <w:rPr>
          <w:b/>
        </w:rPr>
        <w:t>GREE</w:t>
      </w:r>
      <w:r w:rsidRPr="00940651">
        <w:rPr>
          <w:b/>
        </w:rPr>
        <w:t xml:space="preserve"> </w:t>
      </w:r>
      <w:r w:rsidR="00D90E88" w:rsidRPr="00D90E88">
        <w:t>the recommended adaptions</w:t>
      </w:r>
      <w:r w:rsidR="00D90E88">
        <w:rPr>
          <w:b/>
        </w:rPr>
        <w:t xml:space="preserve"> </w:t>
      </w:r>
      <w:r w:rsidR="00D90E88" w:rsidRPr="00D90E88">
        <w:t>to the quarterly review approach set out in section 7;</w:t>
      </w:r>
      <w:r w:rsidR="00034C2E">
        <w:t xml:space="preserve"> and</w:t>
      </w:r>
    </w:p>
    <w:p w14:paraId="7470B4C7" w14:textId="423729A8" w:rsidR="00D90E88" w:rsidRPr="00940651" w:rsidRDefault="00D90E88" w:rsidP="00DF22C0">
      <w:pPr>
        <w:pStyle w:val="List4"/>
        <w:rPr>
          <w:b/>
        </w:rPr>
      </w:pPr>
      <w:r>
        <w:rPr>
          <w:b/>
        </w:rPr>
        <w:t>A</w:t>
      </w:r>
      <w:r w:rsidR="00034C2E">
        <w:rPr>
          <w:b/>
        </w:rPr>
        <w:t>GREE</w:t>
      </w:r>
      <w:r>
        <w:rPr>
          <w:b/>
        </w:rPr>
        <w:t xml:space="preserve"> </w:t>
      </w:r>
      <w:r w:rsidRPr="00637A4E">
        <w:t xml:space="preserve">the </w:t>
      </w:r>
      <w:r w:rsidR="00637A4E" w:rsidRPr="00637A4E">
        <w:t xml:space="preserve">likely changes to the thresholds and approach expected at the next review in August whilst noting that </w:t>
      </w:r>
      <w:r w:rsidR="00637A4E">
        <w:t>Elexon will confirm</w:t>
      </w:r>
      <w:r w:rsidR="00637A4E" w:rsidRPr="00637A4E">
        <w:t xml:space="preserve"> or amended </w:t>
      </w:r>
      <w:r w:rsidR="00637A4E">
        <w:t xml:space="preserve">these indicative approaches </w:t>
      </w:r>
      <w:r w:rsidR="00637A4E" w:rsidRPr="00637A4E">
        <w:t>in August.</w:t>
      </w:r>
    </w:p>
    <w:p w14:paraId="22D42676" w14:textId="77777777" w:rsidR="003625EB" w:rsidRPr="003625EB" w:rsidRDefault="003625EB" w:rsidP="003625EB">
      <w:pPr>
        <w:pStyle w:val="List"/>
        <w:numPr>
          <w:ilvl w:val="0"/>
          <w:numId w:val="0"/>
        </w:numPr>
        <w:ind w:left="680"/>
      </w:pPr>
    </w:p>
    <w:p w14:paraId="3FD4538F" w14:textId="77777777" w:rsidR="00C14A97" w:rsidRPr="00881961" w:rsidRDefault="00C14A97" w:rsidP="00C14A97">
      <w:pPr>
        <w:pStyle w:val="ElexonBody"/>
      </w:pPr>
      <w:r w:rsidRPr="00881961">
        <w:t>For more information, please contact:</w:t>
      </w:r>
    </w:p>
    <w:p w14:paraId="4F9674DB" w14:textId="77777777" w:rsidR="00C14A97" w:rsidRDefault="00C14A97" w:rsidP="00C14A97">
      <w:pPr>
        <w:pStyle w:val="ElexonBody"/>
      </w:pPr>
      <w:r>
        <w:t>Anna Millar, Risk and Technique Analyst</w:t>
      </w:r>
    </w:p>
    <w:p w14:paraId="5A0DE294" w14:textId="77777777" w:rsidR="00C14A97" w:rsidRDefault="00C14A97" w:rsidP="00C14A97">
      <w:pPr>
        <w:pStyle w:val="ElexonBody"/>
      </w:pPr>
      <w:r>
        <w:t>anna.millar@elexon.co.uk</w:t>
      </w:r>
    </w:p>
    <w:p w14:paraId="61BA2C9E" w14:textId="77777777" w:rsidR="00C14A97" w:rsidRPr="00881961" w:rsidRDefault="00C14A97" w:rsidP="00C14A97">
      <w:pPr>
        <w:pStyle w:val="ElexonBody"/>
      </w:pPr>
      <w:r>
        <w:t>020 7380 4368</w:t>
      </w:r>
    </w:p>
    <w:p w14:paraId="3E4E95F8" w14:textId="77777777" w:rsidR="001620B8" w:rsidRPr="00881961" w:rsidRDefault="001620B8" w:rsidP="00C14A97">
      <w:pPr>
        <w:pStyle w:val="List"/>
        <w:numPr>
          <w:ilvl w:val="0"/>
          <w:numId w:val="0"/>
        </w:numPr>
        <w:ind w:left="680"/>
      </w:pPr>
    </w:p>
    <w:sectPr w:rsidR="001620B8" w:rsidRPr="00881961" w:rsidSect="008345BA">
      <w:footerReference w:type="default" r:id="rId15"/>
      <w:headerReference w:type="first" r:id="rId16"/>
      <w:footerReference w:type="first" r:id="rId17"/>
      <w:pgSz w:w="11906" w:h="16838" w:code="9"/>
      <w:pgMar w:top="680" w:right="680" w:bottom="992" w:left="680" w:header="567" w:footer="44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276B7C" w14:textId="77777777" w:rsidR="0080300F" w:rsidRDefault="0080300F" w:rsidP="007F1A2A">
      <w:pPr>
        <w:spacing w:after="0" w:line="240" w:lineRule="auto"/>
      </w:pPr>
      <w:r>
        <w:separator/>
      </w:r>
    </w:p>
  </w:endnote>
  <w:endnote w:type="continuationSeparator" w:id="0">
    <w:p w14:paraId="7095127F" w14:textId="77777777" w:rsidR="0080300F" w:rsidRDefault="0080300F" w:rsidP="007F1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panose1 w:val="00000000000000000000"/>
    <w:charset w:val="00"/>
    <w:family w:val="roman"/>
    <w:notTrueType/>
    <w:pitch w:val="variable"/>
    <w:sig w:usb0="60000287" w:usb1="00000001" w:usb2="00000000" w:usb3="00000000" w:csb0="0000019F" w:csb1="00000000"/>
  </w:font>
  <w:font w:name="DIN Light">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FF3D7" w14:textId="5DDCF595" w:rsidR="00AA676C" w:rsidRPr="00AC33B2" w:rsidRDefault="00AA676C" w:rsidP="00AC33B2">
    <w:pPr>
      <w:pStyle w:val="Footer"/>
      <w:tabs>
        <w:tab w:val="clear" w:pos="9360"/>
        <w:tab w:val="right" w:pos="10490"/>
      </w:tabs>
    </w:pPr>
    <w:r w:rsidRPr="00AC33B2">
      <w:t>@ Elexon 202</w:t>
    </w:r>
    <w:r>
      <w:t>1</w:t>
    </w:r>
    <w:r w:rsidRPr="00AC33B2">
      <w:tab/>
    </w:r>
    <w:r w:rsidRPr="00AC33B2">
      <w:tab/>
    </w:r>
    <w:sdt>
      <w:sdtPr>
        <w:id w:val="-98183867"/>
        <w:docPartObj>
          <w:docPartGallery w:val="Page Numbers (Bottom of Page)"/>
          <w:docPartUnique/>
        </w:docPartObj>
      </w:sdtPr>
      <w:sdtEndPr/>
      <w:sdtContent>
        <w:sdt>
          <w:sdtPr>
            <w:id w:val="-1705238520"/>
            <w:docPartObj>
              <w:docPartGallery w:val="Page Numbers (Top of Page)"/>
              <w:docPartUnique/>
            </w:docPartObj>
          </w:sdtPr>
          <w:sdtEndPr/>
          <w:sdtContent>
            <w:r w:rsidRPr="00AC33B2">
              <w:t xml:space="preserve">Page </w:t>
            </w:r>
            <w:r w:rsidRPr="00AC33B2">
              <w:rPr>
                <w:sz w:val="24"/>
                <w:szCs w:val="24"/>
              </w:rPr>
              <w:fldChar w:fldCharType="begin"/>
            </w:r>
            <w:r w:rsidRPr="00AC33B2">
              <w:instrText xml:space="preserve"> PAGE </w:instrText>
            </w:r>
            <w:r w:rsidRPr="00AC33B2">
              <w:rPr>
                <w:sz w:val="24"/>
                <w:szCs w:val="24"/>
              </w:rPr>
              <w:fldChar w:fldCharType="separate"/>
            </w:r>
            <w:r w:rsidR="00E24E48">
              <w:rPr>
                <w:noProof/>
              </w:rPr>
              <w:t>2</w:t>
            </w:r>
            <w:r w:rsidRPr="00AC33B2">
              <w:rPr>
                <w:sz w:val="24"/>
                <w:szCs w:val="24"/>
              </w:rPr>
              <w:fldChar w:fldCharType="end"/>
            </w:r>
            <w:r w:rsidRPr="00AC33B2">
              <w:t xml:space="preserve"> of </w:t>
            </w:r>
            <w:r>
              <w:fldChar w:fldCharType="begin"/>
            </w:r>
            <w:r>
              <w:instrText xml:space="preserve"> NUMPAGES  </w:instrText>
            </w:r>
            <w:r>
              <w:fldChar w:fldCharType="separate"/>
            </w:r>
            <w:r w:rsidR="00E24E48">
              <w:rPr>
                <w:noProof/>
              </w:rPr>
              <w:t>10</w:t>
            </w:r>
            <w:r>
              <w:rPr>
                <w:noProof/>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8494500"/>
      <w:docPartObj>
        <w:docPartGallery w:val="Page Numbers (Bottom of Page)"/>
        <w:docPartUnique/>
      </w:docPartObj>
    </w:sdtPr>
    <w:sdtEndPr/>
    <w:sdtContent>
      <w:sdt>
        <w:sdtPr>
          <w:id w:val="-1769616900"/>
          <w:docPartObj>
            <w:docPartGallery w:val="Page Numbers (Top of Page)"/>
            <w:docPartUnique/>
          </w:docPartObj>
        </w:sdtPr>
        <w:sdtEndPr/>
        <w:sdtContent>
          <w:p w14:paraId="0227FC23" w14:textId="05D03C82" w:rsidR="00AA676C" w:rsidRPr="008345BA" w:rsidRDefault="00AA676C" w:rsidP="008345BA">
            <w:pPr>
              <w:pStyle w:val="Footer"/>
              <w:tabs>
                <w:tab w:val="clear" w:pos="9360"/>
                <w:tab w:val="right" w:pos="10490"/>
              </w:tabs>
            </w:pPr>
            <w:r>
              <w:t>© Elexon 2021</w:t>
            </w:r>
            <w:r>
              <w:tab/>
            </w:r>
            <w:r>
              <w:tab/>
            </w:r>
            <w:r w:rsidRPr="008345BA">
              <w:t xml:space="preserve">Page </w:t>
            </w:r>
            <w:r w:rsidRPr="008345BA">
              <w:fldChar w:fldCharType="begin"/>
            </w:r>
            <w:r w:rsidRPr="008345BA">
              <w:instrText xml:space="preserve"> PAGE </w:instrText>
            </w:r>
            <w:r w:rsidRPr="008345BA">
              <w:fldChar w:fldCharType="separate"/>
            </w:r>
            <w:r w:rsidR="00A31236">
              <w:rPr>
                <w:noProof/>
              </w:rPr>
              <w:t>1</w:t>
            </w:r>
            <w:r w:rsidRPr="008345BA">
              <w:fldChar w:fldCharType="end"/>
            </w:r>
            <w:r w:rsidRPr="008345BA">
              <w:t xml:space="preserve"> of </w:t>
            </w:r>
            <w:r>
              <w:fldChar w:fldCharType="begin"/>
            </w:r>
            <w:r>
              <w:instrText xml:space="preserve"> NUMPAGES  </w:instrText>
            </w:r>
            <w:r>
              <w:fldChar w:fldCharType="separate"/>
            </w:r>
            <w:r w:rsidR="00A31236">
              <w:rPr>
                <w:noProof/>
              </w:rPr>
              <w:t>10</w:t>
            </w:r>
            <w: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AFA32F" w14:textId="77777777" w:rsidR="0080300F" w:rsidRDefault="0080300F" w:rsidP="007F1A2A">
      <w:pPr>
        <w:spacing w:after="0" w:line="240" w:lineRule="auto"/>
      </w:pPr>
      <w:r>
        <w:separator/>
      </w:r>
    </w:p>
  </w:footnote>
  <w:footnote w:type="continuationSeparator" w:id="0">
    <w:p w14:paraId="63655050" w14:textId="77777777" w:rsidR="0080300F" w:rsidRDefault="0080300F" w:rsidP="007F1A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B627A" w14:textId="77777777" w:rsidR="00AA676C" w:rsidRDefault="00AA676C">
    <w:pPr>
      <w:pStyle w:val="Header"/>
      <w:rPr>
        <w:noProof/>
      </w:rPr>
    </w:pPr>
  </w:p>
  <w:p w14:paraId="135DDFAE" w14:textId="77777777" w:rsidR="00AA676C" w:rsidRDefault="00AA676C">
    <w:pPr>
      <w:pStyle w:val="Header"/>
      <w:rPr>
        <w:noProof/>
      </w:rPr>
    </w:pPr>
  </w:p>
  <w:p w14:paraId="135AC558" w14:textId="77777777" w:rsidR="00AA676C" w:rsidRDefault="00AA676C">
    <w:pPr>
      <w:pStyle w:val="Header"/>
      <w:rPr>
        <w:noProof/>
      </w:rPr>
    </w:pPr>
  </w:p>
  <w:p w14:paraId="1C517E1D" w14:textId="77777777" w:rsidR="00AA676C" w:rsidRDefault="00AA676C">
    <w:pPr>
      <w:pStyle w:val="Header"/>
      <w:rPr>
        <w:noProof/>
      </w:rPr>
    </w:pPr>
    <w:r>
      <w:rPr>
        <w:noProof/>
        <w:lang w:eastAsia="en-GB"/>
      </w:rPr>
      <mc:AlternateContent>
        <mc:Choice Requires="wps">
          <w:drawing>
            <wp:anchor distT="0" distB="0" distL="114300" distR="114300" simplePos="0" relativeHeight="251648000" behindDoc="1" locked="0" layoutInCell="1" allowOverlap="1" wp14:anchorId="01AB92B7" wp14:editId="2E2832E0">
              <wp:simplePos x="0" y="0"/>
              <wp:positionH relativeFrom="column">
                <wp:posOffset>-431800</wp:posOffset>
              </wp:positionH>
              <wp:positionV relativeFrom="paragraph">
                <wp:posOffset>-1251585</wp:posOffset>
              </wp:positionV>
              <wp:extent cx="7563557" cy="1256691"/>
              <wp:effectExtent l="0" t="0" r="0" b="635"/>
              <wp:wrapNone/>
              <wp:docPr id="16" name="Freeform: Shape 16"/>
              <wp:cNvGraphicFramePr/>
              <a:graphic xmlns:a="http://schemas.openxmlformats.org/drawingml/2006/main">
                <a:graphicData uri="http://schemas.microsoft.com/office/word/2010/wordprocessingShape">
                  <wps:wsp>
                    <wps:cNvSpPr/>
                    <wps:spPr>
                      <a:xfrm>
                        <a:off x="0" y="0"/>
                        <a:ext cx="7563557" cy="1256691"/>
                      </a:xfrm>
                      <a:custGeom>
                        <a:avLst/>
                        <a:gdLst>
                          <a:gd name="connsiteX0" fmla="*/ 0 w 7563232"/>
                          <a:gd name="connsiteY0" fmla="*/ 0 h 1256531"/>
                          <a:gd name="connsiteX1" fmla="*/ 7563233 w 7563232"/>
                          <a:gd name="connsiteY1" fmla="*/ 0 h 1256531"/>
                          <a:gd name="connsiteX2" fmla="*/ 7563233 w 7563232"/>
                          <a:gd name="connsiteY2" fmla="*/ 1256531 h 1256531"/>
                          <a:gd name="connsiteX3" fmla="*/ 0 w 7563232"/>
                          <a:gd name="connsiteY3" fmla="*/ 1256531 h 1256531"/>
                        </a:gdLst>
                        <a:ahLst/>
                        <a:cxnLst>
                          <a:cxn ang="0">
                            <a:pos x="connsiteX0" y="connsiteY0"/>
                          </a:cxn>
                          <a:cxn ang="0">
                            <a:pos x="connsiteX1" y="connsiteY1"/>
                          </a:cxn>
                          <a:cxn ang="0">
                            <a:pos x="connsiteX2" y="connsiteY2"/>
                          </a:cxn>
                          <a:cxn ang="0">
                            <a:pos x="connsiteX3" y="connsiteY3"/>
                          </a:cxn>
                        </a:cxnLst>
                        <a:rect l="l" t="t" r="r" b="b"/>
                        <a:pathLst>
                          <a:path w="7563232" h="1256531">
                            <a:moveTo>
                              <a:pt x="0" y="0"/>
                            </a:moveTo>
                            <a:lnTo>
                              <a:pt x="7563233" y="0"/>
                            </a:lnTo>
                            <a:lnTo>
                              <a:pt x="7563233" y="1256531"/>
                            </a:lnTo>
                            <a:lnTo>
                              <a:pt x="0" y="1256531"/>
                            </a:lnTo>
                            <a:close/>
                          </a:path>
                        </a:pathLst>
                      </a:custGeom>
                      <a:solidFill>
                        <a:schemeClr val="bg1"/>
                      </a:solidFill>
                      <a:ln w="1269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189D524" id="Freeform: Shape 16" o:spid="_x0000_s1026" style="position:absolute;margin-left:-34pt;margin-top:-98.55pt;width:595.55pt;height:98.95pt;z-index:-251668480;visibility:visible;mso-wrap-style:square;mso-wrap-distance-left:9pt;mso-wrap-distance-top:0;mso-wrap-distance-right:9pt;mso-wrap-distance-bottom:0;mso-position-horizontal:absolute;mso-position-horizontal-relative:text;mso-position-vertical:absolute;mso-position-vertical-relative:text;v-text-anchor:middle" coordsize="7563232,1256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" path="m,l7563233,r,1256531l,1256531,,xe" fillcolor="white [3212]" stroked="f" strokeweight=".35264mm">
              <v:stroke joinstyle="miter"/>
              <v:path arrowok="t" o:connecttype="custom" o:connectlocs="0,0;7563558,0;7563558,1256691;0,1256691" o:connectangles="0,0,0,0"/>
            </v:shape>
          </w:pict>
        </mc:Fallback>
      </mc:AlternateContent>
    </w:r>
    <w:r>
      <w:rPr>
        <w:noProof/>
        <w:lang w:eastAsia="en-GB"/>
      </w:rPr>
      <mc:AlternateContent>
        <mc:Choice Requires="wps">
          <w:drawing>
            <wp:anchor distT="0" distB="0" distL="114300" distR="114300" simplePos="0" relativeHeight="251659264" behindDoc="0" locked="0" layoutInCell="1" allowOverlap="1" wp14:anchorId="57347E4A" wp14:editId="13DDAF3B">
              <wp:simplePos x="0" y="0"/>
              <wp:positionH relativeFrom="page">
                <wp:align>center</wp:align>
              </wp:positionH>
              <wp:positionV relativeFrom="page">
                <wp:posOffset>431800</wp:posOffset>
              </wp:positionV>
              <wp:extent cx="1616400" cy="219600"/>
              <wp:effectExtent l="0" t="0" r="3175" b="9525"/>
              <wp:wrapNone/>
              <wp:docPr id="32" name="Graphic 1"/>
              <wp:cNvGraphicFramePr/>
              <a:graphic xmlns:a="http://schemas.openxmlformats.org/drawingml/2006/main">
                <a:graphicData uri="http://schemas.microsoft.com/office/word/2010/wordprocessingShape">
                  <wps:wsp>
                    <wps:cNvSpPr/>
                    <wps:spPr>
                      <a:xfrm>
                        <a:off x="0" y="0"/>
                        <a:ext cx="1616400" cy="219600"/>
                      </a:xfrm>
                      <a:custGeom>
                        <a:avLst/>
                        <a:gdLst>
                          <a:gd name="connsiteX0" fmla="*/ 386715 w 5021580"/>
                          <a:gd name="connsiteY0" fmla="*/ 9525 h 681989"/>
                          <a:gd name="connsiteX1" fmla="*/ 386715 w 5021580"/>
                          <a:gd name="connsiteY1" fmla="*/ 84773 h 681989"/>
                          <a:gd name="connsiteX2" fmla="*/ 78105 w 5021580"/>
                          <a:gd name="connsiteY2" fmla="*/ 84773 h 681989"/>
                          <a:gd name="connsiteX3" fmla="*/ 78105 w 5021580"/>
                          <a:gd name="connsiteY3" fmla="*/ 296228 h 681989"/>
                          <a:gd name="connsiteX4" fmla="*/ 354330 w 5021580"/>
                          <a:gd name="connsiteY4" fmla="*/ 296228 h 681989"/>
                          <a:gd name="connsiteX5" fmla="*/ 354330 w 5021580"/>
                          <a:gd name="connsiteY5" fmla="*/ 371475 h 681989"/>
                          <a:gd name="connsiteX6" fmla="*/ 78105 w 5021580"/>
                          <a:gd name="connsiteY6" fmla="*/ 371475 h 681989"/>
                          <a:gd name="connsiteX7" fmla="*/ 78105 w 5021580"/>
                          <a:gd name="connsiteY7" fmla="*/ 597218 h 681989"/>
                          <a:gd name="connsiteX8" fmla="*/ 386715 w 5021580"/>
                          <a:gd name="connsiteY8" fmla="*/ 597218 h 681989"/>
                          <a:gd name="connsiteX9" fmla="*/ 386715 w 5021580"/>
                          <a:gd name="connsiteY9" fmla="*/ 672465 h 681989"/>
                          <a:gd name="connsiteX10" fmla="*/ 0 w 5021580"/>
                          <a:gd name="connsiteY10" fmla="*/ 672465 h 681989"/>
                          <a:gd name="connsiteX11" fmla="*/ 0 w 5021580"/>
                          <a:gd name="connsiteY11" fmla="*/ 9525 h 681989"/>
                          <a:gd name="connsiteX12" fmla="*/ 386715 w 5021580"/>
                          <a:gd name="connsiteY12" fmla="*/ 9525 h 681989"/>
                          <a:gd name="connsiteX13" fmla="*/ 845820 w 5021580"/>
                          <a:gd name="connsiteY13" fmla="*/ 9525 h 681989"/>
                          <a:gd name="connsiteX14" fmla="*/ 845820 w 5021580"/>
                          <a:gd name="connsiteY14" fmla="*/ 672465 h 681989"/>
                          <a:gd name="connsiteX15" fmla="*/ 1255395 w 5021580"/>
                          <a:gd name="connsiteY15" fmla="*/ 672465 h 681989"/>
                          <a:gd name="connsiteX16" fmla="*/ 1255395 w 5021580"/>
                          <a:gd name="connsiteY16" fmla="*/ 597218 h 681989"/>
                          <a:gd name="connsiteX17" fmla="*/ 923925 w 5021580"/>
                          <a:gd name="connsiteY17" fmla="*/ 597218 h 681989"/>
                          <a:gd name="connsiteX18" fmla="*/ 923925 w 5021580"/>
                          <a:gd name="connsiteY18" fmla="*/ 9525 h 681989"/>
                          <a:gd name="connsiteX19" fmla="*/ 845820 w 5021580"/>
                          <a:gd name="connsiteY19" fmla="*/ 9525 h 681989"/>
                          <a:gd name="connsiteX20" fmla="*/ 4942523 w 5021580"/>
                          <a:gd name="connsiteY20" fmla="*/ 526733 h 681989"/>
                          <a:gd name="connsiteX21" fmla="*/ 4581525 w 5021580"/>
                          <a:gd name="connsiteY21" fmla="*/ 9525 h 681989"/>
                          <a:gd name="connsiteX22" fmla="*/ 4509135 w 5021580"/>
                          <a:gd name="connsiteY22" fmla="*/ 9525 h 681989"/>
                          <a:gd name="connsiteX23" fmla="*/ 4509135 w 5021580"/>
                          <a:gd name="connsiteY23" fmla="*/ 672465 h 681989"/>
                          <a:gd name="connsiteX24" fmla="*/ 4587240 w 5021580"/>
                          <a:gd name="connsiteY24" fmla="*/ 672465 h 681989"/>
                          <a:gd name="connsiteX25" fmla="*/ 4587240 w 5021580"/>
                          <a:gd name="connsiteY25" fmla="*/ 156210 h 681989"/>
                          <a:gd name="connsiteX26" fmla="*/ 4950143 w 5021580"/>
                          <a:gd name="connsiteY26" fmla="*/ 672465 h 681989"/>
                          <a:gd name="connsiteX27" fmla="*/ 5021580 w 5021580"/>
                          <a:gd name="connsiteY27" fmla="*/ 672465 h 681989"/>
                          <a:gd name="connsiteX28" fmla="*/ 5021580 w 5021580"/>
                          <a:gd name="connsiteY28" fmla="*/ 9525 h 681989"/>
                          <a:gd name="connsiteX29" fmla="*/ 4942523 w 5021580"/>
                          <a:gd name="connsiteY29" fmla="*/ 9525 h 681989"/>
                          <a:gd name="connsiteX30" fmla="*/ 4942523 w 5021580"/>
                          <a:gd name="connsiteY30" fmla="*/ 526733 h 681989"/>
                          <a:gd name="connsiteX31" fmla="*/ 2067878 w 5021580"/>
                          <a:gd name="connsiteY31" fmla="*/ 672465 h 681989"/>
                          <a:gd name="connsiteX32" fmla="*/ 2067878 w 5021580"/>
                          <a:gd name="connsiteY32" fmla="*/ 597218 h 681989"/>
                          <a:gd name="connsiteX33" fmla="*/ 1759268 w 5021580"/>
                          <a:gd name="connsiteY33" fmla="*/ 597218 h 681989"/>
                          <a:gd name="connsiteX34" fmla="*/ 1759268 w 5021580"/>
                          <a:gd name="connsiteY34" fmla="*/ 371475 h 681989"/>
                          <a:gd name="connsiteX35" fmla="*/ 2035493 w 5021580"/>
                          <a:gd name="connsiteY35" fmla="*/ 371475 h 681989"/>
                          <a:gd name="connsiteX36" fmla="*/ 2035493 w 5021580"/>
                          <a:gd name="connsiteY36" fmla="*/ 296228 h 681989"/>
                          <a:gd name="connsiteX37" fmla="*/ 1759268 w 5021580"/>
                          <a:gd name="connsiteY37" fmla="*/ 296228 h 681989"/>
                          <a:gd name="connsiteX38" fmla="*/ 1759268 w 5021580"/>
                          <a:gd name="connsiteY38" fmla="*/ 84773 h 681989"/>
                          <a:gd name="connsiteX39" fmla="*/ 2067878 w 5021580"/>
                          <a:gd name="connsiteY39" fmla="*/ 84773 h 681989"/>
                          <a:gd name="connsiteX40" fmla="*/ 2067878 w 5021580"/>
                          <a:gd name="connsiteY40" fmla="*/ 9525 h 681989"/>
                          <a:gd name="connsiteX41" fmla="*/ 1681163 w 5021580"/>
                          <a:gd name="connsiteY41" fmla="*/ 9525 h 681989"/>
                          <a:gd name="connsiteX42" fmla="*/ 1681163 w 5021580"/>
                          <a:gd name="connsiteY42" fmla="*/ 672465 h 681989"/>
                          <a:gd name="connsiteX43" fmla="*/ 2067878 w 5021580"/>
                          <a:gd name="connsiteY43" fmla="*/ 672465 h 681989"/>
                          <a:gd name="connsiteX44" fmla="*/ 3488055 w 5021580"/>
                          <a:gd name="connsiteY44" fmla="*/ 339090 h 681989"/>
                          <a:gd name="connsiteX45" fmla="*/ 3741420 w 5021580"/>
                          <a:gd name="connsiteY45" fmla="*/ 605790 h 681989"/>
                          <a:gd name="connsiteX46" fmla="*/ 3994785 w 5021580"/>
                          <a:gd name="connsiteY46" fmla="*/ 339090 h 681989"/>
                          <a:gd name="connsiteX47" fmla="*/ 3741420 w 5021580"/>
                          <a:gd name="connsiteY47" fmla="*/ 76200 h 681989"/>
                          <a:gd name="connsiteX48" fmla="*/ 3488055 w 5021580"/>
                          <a:gd name="connsiteY48" fmla="*/ 339090 h 681989"/>
                          <a:gd name="connsiteX49" fmla="*/ 3741420 w 5021580"/>
                          <a:gd name="connsiteY49" fmla="*/ 681990 h 681989"/>
                          <a:gd name="connsiteX50" fmla="*/ 3407093 w 5021580"/>
                          <a:gd name="connsiteY50" fmla="*/ 339090 h 681989"/>
                          <a:gd name="connsiteX51" fmla="*/ 3741420 w 5021580"/>
                          <a:gd name="connsiteY51" fmla="*/ 0 h 681989"/>
                          <a:gd name="connsiteX52" fmla="*/ 4075748 w 5021580"/>
                          <a:gd name="connsiteY52" fmla="*/ 339090 h 681989"/>
                          <a:gd name="connsiteX53" fmla="*/ 3741420 w 5021580"/>
                          <a:gd name="connsiteY53" fmla="*/ 681990 h 681989"/>
                          <a:gd name="connsiteX54" fmla="*/ 2605088 w 5021580"/>
                          <a:gd name="connsiteY54" fmla="*/ 673418 h 681989"/>
                          <a:gd name="connsiteX55" fmla="*/ 3045143 w 5021580"/>
                          <a:gd name="connsiteY55" fmla="*/ 9525 h 681989"/>
                          <a:gd name="connsiteX56" fmla="*/ 2951798 w 5021580"/>
                          <a:gd name="connsiteY56" fmla="*/ 9525 h 681989"/>
                          <a:gd name="connsiteX57" fmla="*/ 2510790 w 5021580"/>
                          <a:gd name="connsiteY57" fmla="*/ 673418 h 681989"/>
                          <a:gd name="connsiteX58" fmla="*/ 2605088 w 5021580"/>
                          <a:gd name="connsiteY58" fmla="*/ 673418 h 681989"/>
                          <a:gd name="connsiteX59" fmla="*/ 2511743 w 5021580"/>
                          <a:gd name="connsiteY59" fmla="*/ 9525 h 681989"/>
                          <a:gd name="connsiteX60" fmla="*/ 2685098 w 5021580"/>
                          <a:gd name="connsiteY60" fmla="*/ 271463 h 681989"/>
                          <a:gd name="connsiteX61" fmla="*/ 2731770 w 5021580"/>
                          <a:gd name="connsiteY61" fmla="*/ 200978 h 681989"/>
                          <a:gd name="connsiteX62" fmla="*/ 2605088 w 5021580"/>
                          <a:gd name="connsiteY62" fmla="*/ 9525 h 681989"/>
                          <a:gd name="connsiteX63" fmla="*/ 2511743 w 5021580"/>
                          <a:gd name="connsiteY63" fmla="*/ 9525 h 681989"/>
                          <a:gd name="connsiteX64" fmla="*/ 2951798 w 5021580"/>
                          <a:gd name="connsiteY64" fmla="*/ 673418 h 681989"/>
                          <a:gd name="connsiteX65" fmla="*/ 3045143 w 5021580"/>
                          <a:gd name="connsiteY65" fmla="*/ 673418 h 681989"/>
                          <a:gd name="connsiteX66" fmla="*/ 2871788 w 5021580"/>
                          <a:gd name="connsiteY66" fmla="*/ 411480 h 681989"/>
                          <a:gd name="connsiteX67" fmla="*/ 2825115 w 5021580"/>
                          <a:gd name="connsiteY67" fmla="*/ 481965 h 681989"/>
                          <a:gd name="connsiteX68" fmla="*/ 2951798 w 5021580"/>
                          <a:gd name="connsiteY68" fmla="*/ 673418 h 68198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Lst>
                        <a:rect l="l" t="t" r="r" b="b"/>
                        <a:pathLst>
                          <a:path w="5021580" h="681989">
                            <a:moveTo>
                              <a:pt x="386715" y="9525"/>
                            </a:moveTo>
                            <a:lnTo>
                              <a:pt x="386715" y="84773"/>
                            </a:lnTo>
                            <a:lnTo>
                              <a:pt x="78105" y="84773"/>
                            </a:lnTo>
                            <a:lnTo>
                              <a:pt x="78105" y="296228"/>
                            </a:lnTo>
                            <a:lnTo>
                              <a:pt x="354330" y="296228"/>
                            </a:lnTo>
                            <a:lnTo>
                              <a:pt x="354330" y="371475"/>
                            </a:lnTo>
                            <a:lnTo>
                              <a:pt x="78105" y="371475"/>
                            </a:lnTo>
                            <a:lnTo>
                              <a:pt x="78105" y="597218"/>
                            </a:lnTo>
                            <a:lnTo>
                              <a:pt x="386715" y="597218"/>
                            </a:lnTo>
                            <a:lnTo>
                              <a:pt x="386715" y="672465"/>
                            </a:lnTo>
                            <a:lnTo>
                              <a:pt x="0" y="672465"/>
                            </a:lnTo>
                            <a:lnTo>
                              <a:pt x="0" y="9525"/>
                            </a:lnTo>
                            <a:lnTo>
                              <a:pt x="386715" y="9525"/>
                            </a:lnTo>
                            <a:close/>
                            <a:moveTo>
                              <a:pt x="845820" y="9525"/>
                            </a:moveTo>
                            <a:lnTo>
                              <a:pt x="845820" y="672465"/>
                            </a:lnTo>
                            <a:lnTo>
                              <a:pt x="1255395" y="672465"/>
                            </a:lnTo>
                            <a:lnTo>
                              <a:pt x="1255395" y="597218"/>
                            </a:lnTo>
                            <a:lnTo>
                              <a:pt x="923925" y="597218"/>
                            </a:lnTo>
                            <a:lnTo>
                              <a:pt x="923925" y="9525"/>
                            </a:lnTo>
                            <a:lnTo>
                              <a:pt x="845820" y="9525"/>
                            </a:lnTo>
                            <a:close/>
                            <a:moveTo>
                              <a:pt x="4942523" y="526733"/>
                            </a:moveTo>
                            <a:lnTo>
                              <a:pt x="4581525" y="9525"/>
                            </a:lnTo>
                            <a:lnTo>
                              <a:pt x="4509135" y="9525"/>
                            </a:lnTo>
                            <a:lnTo>
                              <a:pt x="4509135" y="672465"/>
                            </a:lnTo>
                            <a:lnTo>
                              <a:pt x="4587240" y="672465"/>
                            </a:lnTo>
                            <a:lnTo>
                              <a:pt x="4587240" y="156210"/>
                            </a:lnTo>
                            <a:lnTo>
                              <a:pt x="4950143" y="672465"/>
                            </a:lnTo>
                            <a:lnTo>
                              <a:pt x="5021580" y="672465"/>
                            </a:lnTo>
                            <a:lnTo>
                              <a:pt x="5021580" y="9525"/>
                            </a:lnTo>
                            <a:lnTo>
                              <a:pt x="4942523" y="9525"/>
                            </a:lnTo>
                            <a:lnTo>
                              <a:pt x="4942523" y="526733"/>
                            </a:lnTo>
                            <a:close/>
                            <a:moveTo>
                              <a:pt x="2067878" y="672465"/>
                            </a:moveTo>
                            <a:lnTo>
                              <a:pt x="2067878" y="597218"/>
                            </a:lnTo>
                            <a:lnTo>
                              <a:pt x="1759268" y="597218"/>
                            </a:lnTo>
                            <a:lnTo>
                              <a:pt x="1759268" y="371475"/>
                            </a:lnTo>
                            <a:lnTo>
                              <a:pt x="2035493" y="371475"/>
                            </a:lnTo>
                            <a:lnTo>
                              <a:pt x="2035493" y="296228"/>
                            </a:lnTo>
                            <a:lnTo>
                              <a:pt x="1759268" y="296228"/>
                            </a:lnTo>
                            <a:lnTo>
                              <a:pt x="1759268" y="84773"/>
                            </a:lnTo>
                            <a:lnTo>
                              <a:pt x="2067878" y="84773"/>
                            </a:lnTo>
                            <a:lnTo>
                              <a:pt x="2067878" y="9525"/>
                            </a:lnTo>
                            <a:lnTo>
                              <a:pt x="1681163" y="9525"/>
                            </a:lnTo>
                            <a:lnTo>
                              <a:pt x="1681163" y="672465"/>
                            </a:lnTo>
                            <a:lnTo>
                              <a:pt x="2067878" y="672465"/>
                            </a:lnTo>
                            <a:close/>
                            <a:moveTo>
                              <a:pt x="3488055" y="339090"/>
                            </a:moveTo>
                            <a:cubicBezTo>
                              <a:pt x="3488055" y="488633"/>
                              <a:pt x="3599498" y="605790"/>
                              <a:pt x="3741420" y="605790"/>
                            </a:cubicBezTo>
                            <a:cubicBezTo>
                              <a:pt x="3883343" y="605790"/>
                              <a:pt x="3994785" y="488633"/>
                              <a:pt x="3994785" y="339090"/>
                            </a:cubicBezTo>
                            <a:cubicBezTo>
                              <a:pt x="3994785" y="191453"/>
                              <a:pt x="3883343" y="76200"/>
                              <a:pt x="3741420" y="76200"/>
                            </a:cubicBezTo>
                            <a:cubicBezTo>
                              <a:pt x="3599498" y="76200"/>
                              <a:pt x="3488055" y="191453"/>
                              <a:pt x="3488055" y="339090"/>
                            </a:cubicBezTo>
                            <a:close/>
                            <a:moveTo>
                              <a:pt x="3741420" y="681990"/>
                            </a:moveTo>
                            <a:cubicBezTo>
                              <a:pt x="3553778" y="681990"/>
                              <a:pt x="3407093" y="531495"/>
                              <a:pt x="3407093" y="339090"/>
                            </a:cubicBezTo>
                            <a:cubicBezTo>
                              <a:pt x="3407093" y="148590"/>
                              <a:pt x="3553778" y="0"/>
                              <a:pt x="3741420" y="0"/>
                            </a:cubicBezTo>
                            <a:cubicBezTo>
                              <a:pt x="3929063" y="0"/>
                              <a:pt x="4075748" y="148590"/>
                              <a:pt x="4075748" y="339090"/>
                            </a:cubicBezTo>
                            <a:cubicBezTo>
                              <a:pt x="4075748" y="531495"/>
                              <a:pt x="3929063" y="681990"/>
                              <a:pt x="3741420" y="681990"/>
                            </a:cubicBezTo>
                            <a:close/>
                            <a:moveTo>
                              <a:pt x="2605088" y="673418"/>
                            </a:moveTo>
                            <a:lnTo>
                              <a:pt x="3045143" y="9525"/>
                            </a:lnTo>
                            <a:lnTo>
                              <a:pt x="2951798" y="9525"/>
                            </a:lnTo>
                            <a:lnTo>
                              <a:pt x="2510790" y="673418"/>
                            </a:lnTo>
                            <a:lnTo>
                              <a:pt x="2605088" y="673418"/>
                            </a:lnTo>
                            <a:close/>
                            <a:moveTo>
                              <a:pt x="2511743" y="9525"/>
                            </a:moveTo>
                            <a:lnTo>
                              <a:pt x="2685098" y="271463"/>
                            </a:lnTo>
                            <a:lnTo>
                              <a:pt x="2731770" y="200978"/>
                            </a:lnTo>
                            <a:lnTo>
                              <a:pt x="2605088" y="9525"/>
                            </a:lnTo>
                            <a:lnTo>
                              <a:pt x="2511743" y="9525"/>
                            </a:lnTo>
                            <a:close/>
                            <a:moveTo>
                              <a:pt x="2951798" y="673418"/>
                            </a:moveTo>
                            <a:lnTo>
                              <a:pt x="3045143" y="673418"/>
                            </a:lnTo>
                            <a:lnTo>
                              <a:pt x="2871788" y="411480"/>
                            </a:lnTo>
                            <a:lnTo>
                              <a:pt x="2825115" y="481965"/>
                            </a:lnTo>
                            <a:lnTo>
                              <a:pt x="2951798" y="673418"/>
                            </a:lnTo>
                            <a:close/>
                          </a:path>
                        </a:pathLst>
                      </a:custGeom>
                      <a:solidFill>
                        <a:schemeClr val="tx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797F2B" id="Graphic 1" o:spid="_x0000_s1026" style="position:absolute;margin-left:0;margin-top:34pt;width:127.3pt;height:17.3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coordsize="5021580,681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" path="m386715,9525r,75248l78105,84773r,211455l354330,296228r,75247l78105,371475r,225743l386715,597218r,75247l,672465,,9525r386715,xm845820,9525r,662940l1255395,672465r,-75247l923925,597218r,-587693l845820,9525xm4942523,526733l4581525,9525r-72390,l4509135,672465r78105,l4587240,156210r362903,516255l5021580,672465r,-662940l4942523,9525r,517208xm2067878,672465r,-75247l1759268,597218r,-225743l2035493,371475r,-75247l1759268,296228r,-211455l2067878,84773r,-75248l1681163,9525r,662940l2067878,672465xm3488055,339090v,149543,111443,266700,253365,266700c3883343,605790,3994785,488633,3994785,339090v,-147637,-111442,-262890,-253365,-262890c3599498,76200,3488055,191453,3488055,339090xm3741420,681990v-187642,,-334327,-150495,-334327,-342900c3407093,148590,3553778,,3741420,v187643,,334328,148590,334328,339090c4075748,531495,3929063,681990,3741420,681990xm2605088,673418l3045143,9525r-93345,l2510790,673418r94298,xm2511743,9525r173355,261938l2731770,200978,2605088,9525r-93345,xm2951798,673418r93345,l2871788,411480r-46673,70485l2951798,673418xe" fillcolor="#00008b [3213]" stroked="f">
              <v:stroke joinstyle="miter"/>
              <v:path arrowok="t" o:connecttype="custom" o:connectlocs="124480,3067;124480,27297;25141,27297;25141,95385;114056,95385;114056,119615;25141,119615;25141,192304;124480,192304;124480,216533;0,216533;0,3067;124480,3067;272262,3067;272262,216533;404100,216533;404100,192304;297403,192304;297403,3067;272262,3067;1590952,169608;1474750,3067;1451449,3067;1451449,216533;1476590,216533;1476590,50300;1593405,216533;1616400,216533;1616400,3067;1590952,3067;1590952,169608;665631,216533;665631,192304;566292,192304;566292,119615;655206,119615;655206,95385;566292,95385;566292,27297;665631,27297;665631,3067;541151,3067;541151,216533;665631,216533;1122773,109187;1204328,195064;1285884,109187;1204328,24536;1122773,109187;1204328,219600;1096712,109187;1204328,0;1311945,109187;1204328,219600;838554,216840;980203,3067;950156,3067;808200,216840;838554,216840;808507,3067;864308,87411;879331,64715;838554,3067;808507,3067;950156,216840;980203,216840;924402,132496;909378,155192;950156,216840" o:connectangles="0,0,0,0,0,0,0,0,0,0,0,0,0,0,0,0,0,0,0,0,0,0,0,0,0,0,0,0,0,0,0,0,0,0,0,0,0,0,0,0,0,0,0,0,0,0,0,0,0,0,0,0,0,0,0,0,0,0,0,0,0,0,0,0,0,0,0,0,0"/>
              <w10:wrap anchorx="page" anchory="page"/>
            </v:shape>
          </w:pict>
        </mc:Fallback>
      </mc:AlternateContent>
    </w:r>
  </w:p>
  <w:p w14:paraId="7D5FDA66" w14:textId="77777777" w:rsidR="00AA676C" w:rsidRDefault="00AA676C">
    <w:pPr>
      <w:pStyle w:val="Heade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13C4042"/>
    <w:lvl w:ilvl="0">
      <w:start w:val="1"/>
      <w:numFmt w:val="decimal"/>
      <w:pStyle w:val="ListNumber"/>
      <w:lvlText w:val="%1."/>
      <w:lvlJc w:val="left"/>
      <w:pPr>
        <w:tabs>
          <w:tab w:val="num" w:pos="360"/>
        </w:tabs>
        <w:ind w:left="360" w:hanging="360"/>
      </w:pPr>
    </w:lvl>
  </w:abstractNum>
  <w:abstractNum w:abstractNumId="1" w15:restartNumberingAfterBreak="0">
    <w:nsid w:val="05C50DF1"/>
    <w:multiLevelType w:val="multilevel"/>
    <w:tmpl w:val="6CFC974A"/>
    <w:styleLink w:val="Elexonnumber"/>
    <w:lvl w:ilvl="0">
      <w:start w:val="1"/>
      <w:numFmt w:val="decimal"/>
      <w:lvlText w:val="%1."/>
      <w:lvlJc w:val="left"/>
      <w:pPr>
        <w:ind w:left="567" w:hanging="567"/>
      </w:pPr>
      <w:rPr>
        <w:rFonts w:asciiTheme="majorHAnsi" w:hAnsiTheme="majorHAnsi" w:hint="default"/>
        <w:b/>
        <w:i w:val="0"/>
        <w:color w:val="00008B" w:themeColor="text1"/>
        <w:sz w:val="20"/>
      </w:rPr>
    </w:lvl>
    <w:lvl w:ilvl="1">
      <w:start w:val="1"/>
      <w:numFmt w:val="decimal"/>
      <w:lvlText w:val="%1.%2"/>
      <w:lvlJc w:val="left"/>
      <w:pPr>
        <w:ind w:left="567" w:hanging="567"/>
      </w:pPr>
      <w:rPr>
        <w:rFonts w:asciiTheme="majorHAnsi" w:hAnsiTheme="majorHAnsi" w:hint="default"/>
        <w:b w:val="0"/>
        <w:i w:val="0"/>
        <w:sz w:val="20"/>
      </w:rPr>
    </w:lvl>
    <w:lvl w:ilvl="2">
      <w:start w:val="1"/>
      <w:numFmt w:val="decimal"/>
      <w:lvlText w:val="%1.%2.%3"/>
      <w:lvlJc w:val="left"/>
      <w:pPr>
        <w:ind w:left="567" w:hanging="567"/>
      </w:pPr>
      <w:rPr>
        <w:rFonts w:asciiTheme="majorHAnsi" w:hAnsiTheme="majorHAnsi" w:hint="default"/>
        <w:b w:val="0"/>
        <w:i w:val="0"/>
        <w:sz w:val="20"/>
      </w:rPr>
    </w:lvl>
    <w:lvl w:ilvl="3">
      <w:start w:val="1"/>
      <w:numFmt w:val="lowerLetter"/>
      <w:lvlText w:val="%4)"/>
      <w:lvlJc w:val="left"/>
      <w:pPr>
        <w:ind w:left="794" w:hanging="227"/>
      </w:pPr>
      <w:rPr>
        <w:rFonts w:asciiTheme="majorHAnsi" w:hAnsiTheme="majorHAnsi" w:hint="default"/>
      </w:rPr>
    </w:lvl>
    <w:lvl w:ilvl="4">
      <w:start w:val="1"/>
      <w:numFmt w:val="lowerRoman"/>
      <w:lvlText w:val="%5"/>
      <w:lvlJc w:val="left"/>
      <w:pPr>
        <w:ind w:left="1021" w:hanging="227"/>
      </w:pPr>
      <w:rPr>
        <w:rFonts w:asciiTheme="majorHAnsi" w:hAnsiTheme="majorHAnsi" w:hint="default"/>
      </w:rPr>
    </w:lvl>
    <w:lvl w:ilvl="5">
      <w:start w:val="1"/>
      <w:numFmt w:val="none"/>
      <w:suff w:val="nothing"/>
      <w:lvlText w:val=""/>
      <w:lvlJc w:val="left"/>
      <w:pPr>
        <w:ind w:left="3240" w:hanging="360"/>
      </w:pPr>
      <w:rPr>
        <w:rFonts w:hint="default"/>
      </w:rPr>
    </w:lvl>
    <w:lvl w:ilvl="6">
      <w:start w:val="1"/>
      <w:numFmt w:val="none"/>
      <w:suff w:val="nothing"/>
      <w:lvlText w:val=""/>
      <w:lvlJc w:val="left"/>
      <w:pPr>
        <w:ind w:left="3600" w:hanging="360"/>
      </w:pPr>
      <w:rPr>
        <w:rFonts w:hint="default"/>
      </w:rPr>
    </w:lvl>
    <w:lvl w:ilvl="7">
      <w:start w:val="1"/>
      <w:numFmt w:val="none"/>
      <w:suff w:val="nothing"/>
      <w:lvlText w:val=""/>
      <w:lvlJc w:val="left"/>
      <w:pPr>
        <w:ind w:left="3960" w:hanging="360"/>
      </w:pPr>
      <w:rPr>
        <w:rFonts w:hint="default"/>
      </w:rPr>
    </w:lvl>
    <w:lvl w:ilvl="8">
      <w:start w:val="1"/>
      <w:numFmt w:val="none"/>
      <w:suff w:val="nothing"/>
      <w:lvlText w:val=""/>
      <w:lvlJc w:val="left"/>
      <w:pPr>
        <w:ind w:left="4320" w:hanging="360"/>
      </w:pPr>
      <w:rPr>
        <w:rFonts w:hint="default"/>
      </w:rPr>
    </w:lvl>
  </w:abstractNum>
  <w:abstractNum w:abstractNumId="2" w15:restartNumberingAfterBreak="0">
    <w:nsid w:val="118F4275"/>
    <w:multiLevelType w:val="hybridMultilevel"/>
    <w:tmpl w:val="6E82F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CF524B"/>
    <w:multiLevelType w:val="hybridMultilevel"/>
    <w:tmpl w:val="76E6E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D5744C"/>
    <w:multiLevelType w:val="multilevel"/>
    <w:tmpl w:val="A28EC53E"/>
    <w:styleLink w:val="ListHeadings"/>
    <w:lvl w:ilvl="0">
      <w:start w:val="1"/>
      <w:numFmt w:val="decimal"/>
      <w:pStyle w:val="Numberheading"/>
      <w:lvlText w:val="%1."/>
      <w:lvlJc w:val="left"/>
      <w:pPr>
        <w:ind w:left="624" w:hanging="624"/>
      </w:pPr>
      <w:rPr>
        <w:rFonts w:hint="default"/>
      </w:rPr>
    </w:lvl>
    <w:lvl w:ilvl="1">
      <w:start w:val="1"/>
      <w:numFmt w:val="decimal"/>
      <w:pStyle w:val="Numberbodytext1"/>
      <w:lvlText w:val="%1.%2"/>
      <w:lvlJc w:val="left"/>
      <w:pPr>
        <w:ind w:left="624" w:hanging="624"/>
      </w:pPr>
      <w:rPr>
        <w:rFonts w:hint="default"/>
      </w:rPr>
    </w:lvl>
    <w:lvl w:ilvl="2">
      <w:start w:val="1"/>
      <w:numFmt w:val="decimal"/>
      <w:pStyle w:val="Numberbodytext2"/>
      <w:lvlText w:val="%1.%2.%3"/>
      <w:lvlJc w:val="left"/>
      <w:pPr>
        <w:ind w:left="624" w:hanging="624"/>
      </w:pPr>
      <w:rPr>
        <w:rFonts w:hint="default"/>
      </w:rPr>
    </w:lvl>
    <w:lvl w:ilvl="3">
      <w:start w:val="1"/>
      <w:numFmt w:val="none"/>
      <w:lvlText w:val=""/>
      <w:lvlJc w:val="left"/>
      <w:pPr>
        <w:ind w:left="624" w:hanging="624"/>
      </w:pPr>
      <w:rPr>
        <w:rFonts w:hint="default"/>
      </w:rPr>
    </w:lvl>
    <w:lvl w:ilvl="4">
      <w:start w:val="1"/>
      <w:numFmt w:val="none"/>
      <w:lvlText w:val=""/>
      <w:lvlJc w:val="left"/>
      <w:pPr>
        <w:ind w:left="624" w:hanging="624"/>
      </w:pPr>
      <w:rPr>
        <w:rFonts w:hint="default"/>
      </w:rPr>
    </w:lvl>
    <w:lvl w:ilvl="5">
      <w:start w:val="1"/>
      <w:numFmt w:val="none"/>
      <w:lvlText w:val=""/>
      <w:lvlJc w:val="left"/>
      <w:pPr>
        <w:ind w:left="624" w:hanging="624"/>
      </w:pPr>
      <w:rPr>
        <w:rFonts w:hint="default"/>
      </w:rPr>
    </w:lvl>
    <w:lvl w:ilvl="6">
      <w:start w:val="1"/>
      <w:numFmt w:val="none"/>
      <w:lvlText w:val=""/>
      <w:lvlJc w:val="left"/>
      <w:pPr>
        <w:ind w:left="624" w:hanging="624"/>
      </w:pPr>
      <w:rPr>
        <w:rFonts w:hint="default"/>
      </w:rPr>
    </w:lvl>
    <w:lvl w:ilvl="7">
      <w:start w:val="1"/>
      <w:numFmt w:val="none"/>
      <w:lvlText w:val=""/>
      <w:lvlJc w:val="left"/>
      <w:pPr>
        <w:ind w:left="624" w:hanging="624"/>
      </w:pPr>
      <w:rPr>
        <w:rFonts w:hint="default"/>
      </w:rPr>
    </w:lvl>
    <w:lvl w:ilvl="8">
      <w:start w:val="1"/>
      <w:numFmt w:val="none"/>
      <w:lvlText w:val=""/>
      <w:lvlJc w:val="left"/>
      <w:pPr>
        <w:ind w:left="624" w:hanging="624"/>
      </w:pPr>
      <w:rPr>
        <w:rFonts w:hint="default"/>
      </w:rPr>
    </w:lvl>
  </w:abstractNum>
  <w:abstractNum w:abstractNumId="5" w15:restartNumberingAfterBreak="0">
    <w:nsid w:val="171241B3"/>
    <w:multiLevelType w:val="hybridMultilevel"/>
    <w:tmpl w:val="83921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FF41EA"/>
    <w:multiLevelType w:val="hybridMultilevel"/>
    <w:tmpl w:val="002A8766"/>
    <w:lvl w:ilvl="0" w:tplc="08090017">
      <w:start w:val="1"/>
      <w:numFmt w:val="lowerLetter"/>
      <w:lvlText w:val="%1)"/>
      <w:lvlJc w:val="left"/>
      <w:pPr>
        <w:ind w:left="1400" w:hanging="360"/>
      </w:pPr>
      <w:rPr>
        <w:rFonts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7" w15:restartNumberingAfterBreak="0">
    <w:nsid w:val="1AAA2392"/>
    <w:multiLevelType w:val="hybridMultilevel"/>
    <w:tmpl w:val="7DDA768C"/>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8" w15:restartNumberingAfterBreak="0">
    <w:nsid w:val="1AAF6F1F"/>
    <w:multiLevelType w:val="hybridMultilevel"/>
    <w:tmpl w:val="9AE6D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3E4426"/>
    <w:multiLevelType w:val="multilevel"/>
    <w:tmpl w:val="6DDC093C"/>
    <w:styleLink w:val="ListNumbers"/>
    <w:lvl w:ilvl="0">
      <w:start w:val="1"/>
      <w:numFmt w:val="lowerLetter"/>
      <w:lvlText w:val="%1)"/>
      <w:lvlJc w:val="left"/>
      <w:pPr>
        <w:ind w:left="1021" w:hanging="397"/>
      </w:pPr>
      <w:rPr>
        <w:rFonts w:hint="default"/>
      </w:rPr>
    </w:lvl>
    <w:lvl w:ilvl="1">
      <w:start w:val="1"/>
      <w:numFmt w:val="lowerRoman"/>
      <w:lvlText w:val="%2)"/>
      <w:lvlJc w:val="left"/>
      <w:pPr>
        <w:ind w:left="1418" w:hanging="397"/>
      </w:pPr>
      <w:rPr>
        <w:rFonts w:hint="default"/>
      </w:rPr>
    </w:lvl>
    <w:lvl w:ilvl="2">
      <w:start w:val="1"/>
      <w:numFmt w:val="none"/>
      <w:lvlText w:val=""/>
      <w:lvlJc w:val="left"/>
      <w:pPr>
        <w:tabs>
          <w:tab w:val="num" w:pos="1418"/>
        </w:tabs>
        <w:ind w:left="1815" w:hanging="397"/>
      </w:pPr>
      <w:rPr>
        <w:rFonts w:hint="default"/>
      </w:rPr>
    </w:lvl>
    <w:lvl w:ilvl="3">
      <w:start w:val="1"/>
      <w:numFmt w:val="none"/>
      <w:lvlText w:val=""/>
      <w:lvlJc w:val="left"/>
      <w:pPr>
        <w:tabs>
          <w:tab w:val="num" w:pos="1815"/>
        </w:tabs>
        <w:ind w:left="2212" w:hanging="397"/>
      </w:pPr>
      <w:rPr>
        <w:rFonts w:hint="default"/>
      </w:rPr>
    </w:lvl>
    <w:lvl w:ilvl="4">
      <w:start w:val="1"/>
      <w:numFmt w:val="none"/>
      <w:lvlText w:val=""/>
      <w:lvlJc w:val="left"/>
      <w:pPr>
        <w:tabs>
          <w:tab w:val="num" w:pos="2212"/>
        </w:tabs>
        <w:ind w:left="2609" w:hanging="397"/>
      </w:pPr>
      <w:rPr>
        <w:rFonts w:hint="default"/>
      </w:rPr>
    </w:lvl>
    <w:lvl w:ilvl="5">
      <w:start w:val="1"/>
      <w:numFmt w:val="none"/>
      <w:lvlText w:val=""/>
      <w:lvlJc w:val="left"/>
      <w:pPr>
        <w:tabs>
          <w:tab w:val="num" w:pos="2609"/>
        </w:tabs>
        <w:ind w:left="3006" w:hanging="397"/>
      </w:pPr>
      <w:rPr>
        <w:rFonts w:hint="default"/>
      </w:rPr>
    </w:lvl>
    <w:lvl w:ilvl="6">
      <w:start w:val="1"/>
      <w:numFmt w:val="none"/>
      <w:lvlText w:val=""/>
      <w:lvlJc w:val="left"/>
      <w:pPr>
        <w:tabs>
          <w:tab w:val="num" w:pos="3006"/>
        </w:tabs>
        <w:ind w:left="3403" w:hanging="397"/>
      </w:pPr>
      <w:rPr>
        <w:rFonts w:hint="default"/>
      </w:rPr>
    </w:lvl>
    <w:lvl w:ilvl="7">
      <w:start w:val="1"/>
      <w:numFmt w:val="none"/>
      <w:lvlText w:val=""/>
      <w:lvlJc w:val="left"/>
      <w:pPr>
        <w:tabs>
          <w:tab w:val="num" w:pos="3403"/>
        </w:tabs>
        <w:ind w:left="3800" w:hanging="397"/>
      </w:pPr>
      <w:rPr>
        <w:rFonts w:hint="default"/>
      </w:rPr>
    </w:lvl>
    <w:lvl w:ilvl="8">
      <w:start w:val="1"/>
      <w:numFmt w:val="none"/>
      <w:lvlText w:val=""/>
      <w:lvlJc w:val="left"/>
      <w:pPr>
        <w:tabs>
          <w:tab w:val="num" w:pos="3800"/>
        </w:tabs>
        <w:ind w:left="4197" w:hanging="397"/>
      </w:pPr>
      <w:rPr>
        <w:rFonts w:hint="default"/>
      </w:rPr>
    </w:lvl>
  </w:abstractNum>
  <w:abstractNum w:abstractNumId="10" w15:restartNumberingAfterBreak="0">
    <w:nsid w:val="241B5A0A"/>
    <w:multiLevelType w:val="multilevel"/>
    <w:tmpl w:val="306050A2"/>
    <w:lvl w:ilvl="0">
      <w:start w:val="1"/>
      <w:numFmt w:val="bullet"/>
      <w:lvlText w:val=""/>
      <w:lvlJc w:val="left"/>
      <w:pPr>
        <w:ind w:left="567" w:hanging="567"/>
      </w:pPr>
      <w:rPr>
        <w:rFonts w:ascii="Wingdings" w:hAnsi="Wingdings" w:hint="default"/>
        <w:sz w:val="16"/>
        <w:u w:color="00008B" w:themeColor="text1"/>
      </w:rPr>
    </w:lvl>
    <w:lvl w:ilvl="1">
      <w:start w:val="1"/>
      <w:numFmt w:val="bullet"/>
      <w:lvlText w:val=""/>
      <w:lvlJc w:val="left"/>
      <w:pPr>
        <w:ind w:left="794" w:hanging="227"/>
      </w:pPr>
      <w:rPr>
        <w:rFonts w:ascii="Symbol" w:hAnsi="Symbol" w:hint="default"/>
        <w:color w:val="00008B" w:themeColor="text1"/>
      </w:rPr>
    </w:lvl>
    <w:lvl w:ilvl="2">
      <w:start w:val="1"/>
      <w:numFmt w:val="bullet"/>
      <w:lvlText w:val=""/>
      <w:lvlJc w:val="left"/>
      <w:pPr>
        <w:tabs>
          <w:tab w:val="num" w:pos="4536"/>
        </w:tabs>
        <w:ind w:left="1134" w:hanging="340"/>
      </w:pPr>
      <w:rPr>
        <w:rFonts w:ascii="Wingdings" w:hAnsi="Wingdings" w:hint="default"/>
      </w:rPr>
    </w:lvl>
    <w:lvl w:ilvl="3">
      <w:start w:val="1"/>
      <w:numFmt w:val="bullet"/>
      <w:lvlText w:val=""/>
      <w:lvlJc w:val="left"/>
      <w:pPr>
        <w:ind w:left="1247" w:hanging="226"/>
      </w:pPr>
      <w:rPr>
        <w:rFonts w:ascii="Symbol" w:hAnsi="Symbol" w:hint="default"/>
      </w:rPr>
    </w:lvl>
    <w:lvl w:ilvl="4">
      <w:start w:val="1"/>
      <w:numFmt w:val="none"/>
      <w:pStyle w:val="ListBullet5"/>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262335FB"/>
    <w:multiLevelType w:val="multilevel"/>
    <w:tmpl w:val="B8B2325C"/>
    <w:lvl w:ilvl="0">
      <w:start w:val="1"/>
      <w:numFmt w:val="decimal"/>
      <w:lvlText w:val="%1."/>
      <w:lvlJc w:val="left"/>
      <w:pPr>
        <w:tabs>
          <w:tab w:val="num" w:pos="680"/>
        </w:tabs>
        <w:ind w:left="680" w:hanging="680"/>
      </w:pPr>
      <w:rPr>
        <w:rFonts w:asciiTheme="majorHAnsi" w:hAnsiTheme="majorHAnsi" w:hint="default"/>
        <w:b/>
        <w:i w:val="0"/>
        <w:color w:val="00008B" w:themeColor="text1"/>
        <w:sz w:val="18"/>
      </w:rPr>
    </w:lvl>
    <w:lvl w:ilvl="1">
      <w:start w:val="1"/>
      <w:numFmt w:val="decimal"/>
      <w:lvlText w:val="%1.%2"/>
      <w:lvlJc w:val="left"/>
      <w:pPr>
        <w:tabs>
          <w:tab w:val="num" w:pos="680"/>
        </w:tabs>
        <w:ind w:left="680" w:hanging="680"/>
      </w:pPr>
      <w:rPr>
        <w:rFonts w:asciiTheme="majorHAnsi" w:hAnsiTheme="majorHAnsi" w:hint="default"/>
        <w:b w:val="0"/>
        <w:i w:val="0"/>
        <w:sz w:val="18"/>
      </w:rPr>
    </w:lvl>
    <w:lvl w:ilvl="2">
      <w:start w:val="1"/>
      <w:numFmt w:val="lowerLetter"/>
      <w:pStyle w:val="ListNumber3"/>
      <w:lvlText w:val="%3)"/>
      <w:lvlJc w:val="left"/>
      <w:pPr>
        <w:tabs>
          <w:tab w:val="num" w:pos="1077"/>
        </w:tabs>
        <w:ind w:left="1080" w:hanging="400"/>
      </w:pPr>
      <w:rPr>
        <w:rFonts w:asciiTheme="majorHAnsi" w:hAnsiTheme="majorHAnsi" w:hint="default"/>
        <w:b w:val="0"/>
        <w:i w:val="0"/>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15:restartNumberingAfterBreak="0">
    <w:nsid w:val="2C295A57"/>
    <w:multiLevelType w:val="hybridMultilevel"/>
    <w:tmpl w:val="1E864B5E"/>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13" w15:restartNumberingAfterBreak="0">
    <w:nsid w:val="326B7D33"/>
    <w:multiLevelType w:val="multilevel"/>
    <w:tmpl w:val="BC16332A"/>
    <w:lvl w:ilvl="0">
      <w:start w:val="1"/>
      <w:numFmt w:val="decimal"/>
      <w:pStyle w:val="List"/>
      <w:lvlText w:val="%1."/>
      <w:lvlJc w:val="left"/>
      <w:pPr>
        <w:ind w:left="454" w:hanging="454"/>
      </w:pPr>
      <w:rPr>
        <w:rFonts w:asciiTheme="majorHAnsi" w:hAnsiTheme="majorHAnsi" w:cs="Times New Roman" w:hint="default"/>
        <w:b/>
        <w:i w:val="0"/>
        <w:color w:val="00008B" w:themeColor="text1"/>
        <w:sz w:val="20"/>
      </w:rPr>
    </w:lvl>
    <w:lvl w:ilvl="1">
      <w:start w:val="1"/>
      <w:numFmt w:val="decimal"/>
      <w:pStyle w:val="List2"/>
      <w:lvlText w:val="%1.%2"/>
      <w:lvlJc w:val="left"/>
      <w:pPr>
        <w:ind w:left="454" w:hanging="454"/>
      </w:pPr>
      <w:rPr>
        <w:rFonts w:asciiTheme="majorHAnsi" w:hAnsiTheme="majorHAnsi" w:cs="Times New Roman" w:hint="default"/>
        <w:b w:val="0"/>
        <w:i w:val="0"/>
        <w:sz w:val="20"/>
      </w:rPr>
    </w:lvl>
    <w:lvl w:ilvl="2">
      <w:start w:val="1"/>
      <w:numFmt w:val="decimal"/>
      <w:pStyle w:val="List3"/>
      <w:lvlText w:val="%1.%2.%3"/>
      <w:lvlJc w:val="left"/>
      <w:pPr>
        <w:ind w:left="454" w:hanging="454"/>
      </w:pPr>
      <w:rPr>
        <w:rFonts w:asciiTheme="majorHAnsi" w:hAnsiTheme="majorHAnsi" w:cs="Times New Roman" w:hint="default"/>
        <w:b w:val="0"/>
        <w:i w:val="0"/>
        <w:sz w:val="20"/>
      </w:rPr>
    </w:lvl>
    <w:lvl w:ilvl="3">
      <w:start w:val="1"/>
      <w:numFmt w:val="lowerLetter"/>
      <w:pStyle w:val="List4"/>
      <w:lvlText w:val="%4)"/>
      <w:lvlJc w:val="left"/>
      <w:pPr>
        <w:ind w:left="680" w:hanging="226"/>
      </w:pPr>
      <w:rPr>
        <w:rFonts w:asciiTheme="majorHAnsi" w:hAnsiTheme="majorHAnsi" w:cs="Times New Roman" w:hint="default"/>
      </w:rPr>
    </w:lvl>
    <w:lvl w:ilvl="4">
      <w:start w:val="1"/>
      <w:numFmt w:val="lowerRoman"/>
      <w:pStyle w:val="ListNumber5"/>
      <w:lvlText w:val="%5"/>
      <w:lvlJc w:val="left"/>
      <w:pPr>
        <w:ind w:left="680" w:hanging="226"/>
      </w:pPr>
      <w:rPr>
        <w:rFonts w:asciiTheme="majorHAnsi" w:hAnsiTheme="majorHAnsi" w:cs="Times New Roman" w:hint="default"/>
      </w:rPr>
    </w:lvl>
    <w:lvl w:ilvl="5">
      <w:start w:val="1"/>
      <w:numFmt w:val="none"/>
      <w:suff w:val="nothing"/>
      <w:lvlText w:val=""/>
      <w:lvlJc w:val="left"/>
      <w:pPr>
        <w:ind w:left="6120" w:hanging="360"/>
      </w:pPr>
      <w:rPr>
        <w:rFonts w:hint="default"/>
      </w:rPr>
    </w:lvl>
    <w:lvl w:ilvl="6">
      <w:start w:val="1"/>
      <w:numFmt w:val="none"/>
      <w:suff w:val="nothing"/>
      <w:lvlText w:val=""/>
      <w:lvlJc w:val="left"/>
      <w:pPr>
        <w:ind w:left="6480" w:hanging="360"/>
      </w:pPr>
      <w:rPr>
        <w:rFonts w:hint="default"/>
      </w:rPr>
    </w:lvl>
    <w:lvl w:ilvl="7">
      <w:start w:val="1"/>
      <w:numFmt w:val="none"/>
      <w:suff w:val="nothing"/>
      <w:lvlText w:val=""/>
      <w:lvlJc w:val="left"/>
      <w:pPr>
        <w:ind w:left="6840" w:hanging="360"/>
      </w:pPr>
      <w:rPr>
        <w:rFonts w:hint="default"/>
      </w:rPr>
    </w:lvl>
    <w:lvl w:ilvl="8">
      <w:start w:val="1"/>
      <w:numFmt w:val="none"/>
      <w:suff w:val="nothing"/>
      <w:lvlText w:val=""/>
      <w:lvlJc w:val="left"/>
      <w:pPr>
        <w:ind w:left="7200" w:hanging="360"/>
      </w:pPr>
      <w:rPr>
        <w:rFonts w:hint="default"/>
      </w:rPr>
    </w:lvl>
  </w:abstractNum>
  <w:abstractNum w:abstractNumId="14" w15:restartNumberingAfterBreak="0">
    <w:nsid w:val="33E92D5A"/>
    <w:multiLevelType w:val="hybridMultilevel"/>
    <w:tmpl w:val="BFD6E66A"/>
    <w:lvl w:ilvl="0" w:tplc="08090001">
      <w:start w:val="1"/>
      <w:numFmt w:val="bullet"/>
      <w:lvlText w:val=""/>
      <w:lvlJc w:val="left"/>
      <w:pPr>
        <w:ind w:left="720" w:hanging="360"/>
      </w:pPr>
      <w:rPr>
        <w:rFonts w:ascii="Symbol" w:hAnsi="Symbol" w:hint="default"/>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471C09"/>
    <w:multiLevelType w:val="hybridMultilevel"/>
    <w:tmpl w:val="83DC2694"/>
    <w:lvl w:ilvl="0" w:tplc="5ABE9FA2">
      <w:numFmt w:val="bullet"/>
      <w:lvlText w:val="-"/>
      <w:lvlJc w:val="left"/>
      <w:pPr>
        <w:ind w:left="720" w:hanging="360"/>
      </w:pPr>
      <w:rPr>
        <w:rFonts w:ascii="Arial" w:eastAsiaTheme="minorHAnsi" w:hAnsi="Arial" w:cs="Arial" w:hint="default"/>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225E17"/>
    <w:multiLevelType w:val="multilevel"/>
    <w:tmpl w:val="A28EC53E"/>
    <w:numStyleLink w:val="ListHeadings"/>
  </w:abstractNum>
  <w:abstractNum w:abstractNumId="17" w15:restartNumberingAfterBreak="0">
    <w:nsid w:val="4165090F"/>
    <w:multiLevelType w:val="hybridMultilevel"/>
    <w:tmpl w:val="8D5A4016"/>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18" w15:restartNumberingAfterBreak="0">
    <w:nsid w:val="6FC65C73"/>
    <w:multiLevelType w:val="hybridMultilevel"/>
    <w:tmpl w:val="DEF61E92"/>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19" w15:restartNumberingAfterBreak="0">
    <w:nsid w:val="766268CE"/>
    <w:multiLevelType w:val="multilevel"/>
    <w:tmpl w:val="C04A5BAC"/>
    <w:lvl w:ilvl="0">
      <w:start w:val="1"/>
      <w:numFmt w:val="none"/>
      <w:lvlText w:val="%1"/>
      <w:lvlJc w:val="left"/>
      <w:pPr>
        <w:ind w:left="284" w:hanging="284"/>
      </w:pPr>
      <w:rPr>
        <w:rFonts w:ascii="Arial" w:hAnsi="Arial" w:hint="default"/>
        <w:b/>
        <w:i w:val="0"/>
        <w:sz w:val="17"/>
      </w:rPr>
    </w:lvl>
    <w:lvl w:ilvl="1">
      <w:start w:val="2"/>
      <w:numFmt w:val="decimal"/>
      <w:lvlRestart w:val="0"/>
      <w:pStyle w:val="ElexonNumberedTableText"/>
      <w:lvlText w:val="%2."/>
      <w:lvlJc w:val="left"/>
      <w:pPr>
        <w:ind w:left="284" w:hanging="284"/>
      </w:pPr>
      <w:rPr>
        <w:rFonts w:asciiTheme="minorHAnsi" w:hAnsiTheme="minorHAnsi" w:hint="default"/>
        <w:b/>
        <w:i w:val="0"/>
        <w:sz w:val="17"/>
      </w:rPr>
    </w:lvl>
    <w:lvl w:ilvl="2">
      <w:start w:val="1"/>
      <w:numFmt w:val="lowerRoman"/>
      <w:lvlText w:val="%3."/>
      <w:lvlJc w:val="right"/>
      <w:pPr>
        <w:ind w:left="284" w:hanging="284"/>
      </w:pPr>
      <w:rPr>
        <w:rFonts w:hint="default"/>
      </w:rPr>
    </w:lvl>
    <w:lvl w:ilvl="3">
      <w:start w:val="1"/>
      <w:numFmt w:val="decimal"/>
      <w:lvlText w:val="%4."/>
      <w:lvlJc w:val="left"/>
      <w:pPr>
        <w:ind w:left="284" w:hanging="284"/>
      </w:pPr>
      <w:rPr>
        <w:rFonts w:hint="default"/>
      </w:rPr>
    </w:lvl>
    <w:lvl w:ilvl="4">
      <w:start w:val="1"/>
      <w:numFmt w:val="lowerLetter"/>
      <w:lvlText w:val="%5."/>
      <w:lvlJc w:val="left"/>
      <w:pPr>
        <w:ind w:left="284" w:hanging="284"/>
      </w:pPr>
      <w:rPr>
        <w:rFonts w:hint="default"/>
      </w:rPr>
    </w:lvl>
    <w:lvl w:ilvl="5">
      <w:start w:val="1"/>
      <w:numFmt w:val="lowerRoman"/>
      <w:lvlText w:val="%6."/>
      <w:lvlJc w:val="right"/>
      <w:pPr>
        <w:ind w:left="284" w:hanging="284"/>
      </w:pPr>
      <w:rPr>
        <w:rFonts w:hint="default"/>
      </w:rPr>
    </w:lvl>
    <w:lvl w:ilvl="6">
      <w:start w:val="1"/>
      <w:numFmt w:val="decimal"/>
      <w:lvlText w:val="%7."/>
      <w:lvlJc w:val="left"/>
      <w:pPr>
        <w:ind w:left="284" w:hanging="284"/>
      </w:pPr>
      <w:rPr>
        <w:rFonts w:hint="default"/>
      </w:rPr>
    </w:lvl>
    <w:lvl w:ilvl="7">
      <w:start w:val="1"/>
      <w:numFmt w:val="lowerLetter"/>
      <w:lvlText w:val="%8."/>
      <w:lvlJc w:val="left"/>
      <w:pPr>
        <w:ind w:left="284" w:hanging="284"/>
      </w:pPr>
      <w:rPr>
        <w:rFonts w:hint="default"/>
      </w:rPr>
    </w:lvl>
    <w:lvl w:ilvl="8">
      <w:start w:val="1"/>
      <w:numFmt w:val="lowerRoman"/>
      <w:lvlText w:val="%9."/>
      <w:lvlJc w:val="right"/>
      <w:pPr>
        <w:ind w:left="284" w:hanging="284"/>
      </w:pPr>
      <w:rPr>
        <w:rFonts w:hint="default"/>
      </w:rPr>
    </w:lvl>
  </w:abstractNum>
  <w:abstractNum w:abstractNumId="20" w15:restartNumberingAfterBreak="0">
    <w:nsid w:val="773C0D54"/>
    <w:multiLevelType w:val="multilevel"/>
    <w:tmpl w:val="394679FC"/>
    <w:lvl w:ilvl="0">
      <w:start w:val="1"/>
      <w:numFmt w:val="bullet"/>
      <w:pStyle w:val="ListBullet"/>
      <w:lvlText w:val=""/>
      <w:lvlJc w:val="left"/>
      <w:pPr>
        <w:ind w:left="680" w:hanging="680"/>
      </w:pPr>
      <w:rPr>
        <w:rFonts w:ascii="Wingdings" w:hAnsi="Wingdings" w:hint="default"/>
        <w:color w:val="00008B" w:themeColor="text1"/>
        <w:sz w:val="16"/>
        <w:u w:color="00008B" w:themeColor="text1"/>
      </w:rPr>
    </w:lvl>
    <w:lvl w:ilvl="1">
      <w:start w:val="1"/>
      <w:numFmt w:val="bullet"/>
      <w:pStyle w:val="ListBullet2"/>
      <w:lvlText w:val=""/>
      <w:lvlJc w:val="left"/>
      <w:pPr>
        <w:ind w:left="907" w:hanging="227"/>
      </w:pPr>
      <w:rPr>
        <w:rFonts w:ascii="Symbol" w:hAnsi="Symbol" w:hint="default"/>
        <w:color w:val="00008B" w:themeColor="text1"/>
      </w:rPr>
    </w:lvl>
    <w:lvl w:ilvl="2">
      <w:start w:val="1"/>
      <w:numFmt w:val="bullet"/>
      <w:pStyle w:val="ListBullet3"/>
      <w:lvlText w:val=""/>
      <w:lvlJc w:val="left"/>
      <w:pPr>
        <w:ind w:left="1134" w:hanging="227"/>
      </w:pPr>
      <w:rPr>
        <w:rFonts w:ascii="Wingdings" w:hAnsi="Wingdings" w:hint="default"/>
      </w:rPr>
    </w:lvl>
    <w:lvl w:ilvl="3">
      <w:start w:val="1"/>
      <w:numFmt w:val="bullet"/>
      <w:pStyle w:val="ListBullet4"/>
      <w:lvlText w:val=""/>
      <w:lvlJc w:val="left"/>
      <w:pPr>
        <w:tabs>
          <w:tab w:val="num" w:pos="4536"/>
        </w:tabs>
        <w:ind w:left="1361" w:hanging="227"/>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1" w15:restartNumberingAfterBreak="0">
    <w:nsid w:val="7AFB443E"/>
    <w:multiLevelType w:val="hybridMultilevel"/>
    <w:tmpl w:val="88FC9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6"/>
  </w:num>
  <w:num w:numId="4">
    <w:abstractNumId w:val="1"/>
  </w:num>
  <w:num w:numId="5">
    <w:abstractNumId w:val="19"/>
  </w:num>
  <w:num w:numId="6">
    <w:abstractNumId w:val="20"/>
  </w:num>
  <w:num w:numId="7">
    <w:abstractNumId w:val="10"/>
  </w:num>
  <w:num w:numId="8">
    <w:abstractNumId w:val="0"/>
  </w:num>
  <w:num w:numId="9">
    <w:abstractNumId w:val="11"/>
  </w:num>
  <w:num w:numId="10">
    <w:abstractNumId w:val="13"/>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11">
    <w:abstractNumId w:val="6"/>
  </w:num>
  <w:num w:numId="12">
    <w:abstractNumId w:val="2"/>
  </w:num>
  <w:num w:numId="13">
    <w:abstractNumId w:val="5"/>
  </w:num>
  <w:num w:numId="14">
    <w:abstractNumId w:val="12"/>
  </w:num>
  <w:num w:numId="15">
    <w:abstractNumId w:val="18"/>
  </w:num>
  <w:num w:numId="16">
    <w:abstractNumId w:val="7"/>
  </w:num>
  <w:num w:numId="17">
    <w:abstractNumId w:val="13"/>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18">
    <w:abstractNumId w:val="8"/>
  </w:num>
  <w:num w:numId="19">
    <w:abstractNumId w:val="3"/>
  </w:num>
  <w:num w:numId="20">
    <w:abstractNumId w:val="13"/>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21">
    <w:abstractNumId w:val="17"/>
  </w:num>
  <w:num w:numId="22">
    <w:abstractNumId w:val="13"/>
    <w:lvlOverride w:ilvl="0">
      <w:startOverride w:val="5"/>
      <w:lvl w:ilvl="0">
        <w:start w:val="5"/>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startOverride w:val="4"/>
      <w:lvl w:ilvl="1">
        <w:start w:val="4"/>
        <w:numFmt w:val="decimal"/>
        <w:pStyle w:val="List2"/>
        <w:lvlText w:val="%1.%2"/>
        <w:lvlJc w:val="left"/>
        <w:pPr>
          <w:ind w:left="680" w:hanging="680"/>
        </w:pPr>
        <w:rPr>
          <w:rFonts w:asciiTheme="majorHAnsi" w:hAnsiTheme="majorHAnsi" w:cs="Times New Roman" w:hint="default"/>
          <w:b w:val="0"/>
          <w:i w:val="0"/>
          <w:sz w:val="20"/>
        </w:rPr>
      </w:lvl>
    </w:lvlOverride>
  </w:num>
  <w:num w:numId="23">
    <w:abstractNumId w:val="13"/>
    <w:lvlOverride w:ilvl="0">
      <w:lvl w:ilvl="0">
        <w:start w:val="7"/>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454" w:hanging="454"/>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680" w:hanging="226"/>
        </w:pPr>
        <w:rPr>
          <w:rFonts w:asciiTheme="majorHAnsi" w:hAnsiTheme="majorHAnsi" w:cs="Times New Roman" w:hint="default"/>
        </w:rPr>
      </w:lvl>
    </w:lvlOverride>
    <w:lvlOverride w:ilvl="4">
      <w:lvl w:ilvl="4">
        <w:start w:val="1"/>
        <w:numFmt w:val="lowerRoman"/>
        <w:pStyle w:val="ListNumber5"/>
        <w:lvlText w:val="%5"/>
        <w:lvlJc w:val="left"/>
        <w:pPr>
          <w:ind w:left="680" w:hanging="226"/>
        </w:pPr>
        <w:rPr>
          <w:rFonts w:asciiTheme="majorHAnsi" w:hAnsiTheme="majorHAnsi" w:cs="Times New Roman" w:hint="default"/>
        </w:rPr>
      </w:lvl>
    </w:lvlOverride>
    <w:lvlOverride w:ilvl="5">
      <w:lvl w:ilvl="5">
        <w:start w:val="1"/>
        <w:numFmt w:val="none"/>
        <w:suff w:val="nothing"/>
        <w:lvlText w:val=""/>
        <w:lvlJc w:val="left"/>
        <w:pPr>
          <w:ind w:left="6120" w:hanging="360"/>
        </w:pPr>
        <w:rPr>
          <w:rFonts w:hint="default"/>
        </w:rPr>
      </w:lvl>
    </w:lvlOverride>
    <w:lvlOverride w:ilvl="6">
      <w:lvl w:ilvl="6">
        <w:start w:val="1"/>
        <w:numFmt w:val="none"/>
        <w:suff w:val="nothing"/>
        <w:lvlText w:val=""/>
        <w:lvlJc w:val="left"/>
        <w:pPr>
          <w:ind w:left="6480" w:hanging="360"/>
        </w:pPr>
        <w:rPr>
          <w:rFonts w:hint="default"/>
        </w:rPr>
      </w:lvl>
    </w:lvlOverride>
    <w:lvlOverride w:ilvl="7">
      <w:lvl w:ilvl="7">
        <w:start w:val="1"/>
        <w:numFmt w:val="none"/>
        <w:suff w:val="nothing"/>
        <w:lvlText w:val=""/>
        <w:lvlJc w:val="left"/>
        <w:pPr>
          <w:ind w:left="6840" w:hanging="360"/>
        </w:pPr>
        <w:rPr>
          <w:rFonts w:hint="default"/>
        </w:rPr>
      </w:lvl>
    </w:lvlOverride>
    <w:lvlOverride w:ilvl="8">
      <w:lvl w:ilvl="8">
        <w:start w:val="1"/>
        <w:numFmt w:val="none"/>
        <w:suff w:val="nothing"/>
        <w:lvlText w:val=""/>
        <w:lvlJc w:val="left"/>
        <w:pPr>
          <w:ind w:left="7200" w:hanging="360"/>
        </w:pPr>
        <w:rPr>
          <w:rFonts w:hint="default"/>
        </w:rPr>
      </w:lvl>
    </w:lvlOverride>
  </w:num>
  <w:num w:numId="24">
    <w:abstractNumId w:val="13"/>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25">
    <w:abstractNumId w:val="21"/>
  </w:num>
  <w:num w:numId="26">
    <w:abstractNumId w:val="15"/>
  </w:num>
  <w:num w:numId="27">
    <w:abstractNumId w:val="13"/>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28">
    <w:abstractNumId w:val="13"/>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29">
    <w:abstractNumId w:val="13"/>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30">
    <w:abstractNumId w:val="13"/>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31">
    <w:abstractNumId w:val="13"/>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32">
    <w:abstractNumId w:val="13"/>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33">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ElexonBasicTable"/>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CB3"/>
    <w:rsid w:val="00000031"/>
    <w:rsid w:val="0000172E"/>
    <w:rsid w:val="000029BD"/>
    <w:rsid w:val="00004017"/>
    <w:rsid w:val="00006667"/>
    <w:rsid w:val="000068DD"/>
    <w:rsid w:val="00011399"/>
    <w:rsid w:val="000113E3"/>
    <w:rsid w:val="000117E1"/>
    <w:rsid w:val="00011BE7"/>
    <w:rsid w:val="00022CF4"/>
    <w:rsid w:val="0002671A"/>
    <w:rsid w:val="00027B50"/>
    <w:rsid w:val="00034C2E"/>
    <w:rsid w:val="00035DD9"/>
    <w:rsid w:val="000405E2"/>
    <w:rsid w:val="00041E2D"/>
    <w:rsid w:val="000431CC"/>
    <w:rsid w:val="00043244"/>
    <w:rsid w:val="00044E0C"/>
    <w:rsid w:val="000540F3"/>
    <w:rsid w:val="00055C95"/>
    <w:rsid w:val="00065286"/>
    <w:rsid w:val="00065B38"/>
    <w:rsid w:val="00074544"/>
    <w:rsid w:val="00074C9C"/>
    <w:rsid w:val="00085F51"/>
    <w:rsid w:val="00096943"/>
    <w:rsid w:val="000A37CB"/>
    <w:rsid w:val="000A4126"/>
    <w:rsid w:val="000B33A6"/>
    <w:rsid w:val="000B5858"/>
    <w:rsid w:val="000C70CA"/>
    <w:rsid w:val="000C7DD3"/>
    <w:rsid w:val="000D125A"/>
    <w:rsid w:val="000D4673"/>
    <w:rsid w:val="000E0EC4"/>
    <w:rsid w:val="000E1E75"/>
    <w:rsid w:val="000E5495"/>
    <w:rsid w:val="000E6325"/>
    <w:rsid w:val="000E7669"/>
    <w:rsid w:val="000F2CB5"/>
    <w:rsid w:val="000F5C20"/>
    <w:rsid w:val="00106827"/>
    <w:rsid w:val="00115725"/>
    <w:rsid w:val="001207B3"/>
    <w:rsid w:val="0012196E"/>
    <w:rsid w:val="00121C52"/>
    <w:rsid w:val="00122265"/>
    <w:rsid w:val="00123FB8"/>
    <w:rsid w:val="001304F4"/>
    <w:rsid w:val="00133DE1"/>
    <w:rsid w:val="001566FC"/>
    <w:rsid w:val="00161E8C"/>
    <w:rsid w:val="001620B8"/>
    <w:rsid w:val="001646F4"/>
    <w:rsid w:val="0016560B"/>
    <w:rsid w:val="00166330"/>
    <w:rsid w:val="00166C31"/>
    <w:rsid w:val="00167C79"/>
    <w:rsid w:val="0017582B"/>
    <w:rsid w:val="00175EC3"/>
    <w:rsid w:val="00177CE5"/>
    <w:rsid w:val="00185C81"/>
    <w:rsid w:val="0018618C"/>
    <w:rsid w:val="001912F5"/>
    <w:rsid w:val="0019763A"/>
    <w:rsid w:val="001B6AC2"/>
    <w:rsid w:val="001C36F3"/>
    <w:rsid w:val="001C6837"/>
    <w:rsid w:val="001D100E"/>
    <w:rsid w:val="001D58BD"/>
    <w:rsid w:val="001D7641"/>
    <w:rsid w:val="001E4F3E"/>
    <w:rsid w:val="001E5FB0"/>
    <w:rsid w:val="001F0BF1"/>
    <w:rsid w:val="001F1146"/>
    <w:rsid w:val="001F29F6"/>
    <w:rsid w:val="00202F6B"/>
    <w:rsid w:val="00207A51"/>
    <w:rsid w:val="00211728"/>
    <w:rsid w:val="002123E2"/>
    <w:rsid w:val="0021478F"/>
    <w:rsid w:val="00221135"/>
    <w:rsid w:val="002226BD"/>
    <w:rsid w:val="00222D61"/>
    <w:rsid w:val="002244CD"/>
    <w:rsid w:val="002248DB"/>
    <w:rsid w:val="00232048"/>
    <w:rsid w:val="00232220"/>
    <w:rsid w:val="00233B5C"/>
    <w:rsid w:val="00241B56"/>
    <w:rsid w:val="00244C97"/>
    <w:rsid w:val="00246857"/>
    <w:rsid w:val="00255565"/>
    <w:rsid w:val="002614D1"/>
    <w:rsid w:val="002701E1"/>
    <w:rsid w:val="0027340D"/>
    <w:rsid w:val="00294146"/>
    <w:rsid w:val="002A5A83"/>
    <w:rsid w:val="002B05B4"/>
    <w:rsid w:val="002B0E2F"/>
    <w:rsid w:val="002B5DF0"/>
    <w:rsid w:val="002B669F"/>
    <w:rsid w:val="002B7A09"/>
    <w:rsid w:val="002C3D06"/>
    <w:rsid w:val="002D6073"/>
    <w:rsid w:val="002D7D32"/>
    <w:rsid w:val="002E279D"/>
    <w:rsid w:val="002E6F20"/>
    <w:rsid w:val="002E7B27"/>
    <w:rsid w:val="002F0BB4"/>
    <w:rsid w:val="002F2E6F"/>
    <w:rsid w:val="002F5FF2"/>
    <w:rsid w:val="002F6C5F"/>
    <w:rsid w:val="003014F0"/>
    <w:rsid w:val="003125E7"/>
    <w:rsid w:val="00320942"/>
    <w:rsid w:val="0032638D"/>
    <w:rsid w:val="003266EE"/>
    <w:rsid w:val="00335E84"/>
    <w:rsid w:val="00335F88"/>
    <w:rsid w:val="003401F8"/>
    <w:rsid w:val="003411EC"/>
    <w:rsid w:val="0034326A"/>
    <w:rsid w:val="00343CD0"/>
    <w:rsid w:val="00355619"/>
    <w:rsid w:val="0036112A"/>
    <w:rsid w:val="003625EB"/>
    <w:rsid w:val="00362BE0"/>
    <w:rsid w:val="003718F8"/>
    <w:rsid w:val="00373EF9"/>
    <w:rsid w:val="00384F7D"/>
    <w:rsid w:val="00386F7E"/>
    <w:rsid w:val="003878CE"/>
    <w:rsid w:val="0039072A"/>
    <w:rsid w:val="003916AD"/>
    <w:rsid w:val="0039389A"/>
    <w:rsid w:val="0039725A"/>
    <w:rsid w:val="003A2E7A"/>
    <w:rsid w:val="003A3C19"/>
    <w:rsid w:val="003A727F"/>
    <w:rsid w:val="003A7978"/>
    <w:rsid w:val="003C19AB"/>
    <w:rsid w:val="003C1BBE"/>
    <w:rsid w:val="003C222F"/>
    <w:rsid w:val="003C454C"/>
    <w:rsid w:val="003C66C6"/>
    <w:rsid w:val="003D5379"/>
    <w:rsid w:val="003E58E2"/>
    <w:rsid w:val="003F7D16"/>
    <w:rsid w:val="00404821"/>
    <w:rsid w:val="00412BD6"/>
    <w:rsid w:val="004206CA"/>
    <w:rsid w:val="00423379"/>
    <w:rsid w:val="004241B6"/>
    <w:rsid w:val="004270C1"/>
    <w:rsid w:val="00433AD8"/>
    <w:rsid w:val="0043597A"/>
    <w:rsid w:val="00436F8E"/>
    <w:rsid w:val="00444664"/>
    <w:rsid w:val="00444ACD"/>
    <w:rsid w:val="00451676"/>
    <w:rsid w:val="004543E4"/>
    <w:rsid w:val="00456127"/>
    <w:rsid w:val="00457CC0"/>
    <w:rsid w:val="004647F0"/>
    <w:rsid w:val="00476DBE"/>
    <w:rsid w:val="00477EF4"/>
    <w:rsid w:val="00480833"/>
    <w:rsid w:val="004810A4"/>
    <w:rsid w:val="0048559C"/>
    <w:rsid w:val="004863CD"/>
    <w:rsid w:val="00487515"/>
    <w:rsid w:val="00490240"/>
    <w:rsid w:val="0049126A"/>
    <w:rsid w:val="00491BC7"/>
    <w:rsid w:val="004A356B"/>
    <w:rsid w:val="004A49DE"/>
    <w:rsid w:val="004A7301"/>
    <w:rsid w:val="004B49B7"/>
    <w:rsid w:val="004B500C"/>
    <w:rsid w:val="004C51A5"/>
    <w:rsid w:val="004C7764"/>
    <w:rsid w:val="004C7CEF"/>
    <w:rsid w:val="004D080E"/>
    <w:rsid w:val="004D2360"/>
    <w:rsid w:val="004D2382"/>
    <w:rsid w:val="004F28C5"/>
    <w:rsid w:val="004F402F"/>
    <w:rsid w:val="004F4E79"/>
    <w:rsid w:val="004F575B"/>
    <w:rsid w:val="004F6672"/>
    <w:rsid w:val="00503AE0"/>
    <w:rsid w:val="005042A5"/>
    <w:rsid w:val="00515618"/>
    <w:rsid w:val="005164A5"/>
    <w:rsid w:val="005216A5"/>
    <w:rsid w:val="005235E8"/>
    <w:rsid w:val="005254DA"/>
    <w:rsid w:val="00527304"/>
    <w:rsid w:val="00530552"/>
    <w:rsid w:val="00530D58"/>
    <w:rsid w:val="00531602"/>
    <w:rsid w:val="00531ADF"/>
    <w:rsid w:val="00533562"/>
    <w:rsid w:val="00535A35"/>
    <w:rsid w:val="00535B5A"/>
    <w:rsid w:val="00537423"/>
    <w:rsid w:val="00541AD3"/>
    <w:rsid w:val="00545083"/>
    <w:rsid w:val="005536A3"/>
    <w:rsid w:val="00557C5C"/>
    <w:rsid w:val="00561A37"/>
    <w:rsid w:val="00563B25"/>
    <w:rsid w:val="00565577"/>
    <w:rsid w:val="00567262"/>
    <w:rsid w:val="00571CC6"/>
    <w:rsid w:val="00580817"/>
    <w:rsid w:val="00581702"/>
    <w:rsid w:val="005823B6"/>
    <w:rsid w:val="00586892"/>
    <w:rsid w:val="00587D80"/>
    <w:rsid w:val="00591077"/>
    <w:rsid w:val="00592622"/>
    <w:rsid w:val="0059463D"/>
    <w:rsid w:val="005A27CE"/>
    <w:rsid w:val="005A3954"/>
    <w:rsid w:val="005A4739"/>
    <w:rsid w:val="005A7D30"/>
    <w:rsid w:val="005B63AC"/>
    <w:rsid w:val="005C1C08"/>
    <w:rsid w:val="005C6776"/>
    <w:rsid w:val="005D2F6E"/>
    <w:rsid w:val="005D3AD6"/>
    <w:rsid w:val="005D4812"/>
    <w:rsid w:val="005D6EB0"/>
    <w:rsid w:val="005E115D"/>
    <w:rsid w:val="005E6251"/>
    <w:rsid w:val="005F360F"/>
    <w:rsid w:val="005F73EA"/>
    <w:rsid w:val="005F765C"/>
    <w:rsid w:val="00604EB0"/>
    <w:rsid w:val="00610789"/>
    <w:rsid w:val="00611770"/>
    <w:rsid w:val="00611BF5"/>
    <w:rsid w:val="0061495E"/>
    <w:rsid w:val="0061565D"/>
    <w:rsid w:val="00617FE7"/>
    <w:rsid w:val="006209D4"/>
    <w:rsid w:val="006232C1"/>
    <w:rsid w:val="006243E5"/>
    <w:rsid w:val="006247B2"/>
    <w:rsid w:val="00624E07"/>
    <w:rsid w:val="00625F86"/>
    <w:rsid w:val="00630279"/>
    <w:rsid w:val="00631460"/>
    <w:rsid w:val="00634239"/>
    <w:rsid w:val="00637A4E"/>
    <w:rsid w:val="00644A7C"/>
    <w:rsid w:val="006507BF"/>
    <w:rsid w:val="0065195E"/>
    <w:rsid w:val="00653686"/>
    <w:rsid w:val="00653731"/>
    <w:rsid w:val="00655F98"/>
    <w:rsid w:val="00663663"/>
    <w:rsid w:val="00670DD3"/>
    <w:rsid w:val="006711DB"/>
    <w:rsid w:val="00671C3C"/>
    <w:rsid w:val="00690012"/>
    <w:rsid w:val="00691A3A"/>
    <w:rsid w:val="00691D32"/>
    <w:rsid w:val="00693646"/>
    <w:rsid w:val="00694395"/>
    <w:rsid w:val="006A0C76"/>
    <w:rsid w:val="006A0E26"/>
    <w:rsid w:val="006A4072"/>
    <w:rsid w:val="006A7177"/>
    <w:rsid w:val="006B0CC5"/>
    <w:rsid w:val="006B6A61"/>
    <w:rsid w:val="006B7960"/>
    <w:rsid w:val="006C2568"/>
    <w:rsid w:val="006D14FA"/>
    <w:rsid w:val="006D1ED9"/>
    <w:rsid w:val="006D5C79"/>
    <w:rsid w:val="006D67A4"/>
    <w:rsid w:val="006E1B0A"/>
    <w:rsid w:val="006E61DA"/>
    <w:rsid w:val="006F1A60"/>
    <w:rsid w:val="00703267"/>
    <w:rsid w:val="00705B23"/>
    <w:rsid w:val="00707D5F"/>
    <w:rsid w:val="00710074"/>
    <w:rsid w:val="00713E97"/>
    <w:rsid w:val="00717DF2"/>
    <w:rsid w:val="00720CDF"/>
    <w:rsid w:val="00722A5A"/>
    <w:rsid w:val="00723314"/>
    <w:rsid w:val="00732CBC"/>
    <w:rsid w:val="007351BE"/>
    <w:rsid w:val="007429ED"/>
    <w:rsid w:val="00750911"/>
    <w:rsid w:val="00756700"/>
    <w:rsid w:val="0076226A"/>
    <w:rsid w:val="00777ABA"/>
    <w:rsid w:val="00783505"/>
    <w:rsid w:val="00783981"/>
    <w:rsid w:val="00787A7E"/>
    <w:rsid w:val="0079032F"/>
    <w:rsid w:val="00794065"/>
    <w:rsid w:val="00794D5B"/>
    <w:rsid w:val="007B21B5"/>
    <w:rsid w:val="007B5C0C"/>
    <w:rsid w:val="007C3418"/>
    <w:rsid w:val="007C57EF"/>
    <w:rsid w:val="007D07A6"/>
    <w:rsid w:val="007D10D1"/>
    <w:rsid w:val="007D374F"/>
    <w:rsid w:val="007D4EC1"/>
    <w:rsid w:val="007D4EE5"/>
    <w:rsid w:val="007D5C95"/>
    <w:rsid w:val="007E0D19"/>
    <w:rsid w:val="007E5428"/>
    <w:rsid w:val="007F13F0"/>
    <w:rsid w:val="007F1A2A"/>
    <w:rsid w:val="007F1FCF"/>
    <w:rsid w:val="007F36E1"/>
    <w:rsid w:val="007F460E"/>
    <w:rsid w:val="00801642"/>
    <w:rsid w:val="0080300F"/>
    <w:rsid w:val="00804402"/>
    <w:rsid w:val="00811311"/>
    <w:rsid w:val="008117BE"/>
    <w:rsid w:val="00823069"/>
    <w:rsid w:val="00826591"/>
    <w:rsid w:val="00827C18"/>
    <w:rsid w:val="00827DA5"/>
    <w:rsid w:val="00830B7A"/>
    <w:rsid w:val="00833D52"/>
    <w:rsid w:val="00833EBA"/>
    <w:rsid w:val="008345BA"/>
    <w:rsid w:val="0083462B"/>
    <w:rsid w:val="00834A7A"/>
    <w:rsid w:val="00834B75"/>
    <w:rsid w:val="00834EDA"/>
    <w:rsid w:val="0083557D"/>
    <w:rsid w:val="00836E61"/>
    <w:rsid w:val="0083742C"/>
    <w:rsid w:val="008375C3"/>
    <w:rsid w:val="008401AB"/>
    <w:rsid w:val="00840543"/>
    <w:rsid w:val="00841A39"/>
    <w:rsid w:val="008422AC"/>
    <w:rsid w:val="0084723A"/>
    <w:rsid w:val="008473BA"/>
    <w:rsid w:val="00856510"/>
    <w:rsid w:val="00856E15"/>
    <w:rsid w:val="0086475C"/>
    <w:rsid w:val="008676BF"/>
    <w:rsid w:val="00872EFB"/>
    <w:rsid w:val="00876BAF"/>
    <w:rsid w:val="008777FF"/>
    <w:rsid w:val="008812C9"/>
    <w:rsid w:val="00881961"/>
    <w:rsid w:val="00884678"/>
    <w:rsid w:val="00886F8C"/>
    <w:rsid w:val="0089072E"/>
    <w:rsid w:val="0089774B"/>
    <w:rsid w:val="008A1ADB"/>
    <w:rsid w:val="008A699B"/>
    <w:rsid w:val="008B224D"/>
    <w:rsid w:val="008B71FD"/>
    <w:rsid w:val="008C4A33"/>
    <w:rsid w:val="008D1C25"/>
    <w:rsid w:val="008D6373"/>
    <w:rsid w:val="008D7A5C"/>
    <w:rsid w:val="008E3BBE"/>
    <w:rsid w:val="008E5C73"/>
    <w:rsid w:val="008F0D6E"/>
    <w:rsid w:val="008F149E"/>
    <w:rsid w:val="008F2B14"/>
    <w:rsid w:val="00901CBC"/>
    <w:rsid w:val="009022D7"/>
    <w:rsid w:val="00902804"/>
    <w:rsid w:val="00904254"/>
    <w:rsid w:val="00904932"/>
    <w:rsid w:val="00906236"/>
    <w:rsid w:val="00907125"/>
    <w:rsid w:val="00922B58"/>
    <w:rsid w:val="00927D47"/>
    <w:rsid w:val="00927DAC"/>
    <w:rsid w:val="0094031D"/>
    <w:rsid w:val="00940651"/>
    <w:rsid w:val="00940F4F"/>
    <w:rsid w:val="00942C19"/>
    <w:rsid w:val="009450A1"/>
    <w:rsid w:val="00945170"/>
    <w:rsid w:val="00950746"/>
    <w:rsid w:val="00953408"/>
    <w:rsid w:val="00955DB6"/>
    <w:rsid w:val="00957E2B"/>
    <w:rsid w:val="00963ED4"/>
    <w:rsid w:val="00965317"/>
    <w:rsid w:val="009715FE"/>
    <w:rsid w:val="00972322"/>
    <w:rsid w:val="00972F78"/>
    <w:rsid w:val="00977590"/>
    <w:rsid w:val="0098033E"/>
    <w:rsid w:val="009810E8"/>
    <w:rsid w:val="00981115"/>
    <w:rsid w:val="0098237E"/>
    <w:rsid w:val="009855F7"/>
    <w:rsid w:val="009866E6"/>
    <w:rsid w:val="0098742F"/>
    <w:rsid w:val="00987C58"/>
    <w:rsid w:val="00991953"/>
    <w:rsid w:val="00991F53"/>
    <w:rsid w:val="00992CC6"/>
    <w:rsid w:val="009956ED"/>
    <w:rsid w:val="009964E3"/>
    <w:rsid w:val="009B4949"/>
    <w:rsid w:val="009B7A5B"/>
    <w:rsid w:val="009C566E"/>
    <w:rsid w:val="009C6EB1"/>
    <w:rsid w:val="009D2B1D"/>
    <w:rsid w:val="009D4D55"/>
    <w:rsid w:val="009F28C7"/>
    <w:rsid w:val="009F6690"/>
    <w:rsid w:val="00A10A25"/>
    <w:rsid w:val="00A11CE5"/>
    <w:rsid w:val="00A16480"/>
    <w:rsid w:val="00A228B4"/>
    <w:rsid w:val="00A252E3"/>
    <w:rsid w:val="00A25B56"/>
    <w:rsid w:val="00A25B57"/>
    <w:rsid w:val="00A3104A"/>
    <w:rsid w:val="00A31236"/>
    <w:rsid w:val="00A316E8"/>
    <w:rsid w:val="00A371C5"/>
    <w:rsid w:val="00A40AAE"/>
    <w:rsid w:val="00A50A9B"/>
    <w:rsid w:val="00A56C23"/>
    <w:rsid w:val="00A64DC4"/>
    <w:rsid w:val="00A677F5"/>
    <w:rsid w:val="00A748E7"/>
    <w:rsid w:val="00A761D0"/>
    <w:rsid w:val="00A8437B"/>
    <w:rsid w:val="00A91D5C"/>
    <w:rsid w:val="00AA13AC"/>
    <w:rsid w:val="00AA2783"/>
    <w:rsid w:val="00AA676C"/>
    <w:rsid w:val="00AA678E"/>
    <w:rsid w:val="00AB079E"/>
    <w:rsid w:val="00AB0AF9"/>
    <w:rsid w:val="00AB2F4F"/>
    <w:rsid w:val="00AB4B99"/>
    <w:rsid w:val="00AB5455"/>
    <w:rsid w:val="00AB5EBE"/>
    <w:rsid w:val="00AC1793"/>
    <w:rsid w:val="00AC294E"/>
    <w:rsid w:val="00AC297A"/>
    <w:rsid w:val="00AC33B2"/>
    <w:rsid w:val="00AC3AD0"/>
    <w:rsid w:val="00AC4FF4"/>
    <w:rsid w:val="00AC624D"/>
    <w:rsid w:val="00AD2571"/>
    <w:rsid w:val="00AD50AF"/>
    <w:rsid w:val="00AE39AC"/>
    <w:rsid w:val="00AE5721"/>
    <w:rsid w:val="00AF2C0A"/>
    <w:rsid w:val="00AF3111"/>
    <w:rsid w:val="00AF4134"/>
    <w:rsid w:val="00AF69F8"/>
    <w:rsid w:val="00AF7562"/>
    <w:rsid w:val="00B06850"/>
    <w:rsid w:val="00B073A4"/>
    <w:rsid w:val="00B07B43"/>
    <w:rsid w:val="00B11033"/>
    <w:rsid w:val="00B152EF"/>
    <w:rsid w:val="00B15CCA"/>
    <w:rsid w:val="00B27525"/>
    <w:rsid w:val="00B32592"/>
    <w:rsid w:val="00B41022"/>
    <w:rsid w:val="00B420E0"/>
    <w:rsid w:val="00B4490F"/>
    <w:rsid w:val="00B52554"/>
    <w:rsid w:val="00B543AF"/>
    <w:rsid w:val="00B630BC"/>
    <w:rsid w:val="00B6330D"/>
    <w:rsid w:val="00B63954"/>
    <w:rsid w:val="00B640C6"/>
    <w:rsid w:val="00B70089"/>
    <w:rsid w:val="00B718A5"/>
    <w:rsid w:val="00B75E7A"/>
    <w:rsid w:val="00B8739E"/>
    <w:rsid w:val="00B903A1"/>
    <w:rsid w:val="00B9571B"/>
    <w:rsid w:val="00BA06BC"/>
    <w:rsid w:val="00BB2307"/>
    <w:rsid w:val="00BB4905"/>
    <w:rsid w:val="00BB5DA0"/>
    <w:rsid w:val="00BB6009"/>
    <w:rsid w:val="00BC0483"/>
    <w:rsid w:val="00BC1886"/>
    <w:rsid w:val="00BC6BA7"/>
    <w:rsid w:val="00BD0FFC"/>
    <w:rsid w:val="00BD78BE"/>
    <w:rsid w:val="00BE07B3"/>
    <w:rsid w:val="00BE123C"/>
    <w:rsid w:val="00BE13D6"/>
    <w:rsid w:val="00C0002B"/>
    <w:rsid w:val="00C00724"/>
    <w:rsid w:val="00C01CE2"/>
    <w:rsid w:val="00C03571"/>
    <w:rsid w:val="00C11DA9"/>
    <w:rsid w:val="00C14A97"/>
    <w:rsid w:val="00C16D05"/>
    <w:rsid w:val="00C20174"/>
    <w:rsid w:val="00C22693"/>
    <w:rsid w:val="00C2340A"/>
    <w:rsid w:val="00C246C1"/>
    <w:rsid w:val="00C26322"/>
    <w:rsid w:val="00C26BB7"/>
    <w:rsid w:val="00C31E43"/>
    <w:rsid w:val="00C3515C"/>
    <w:rsid w:val="00C362EC"/>
    <w:rsid w:val="00C36352"/>
    <w:rsid w:val="00C44073"/>
    <w:rsid w:val="00C44E1F"/>
    <w:rsid w:val="00C4784D"/>
    <w:rsid w:val="00C501DF"/>
    <w:rsid w:val="00C535D6"/>
    <w:rsid w:val="00C578F1"/>
    <w:rsid w:val="00C57CDD"/>
    <w:rsid w:val="00C62151"/>
    <w:rsid w:val="00C921E6"/>
    <w:rsid w:val="00C93BAE"/>
    <w:rsid w:val="00C973D3"/>
    <w:rsid w:val="00C97630"/>
    <w:rsid w:val="00CA0CF6"/>
    <w:rsid w:val="00CA3442"/>
    <w:rsid w:val="00CB213D"/>
    <w:rsid w:val="00CB246A"/>
    <w:rsid w:val="00CB477F"/>
    <w:rsid w:val="00CB6C73"/>
    <w:rsid w:val="00CC3A57"/>
    <w:rsid w:val="00CC3CA7"/>
    <w:rsid w:val="00CC4C88"/>
    <w:rsid w:val="00CC50B5"/>
    <w:rsid w:val="00CC68EB"/>
    <w:rsid w:val="00CD75EE"/>
    <w:rsid w:val="00CE2CB3"/>
    <w:rsid w:val="00CE376E"/>
    <w:rsid w:val="00CE6203"/>
    <w:rsid w:val="00CF1617"/>
    <w:rsid w:val="00CF42AF"/>
    <w:rsid w:val="00CF4D3A"/>
    <w:rsid w:val="00CF60D8"/>
    <w:rsid w:val="00D01F81"/>
    <w:rsid w:val="00D02A2F"/>
    <w:rsid w:val="00D033AF"/>
    <w:rsid w:val="00D04A69"/>
    <w:rsid w:val="00D10D5F"/>
    <w:rsid w:val="00D139FB"/>
    <w:rsid w:val="00D14688"/>
    <w:rsid w:val="00D166D9"/>
    <w:rsid w:val="00D22419"/>
    <w:rsid w:val="00D23F58"/>
    <w:rsid w:val="00D261C4"/>
    <w:rsid w:val="00D34E09"/>
    <w:rsid w:val="00D35390"/>
    <w:rsid w:val="00D35565"/>
    <w:rsid w:val="00D4159F"/>
    <w:rsid w:val="00D4187D"/>
    <w:rsid w:val="00D4580E"/>
    <w:rsid w:val="00D46DA4"/>
    <w:rsid w:val="00D50B11"/>
    <w:rsid w:val="00D5768D"/>
    <w:rsid w:val="00D62E64"/>
    <w:rsid w:val="00D70CCE"/>
    <w:rsid w:val="00D714E9"/>
    <w:rsid w:val="00D74E58"/>
    <w:rsid w:val="00D75E42"/>
    <w:rsid w:val="00D76EA1"/>
    <w:rsid w:val="00D77B00"/>
    <w:rsid w:val="00D77DB1"/>
    <w:rsid w:val="00D84153"/>
    <w:rsid w:val="00D87310"/>
    <w:rsid w:val="00D90E88"/>
    <w:rsid w:val="00D92AF9"/>
    <w:rsid w:val="00DA11BD"/>
    <w:rsid w:val="00DA7D6A"/>
    <w:rsid w:val="00DB1A78"/>
    <w:rsid w:val="00DB5676"/>
    <w:rsid w:val="00DC350A"/>
    <w:rsid w:val="00DC6842"/>
    <w:rsid w:val="00DC7A34"/>
    <w:rsid w:val="00DC7C60"/>
    <w:rsid w:val="00DD10B5"/>
    <w:rsid w:val="00DD4C1F"/>
    <w:rsid w:val="00DD5740"/>
    <w:rsid w:val="00DD6E20"/>
    <w:rsid w:val="00DE0D00"/>
    <w:rsid w:val="00DE104D"/>
    <w:rsid w:val="00DE1B7C"/>
    <w:rsid w:val="00DE5334"/>
    <w:rsid w:val="00DE5D3D"/>
    <w:rsid w:val="00DE737D"/>
    <w:rsid w:val="00DF22C0"/>
    <w:rsid w:val="00DF2E59"/>
    <w:rsid w:val="00DF2E90"/>
    <w:rsid w:val="00DF305C"/>
    <w:rsid w:val="00E05491"/>
    <w:rsid w:val="00E07A4B"/>
    <w:rsid w:val="00E1472E"/>
    <w:rsid w:val="00E17DC3"/>
    <w:rsid w:val="00E24E48"/>
    <w:rsid w:val="00E265F4"/>
    <w:rsid w:val="00E34ACB"/>
    <w:rsid w:val="00E37FAF"/>
    <w:rsid w:val="00E40FD4"/>
    <w:rsid w:val="00E41787"/>
    <w:rsid w:val="00E4649A"/>
    <w:rsid w:val="00E5083E"/>
    <w:rsid w:val="00E520F8"/>
    <w:rsid w:val="00E5235B"/>
    <w:rsid w:val="00E606D9"/>
    <w:rsid w:val="00E63ADF"/>
    <w:rsid w:val="00E65740"/>
    <w:rsid w:val="00E835D9"/>
    <w:rsid w:val="00E853A6"/>
    <w:rsid w:val="00E85721"/>
    <w:rsid w:val="00E902E6"/>
    <w:rsid w:val="00E92F8B"/>
    <w:rsid w:val="00EA1829"/>
    <w:rsid w:val="00EA3E42"/>
    <w:rsid w:val="00EA61CE"/>
    <w:rsid w:val="00EA7270"/>
    <w:rsid w:val="00EB34CD"/>
    <w:rsid w:val="00EB3B80"/>
    <w:rsid w:val="00EB451F"/>
    <w:rsid w:val="00EB4607"/>
    <w:rsid w:val="00EB6DC8"/>
    <w:rsid w:val="00EC021E"/>
    <w:rsid w:val="00EC0AA7"/>
    <w:rsid w:val="00EC258A"/>
    <w:rsid w:val="00EC5149"/>
    <w:rsid w:val="00EC6BCF"/>
    <w:rsid w:val="00ED0DC4"/>
    <w:rsid w:val="00ED0F5F"/>
    <w:rsid w:val="00ED5B16"/>
    <w:rsid w:val="00EE2690"/>
    <w:rsid w:val="00EE3D11"/>
    <w:rsid w:val="00EE638C"/>
    <w:rsid w:val="00EF72CC"/>
    <w:rsid w:val="00F0193D"/>
    <w:rsid w:val="00F02194"/>
    <w:rsid w:val="00F05CD2"/>
    <w:rsid w:val="00F0634A"/>
    <w:rsid w:val="00F0772A"/>
    <w:rsid w:val="00F142DF"/>
    <w:rsid w:val="00F14B16"/>
    <w:rsid w:val="00F16A63"/>
    <w:rsid w:val="00F2447A"/>
    <w:rsid w:val="00F3343A"/>
    <w:rsid w:val="00F346D7"/>
    <w:rsid w:val="00F4104A"/>
    <w:rsid w:val="00F441AE"/>
    <w:rsid w:val="00F46FF8"/>
    <w:rsid w:val="00F502B0"/>
    <w:rsid w:val="00F50FDE"/>
    <w:rsid w:val="00F53287"/>
    <w:rsid w:val="00F53D1B"/>
    <w:rsid w:val="00F557AD"/>
    <w:rsid w:val="00F631D1"/>
    <w:rsid w:val="00F660C8"/>
    <w:rsid w:val="00F7472C"/>
    <w:rsid w:val="00F75134"/>
    <w:rsid w:val="00F80F8E"/>
    <w:rsid w:val="00F8184A"/>
    <w:rsid w:val="00F86A8F"/>
    <w:rsid w:val="00F94AF8"/>
    <w:rsid w:val="00FA0137"/>
    <w:rsid w:val="00FA25C5"/>
    <w:rsid w:val="00FB3A9A"/>
    <w:rsid w:val="00FB4151"/>
    <w:rsid w:val="00FB4637"/>
    <w:rsid w:val="00FB5BF7"/>
    <w:rsid w:val="00FC68A8"/>
    <w:rsid w:val="00FD1203"/>
    <w:rsid w:val="00FD13B3"/>
    <w:rsid w:val="00FD5857"/>
    <w:rsid w:val="00FE2E5A"/>
    <w:rsid w:val="00FE63E8"/>
    <w:rsid w:val="00FF2131"/>
    <w:rsid w:val="00FF6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004AE8B"/>
  <w15:chartTrackingRefBased/>
  <w15:docId w15:val="{0A536EA5-D075-460F-9BEE-9096CC72F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5"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334"/>
    <w:pPr>
      <w:spacing w:after="20" w:line="260" w:lineRule="exact"/>
    </w:pPr>
    <w:rPr>
      <w:sz w:val="20"/>
      <w:lang w:val="en-GB"/>
    </w:rPr>
  </w:style>
  <w:style w:type="paragraph" w:styleId="Heading1">
    <w:name w:val="heading 1"/>
    <w:basedOn w:val="BasicParagraph"/>
    <w:next w:val="ElexonBody"/>
    <w:link w:val="Heading1Char"/>
    <w:uiPriority w:val="9"/>
    <w:qFormat/>
    <w:rsid w:val="00694395"/>
    <w:pPr>
      <w:pBdr>
        <w:top w:val="single" w:sz="18" w:space="2" w:color="00008B" w:themeColor="text1"/>
      </w:pBdr>
      <w:spacing w:before="260" w:after="260" w:line="260" w:lineRule="atLeast"/>
      <w:outlineLvl w:val="0"/>
    </w:pPr>
    <w:rPr>
      <w:rFonts w:ascii="Arial" w:hAnsi="Arial" w:cs="Arial"/>
      <w:b/>
      <w:bCs/>
      <w:color w:val="00008C"/>
      <w:sz w:val="32"/>
      <w:szCs w:val="32"/>
    </w:rPr>
  </w:style>
  <w:style w:type="paragraph" w:styleId="Heading2">
    <w:name w:val="heading 2"/>
    <w:basedOn w:val="Normal"/>
    <w:next w:val="ElexonBody"/>
    <w:link w:val="Heading2Char"/>
    <w:uiPriority w:val="9"/>
    <w:unhideWhenUsed/>
    <w:qFormat/>
    <w:rsid w:val="00694395"/>
    <w:pPr>
      <w:pBdr>
        <w:top w:val="single" w:sz="4" w:space="1" w:color="00008C"/>
      </w:pBdr>
      <w:spacing w:before="260" w:after="260"/>
      <w:outlineLvl w:val="1"/>
    </w:pPr>
    <w:rPr>
      <w:rFonts w:ascii="Arial" w:hAnsi="Arial" w:cs="Arial"/>
      <w:b/>
      <w:bCs/>
      <w:color w:val="00008C"/>
      <w:szCs w:val="20"/>
    </w:rPr>
  </w:style>
  <w:style w:type="paragraph" w:styleId="Heading3">
    <w:name w:val="heading 3"/>
    <w:basedOn w:val="BasicParagraph"/>
    <w:next w:val="ElexonBody"/>
    <w:link w:val="Heading3Char"/>
    <w:uiPriority w:val="9"/>
    <w:unhideWhenUsed/>
    <w:qFormat/>
    <w:rsid w:val="00694395"/>
    <w:pPr>
      <w:pBdr>
        <w:top w:val="single" w:sz="4" w:space="14" w:color="00008C"/>
      </w:pBdr>
      <w:suppressAutoHyphens/>
      <w:spacing w:before="260" w:after="260" w:line="260" w:lineRule="exact"/>
      <w:outlineLvl w:val="2"/>
    </w:pPr>
    <w:rPr>
      <w:rFonts w:ascii="Arial" w:hAnsi="Arial" w:cs="Arial"/>
      <w:b/>
      <w:bCs/>
      <w:color w:val="00008C"/>
      <w:sz w:val="18"/>
      <w:szCs w:val="18"/>
    </w:rPr>
  </w:style>
  <w:style w:type="paragraph" w:styleId="Heading4">
    <w:name w:val="heading 4"/>
    <w:basedOn w:val="Normal"/>
    <w:next w:val="ElexonBody"/>
    <w:link w:val="Heading4Char"/>
    <w:uiPriority w:val="9"/>
    <w:unhideWhenUsed/>
    <w:rsid w:val="00694395"/>
    <w:pPr>
      <w:keepNext/>
      <w:keepLines/>
      <w:spacing w:before="40" w:after="0"/>
      <w:outlineLvl w:val="3"/>
    </w:pPr>
    <w:rPr>
      <w:rFonts w:asciiTheme="majorHAnsi" w:eastAsiaTheme="majorEastAsia" w:hAnsiTheme="majorHAnsi" w:cstheme="majorBidi"/>
      <w:i/>
      <w:iCs/>
      <w:color w:val="000068" w:themeColor="accent1" w:themeShade="BF"/>
    </w:rPr>
  </w:style>
  <w:style w:type="paragraph" w:styleId="Heading6">
    <w:name w:val="heading 6"/>
    <w:basedOn w:val="Normal"/>
    <w:next w:val="Normal"/>
    <w:link w:val="Heading6Char"/>
    <w:uiPriority w:val="9"/>
    <w:semiHidden/>
    <w:unhideWhenUsed/>
    <w:qFormat/>
    <w:rsid w:val="00694395"/>
    <w:pPr>
      <w:keepNext/>
      <w:keepLines/>
      <w:spacing w:before="40" w:after="0"/>
      <w:outlineLvl w:val="5"/>
    </w:pPr>
    <w:rPr>
      <w:rFonts w:asciiTheme="majorHAnsi" w:eastAsiaTheme="majorEastAsia" w:hAnsiTheme="majorHAnsi" w:cstheme="majorBidi"/>
      <w:color w:val="000045"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4395"/>
    <w:pPr>
      <w:tabs>
        <w:tab w:val="center" w:pos="4680"/>
        <w:tab w:val="right" w:pos="9360"/>
      </w:tabs>
      <w:spacing w:after="0" w:line="240" w:lineRule="auto"/>
    </w:pPr>
    <w:rPr>
      <w:b/>
    </w:rPr>
  </w:style>
  <w:style w:type="character" w:customStyle="1" w:styleId="HeaderChar">
    <w:name w:val="Header Char"/>
    <w:basedOn w:val="DefaultParagraphFont"/>
    <w:link w:val="Header"/>
    <w:uiPriority w:val="99"/>
    <w:rsid w:val="00694395"/>
    <w:rPr>
      <w:b/>
      <w:sz w:val="20"/>
      <w:lang w:val="en-GB"/>
    </w:rPr>
  </w:style>
  <w:style w:type="paragraph" w:styleId="Footer">
    <w:name w:val="footer"/>
    <w:basedOn w:val="Normal"/>
    <w:link w:val="FooterChar"/>
    <w:uiPriority w:val="99"/>
    <w:unhideWhenUsed/>
    <w:rsid w:val="00694395"/>
    <w:pPr>
      <w:pBdr>
        <w:top w:val="single" w:sz="4" w:space="8" w:color="D4CDC1"/>
      </w:pBdr>
      <w:tabs>
        <w:tab w:val="center" w:pos="4680"/>
        <w:tab w:val="right" w:pos="9360"/>
      </w:tabs>
      <w:spacing w:after="0" w:line="200" w:lineRule="exact"/>
    </w:pPr>
    <w:rPr>
      <w:sz w:val="12"/>
    </w:rPr>
  </w:style>
  <w:style w:type="character" w:customStyle="1" w:styleId="FooterChar">
    <w:name w:val="Footer Char"/>
    <w:basedOn w:val="DefaultParagraphFont"/>
    <w:link w:val="Footer"/>
    <w:uiPriority w:val="99"/>
    <w:rsid w:val="00694395"/>
    <w:rPr>
      <w:sz w:val="12"/>
      <w:lang w:val="en-GB"/>
    </w:rPr>
  </w:style>
  <w:style w:type="character" w:customStyle="1" w:styleId="Heading1Char">
    <w:name w:val="Heading 1 Char"/>
    <w:basedOn w:val="DefaultParagraphFont"/>
    <w:link w:val="Heading1"/>
    <w:uiPriority w:val="9"/>
    <w:rsid w:val="00694395"/>
    <w:rPr>
      <w:rFonts w:ascii="Arial" w:hAnsi="Arial" w:cs="Arial"/>
      <w:b/>
      <w:bCs/>
      <w:color w:val="00008C"/>
      <w:sz w:val="32"/>
      <w:szCs w:val="32"/>
      <w:lang w:val="en-GB"/>
    </w:rPr>
  </w:style>
  <w:style w:type="paragraph" w:customStyle="1" w:styleId="BasicParagraph">
    <w:name w:val="[Basic Paragraph]"/>
    <w:basedOn w:val="Normal"/>
    <w:uiPriority w:val="99"/>
    <w:rsid w:val="00694395"/>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Strong">
    <w:name w:val="Strong"/>
    <w:aliases w:val="Blue Bold"/>
    <w:basedOn w:val="DefaultParagraphFont"/>
    <w:uiPriority w:val="22"/>
    <w:qFormat/>
    <w:rsid w:val="00694395"/>
    <w:rPr>
      <w:b/>
      <w:bCs/>
      <w:color w:val="00008B" w:themeColor="text1"/>
    </w:rPr>
  </w:style>
  <w:style w:type="table" w:styleId="TableGrid">
    <w:name w:val="Table Grid"/>
    <w:basedOn w:val="TableNormal"/>
    <w:uiPriority w:val="39"/>
    <w:rsid w:val="00694395"/>
    <w:pPr>
      <w:spacing w:after="0" w:line="240" w:lineRule="auto"/>
    </w:pPr>
    <w:rPr>
      <w:sz w:val="17"/>
    </w:rPr>
    <w:tblPr>
      <w:tblBorders>
        <w:top w:val="single" w:sz="4" w:space="0" w:color="auto"/>
        <w:bottom w:val="single" w:sz="4" w:space="0" w:color="auto"/>
        <w:insideH w:val="single" w:sz="4" w:space="0" w:color="auto"/>
      </w:tblBorders>
    </w:tblPr>
    <w:tcPr>
      <w:vAlign w:val="center"/>
    </w:tcPr>
  </w:style>
  <w:style w:type="paragraph" w:customStyle="1" w:styleId="ElexonTableTextSmall">
    <w:name w:val="Elexon Table Text Small"/>
    <w:basedOn w:val="Normal"/>
    <w:qFormat/>
    <w:rsid w:val="00694395"/>
    <w:pPr>
      <w:spacing w:after="0" w:line="240" w:lineRule="auto"/>
    </w:pPr>
    <w:rPr>
      <w:sz w:val="17"/>
    </w:rPr>
  </w:style>
  <w:style w:type="paragraph" w:customStyle="1" w:styleId="ElexonTableTextLarge">
    <w:name w:val="Elexon Table Text Large"/>
    <w:basedOn w:val="ElexonTableTextSmall"/>
    <w:qFormat/>
    <w:rsid w:val="00694395"/>
    <w:rPr>
      <w:sz w:val="22"/>
    </w:rPr>
  </w:style>
  <w:style w:type="paragraph" w:customStyle="1" w:styleId="BodycopyDinlight">
    <w:name w:val="Body copy Din light"/>
    <w:basedOn w:val="Normal"/>
    <w:uiPriority w:val="99"/>
    <w:rsid w:val="00A677F5"/>
    <w:pPr>
      <w:tabs>
        <w:tab w:val="left" w:pos="0"/>
      </w:tabs>
      <w:suppressAutoHyphens/>
      <w:autoSpaceDE w:val="0"/>
      <w:autoSpaceDN w:val="0"/>
      <w:adjustRightInd w:val="0"/>
      <w:spacing w:after="0" w:line="240" w:lineRule="atLeast"/>
      <w:textAlignment w:val="center"/>
    </w:pPr>
    <w:rPr>
      <w:rFonts w:ascii="DIN Light" w:hAnsi="DIN Light" w:cs="DIN Light"/>
      <w:color w:val="000000"/>
      <w:sz w:val="17"/>
      <w:szCs w:val="17"/>
    </w:rPr>
  </w:style>
  <w:style w:type="paragraph" w:customStyle="1" w:styleId="NoParagraphStyle">
    <w:name w:val="[No Paragraph Style]"/>
    <w:rsid w:val="00694395"/>
    <w:pPr>
      <w:autoSpaceDE w:val="0"/>
      <w:autoSpaceDN w:val="0"/>
      <w:adjustRightInd w:val="0"/>
      <w:spacing w:after="0" w:line="288" w:lineRule="auto"/>
      <w:textAlignment w:val="center"/>
    </w:pPr>
    <w:rPr>
      <w:rFonts w:cs="Minion Pro"/>
      <w:color w:val="000000"/>
      <w:sz w:val="20"/>
      <w:szCs w:val="24"/>
      <w:lang w:val="en-GB"/>
    </w:rPr>
  </w:style>
  <w:style w:type="character" w:customStyle="1" w:styleId="Heading2Char">
    <w:name w:val="Heading 2 Char"/>
    <w:basedOn w:val="DefaultParagraphFont"/>
    <w:link w:val="Heading2"/>
    <w:uiPriority w:val="9"/>
    <w:rsid w:val="00694395"/>
    <w:rPr>
      <w:rFonts w:ascii="Arial" w:hAnsi="Arial" w:cs="Arial"/>
      <w:b/>
      <w:bCs/>
      <w:color w:val="00008C"/>
      <w:sz w:val="20"/>
      <w:szCs w:val="20"/>
      <w:lang w:val="en-GB"/>
    </w:rPr>
  </w:style>
  <w:style w:type="paragraph" w:customStyle="1" w:styleId="ElexonBody">
    <w:name w:val="Elexon Body"/>
    <w:basedOn w:val="Normal"/>
    <w:qFormat/>
    <w:rsid w:val="00694395"/>
    <w:pPr>
      <w:spacing w:after="120" w:line="260" w:lineRule="atLeast"/>
    </w:pPr>
  </w:style>
  <w:style w:type="table" w:customStyle="1" w:styleId="Style1">
    <w:name w:val="Style1"/>
    <w:basedOn w:val="TableNormal"/>
    <w:uiPriority w:val="99"/>
    <w:rsid w:val="002226BD"/>
    <w:pPr>
      <w:spacing w:after="0" w:line="240" w:lineRule="auto"/>
    </w:pPr>
    <w:rPr>
      <w:sz w:val="17"/>
    </w:rPr>
    <w:tblPr>
      <w:tblBorders>
        <w:top w:val="single" w:sz="4" w:space="0" w:color="D4CDC1"/>
        <w:left w:val="single" w:sz="4" w:space="0" w:color="D4CDC1"/>
        <w:bottom w:val="single" w:sz="4" w:space="0" w:color="D4CDC1"/>
        <w:right w:val="single" w:sz="4" w:space="0" w:color="D4CDC1"/>
        <w:insideH w:val="single" w:sz="4" w:space="0" w:color="D4CDC1"/>
        <w:insideV w:val="single" w:sz="4" w:space="0" w:color="D4CDC1"/>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character" w:customStyle="1" w:styleId="Heading3Char">
    <w:name w:val="Heading 3 Char"/>
    <w:basedOn w:val="DefaultParagraphFont"/>
    <w:link w:val="Heading3"/>
    <w:uiPriority w:val="9"/>
    <w:rsid w:val="00694395"/>
    <w:rPr>
      <w:rFonts w:ascii="Arial" w:hAnsi="Arial" w:cs="Arial"/>
      <w:b/>
      <w:bCs/>
      <w:color w:val="00008C"/>
      <w:sz w:val="18"/>
      <w:szCs w:val="18"/>
      <w:lang w:val="en-GB"/>
    </w:rPr>
  </w:style>
  <w:style w:type="paragraph" w:styleId="List">
    <w:name w:val="List"/>
    <w:basedOn w:val="Heading3"/>
    <w:next w:val="List2"/>
    <w:uiPriority w:val="99"/>
    <w:unhideWhenUsed/>
    <w:qFormat/>
    <w:rsid w:val="00694395"/>
    <w:pPr>
      <w:numPr>
        <w:numId w:val="10"/>
      </w:numPr>
      <w:pBdr>
        <w:top w:val="none" w:sz="0" w:space="0" w:color="auto"/>
      </w:pBdr>
      <w:spacing w:after="120" w:line="260" w:lineRule="atLeast"/>
      <w:outlineLvl w:val="3"/>
    </w:pPr>
    <w:rPr>
      <w:sz w:val="20"/>
    </w:rPr>
  </w:style>
  <w:style w:type="paragraph" w:styleId="List2">
    <w:name w:val="List 2"/>
    <w:basedOn w:val="BasicParagraph"/>
    <w:uiPriority w:val="99"/>
    <w:unhideWhenUsed/>
    <w:qFormat/>
    <w:rsid w:val="00694395"/>
    <w:pPr>
      <w:numPr>
        <w:ilvl w:val="1"/>
        <w:numId w:val="10"/>
      </w:numPr>
      <w:suppressAutoHyphens/>
      <w:spacing w:after="120" w:line="260" w:lineRule="atLeast"/>
    </w:pPr>
    <w:rPr>
      <w:rFonts w:ascii="Arial" w:hAnsi="Arial" w:cs="Arial"/>
      <w:sz w:val="20"/>
      <w:szCs w:val="18"/>
    </w:rPr>
  </w:style>
  <w:style w:type="paragraph" w:styleId="List3">
    <w:name w:val="List 3"/>
    <w:basedOn w:val="BasicParagraph"/>
    <w:uiPriority w:val="99"/>
    <w:unhideWhenUsed/>
    <w:qFormat/>
    <w:rsid w:val="00694395"/>
    <w:pPr>
      <w:numPr>
        <w:ilvl w:val="2"/>
        <w:numId w:val="10"/>
      </w:numPr>
      <w:suppressAutoHyphens/>
      <w:spacing w:after="120" w:line="260" w:lineRule="atLeast"/>
    </w:pPr>
    <w:rPr>
      <w:rFonts w:ascii="Arial" w:hAnsi="Arial" w:cs="Arial"/>
      <w:sz w:val="20"/>
      <w:szCs w:val="18"/>
    </w:rPr>
  </w:style>
  <w:style w:type="paragraph" w:styleId="ListNumber3">
    <w:name w:val="List Number 3"/>
    <w:basedOn w:val="Normal"/>
    <w:uiPriority w:val="99"/>
    <w:unhideWhenUsed/>
    <w:rsid w:val="00694395"/>
    <w:pPr>
      <w:numPr>
        <w:ilvl w:val="2"/>
        <w:numId w:val="9"/>
      </w:numPr>
      <w:contextualSpacing/>
    </w:pPr>
  </w:style>
  <w:style w:type="paragraph" w:styleId="ListNumber">
    <w:name w:val="List Number"/>
    <w:basedOn w:val="Normal"/>
    <w:uiPriority w:val="99"/>
    <w:unhideWhenUsed/>
    <w:rsid w:val="00694395"/>
    <w:pPr>
      <w:numPr>
        <w:numId w:val="8"/>
      </w:numPr>
      <w:contextualSpacing/>
    </w:pPr>
    <w:rPr>
      <w:b/>
      <w:color w:val="00008B" w:themeColor="text1"/>
    </w:rPr>
  </w:style>
  <w:style w:type="paragraph" w:styleId="Quote">
    <w:name w:val="Quote"/>
    <w:basedOn w:val="Normal"/>
    <w:next w:val="Normal"/>
    <w:link w:val="QuoteChar"/>
    <w:uiPriority w:val="29"/>
    <w:rsid w:val="002E7B27"/>
    <w:pPr>
      <w:spacing w:before="200" w:after="160"/>
      <w:ind w:left="864" w:right="864"/>
      <w:jc w:val="center"/>
    </w:pPr>
    <w:rPr>
      <w:i/>
      <w:iCs/>
      <w:color w:val="0000E8" w:themeColor="text1" w:themeTint="BF"/>
    </w:rPr>
  </w:style>
  <w:style w:type="character" w:customStyle="1" w:styleId="QuoteChar">
    <w:name w:val="Quote Char"/>
    <w:basedOn w:val="DefaultParagraphFont"/>
    <w:link w:val="Quote"/>
    <w:uiPriority w:val="29"/>
    <w:rsid w:val="002E7B27"/>
    <w:rPr>
      <w:i/>
      <w:iCs/>
      <w:color w:val="0000E8" w:themeColor="text1" w:themeTint="BF"/>
      <w:sz w:val="18"/>
    </w:rPr>
  </w:style>
  <w:style w:type="paragraph" w:customStyle="1" w:styleId="ElexonNumberedTableText">
    <w:name w:val="Elexon Numbered Table Text"/>
    <w:basedOn w:val="ElexonTableTextSmall"/>
    <w:qFormat/>
    <w:rsid w:val="00694395"/>
    <w:pPr>
      <w:numPr>
        <w:ilvl w:val="1"/>
        <w:numId w:val="5"/>
      </w:numPr>
    </w:pPr>
    <w:rPr>
      <w:rFonts w:cstheme="minorHAnsi"/>
      <w:color w:val="000000"/>
    </w:rPr>
  </w:style>
  <w:style w:type="numbering" w:customStyle="1" w:styleId="ListNumbers">
    <w:name w:val="__List Numbers"/>
    <w:basedOn w:val="NoList"/>
    <w:uiPriority w:val="99"/>
    <w:rsid w:val="00E92F8B"/>
    <w:pPr>
      <w:numPr>
        <w:numId w:val="2"/>
      </w:numPr>
    </w:pPr>
  </w:style>
  <w:style w:type="paragraph" w:styleId="BodyText">
    <w:name w:val="Body Text"/>
    <w:aliases w:val="Body"/>
    <w:link w:val="BodyTextChar"/>
    <w:uiPriority w:val="5"/>
    <w:qFormat/>
    <w:rsid w:val="00E92F8B"/>
    <w:pPr>
      <w:spacing w:after="113" w:line="260" w:lineRule="atLeast"/>
    </w:pPr>
    <w:rPr>
      <w:rFonts w:ascii="Tahoma" w:eastAsia="Times New Roman" w:hAnsi="Tahoma" w:cs="Tahoma"/>
      <w:color w:val="00008B" w:themeColor="text1"/>
      <w:sz w:val="20"/>
      <w:szCs w:val="20"/>
      <w:lang w:val="en-GB"/>
    </w:rPr>
  </w:style>
  <w:style w:type="character" w:customStyle="1" w:styleId="BodyTextChar">
    <w:name w:val="Body Text Char"/>
    <w:aliases w:val="Body Char"/>
    <w:basedOn w:val="DefaultParagraphFont"/>
    <w:link w:val="BodyText"/>
    <w:uiPriority w:val="5"/>
    <w:rsid w:val="00E92F8B"/>
    <w:rPr>
      <w:rFonts w:ascii="Tahoma" w:eastAsia="Times New Roman" w:hAnsi="Tahoma" w:cs="Tahoma"/>
      <w:color w:val="00008B" w:themeColor="text1"/>
      <w:sz w:val="20"/>
      <w:szCs w:val="20"/>
      <w:lang w:val="en-GB"/>
    </w:rPr>
  </w:style>
  <w:style w:type="paragraph" w:customStyle="1" w:styleId="Heading">
    <w:name w:val="Heading"/>
    <w:basedOn w:val="BodyText"/>
    <w:next w:val="BodyText"/>
    <w:uiPriority w:val="1"/>
    <w:qFormat/>
    <w:rsid w:val="00E92F8B"/>
    <w:pPr>
      <w:spacing w:before="200"/>
    </w:pPr>
    <w:rPr>
      <w:b/>
      <w:color w:val="231F20" w:themeColor="text2"/>
      <w:sz w:val="22"/>
    </w:rPr>
  </w:style>
  <w:style w:type="paragraph" w:styleId="ListNumber2">
    <w:name w:val="List Number 2"/>
    <w:basedOn w:val="Normal"/>
    <w:uiPriority w:val="99"/>
    <w:unhideWhenUsed/>
    <w:rsid w:val="00694395"/>
    <w:pPr>
      <w:ind w:left="567" w:hanging="567"/>
      <w:contextualSpacing/>
    </w:pPr>
  </w:style>
  <w:style w:type="numbering" w:customStyle="1" w:styleId="ListHeadings">
    <w:name w:val="__List Headings"/>
    <w:uiPriority w:val="99"/>
    <w:rsid w:val="00E92F8B"/>
    <w:pPr>
      <w:numPr>
        <w:numId w:val="1"/>
      </w:numPr>
    </w:pPr>
  </w:style>
  <w:style w:type="paragraph" w:customStyle="1" w:styleId="Boldheading">
    <w:name w:val="Bold heading"/>
    <w:basedOn w:val="BodyText"/>
    <w:next w:val="BodyText"/>
    <w:uiPriority w:val="3"/>
    <w:qFormat/>
    <w:rsid w:val="00E92F8B"/>
    <w:rPr>
      <w:b/>
    </w:rPr>
  </w:style>
  <w:style w:type="paragraph" w:customStyle="1" w:styleId="Numberbodytext1">
    <w:name w:val="Number body text 1"/>
    <w:basedOn w:val="BodyText"/>
    <w:uiPriority w:val="3"/>
    <w:unhideWhenUsed/>
    <w:qFormat/>
    <w:rsid w:val="00E92F8B"/>
    <w:pPr>
      <w:numPr>
        <w:ilvl w:val="1"/>
        <w:numId w:val="3"/>
      </w:numPr>
    </w:pPr>
  </w:style>
  <w:style w:type="paragraph" w:customStyle="1" w:styleId="Numberbodytext2">
    <w:name w:val="Number body text 2"/>
    <w:basedOn w:val="Numberbodytext1"/>
    <w:uiPriority w:val="3"/>
    <w:unhideWhenUsed/>
    <w:qFormat/>
    <w:rsid w:val="00E92F8B"/>
    <w:pPr>
      <w:numPr>
        <w:ilvl w:val="2"/>
      </w:numPr>
    </w:pPr>
  </w:style>
  <w:style w:type="paragraph" w:customStyle="1" w:styleId="Numberheading">
    <w:name w:val="Number heading"/>
    <w:basedOn w:val="Heading"/>
    <w:next w:val="Numberbodytext1"/>
    <w:uiPriority w:val="2"/>
    <w:rsid w:val="00E92F8B"/>
    <w:pPr>
      <w:numPr>
        <w:numId w:val="3"/>
      </w:numPr>
    </w:pPr>
  </w:style>
  <w:style w:type="numbering" w:customStyle="1" w:styleId="Elexonnumber">
    <w:name w:val="Elexon number"/>
    <w:uiPriority w:val="99"/>
    <w:rsid w:val="00694395"/>
    <w:pPr>
      <w:numPr>
        <w:numId w:val="4"/>
      </w:numPr>
    </w:pPr>
  </w:style>
  <w:style w:type="paragraph" w:styleId="ListNumber4">
    <w:name w:val="List Number 4"/>
    <w:basedOn w:val="Normal"/>
    <w:uiPriority w:val="99"/>
    <w:unhideWhenUsed/>
    <w:rsid w:val="00694395"/>
    <w:pPr>
      <w:ind w:left="794" w:hanging="227"/>
      <w:contextualSpacing/>
    </w:pPr>
  </w:style>
  <w:style w:type="paragraph" w:styleId="ListNumber5">
    <w:name w:val="List Number 5"/>
    <w:uiPriority w:val="99"/>
    <w:unhideWhenUsed/>
    <w:rsid w:val="00694395"/>
    <w:pPr>
      <w:numPr>
        <w:ilvl w:val="4"/>
        <w:numId w:val="10"/>
      </w:numPr>
      <w:spacing w:after="120" w:line="260" w:lineRule="atLeast"/>
      <w:contextualSpacing/>
    </w:pPr>
    <w:rPr>
      <w:sz w:val="20"/>
      <w:szCs w:val="20"/>
    </w:rPr>
  </w:style>
  <w:style w:type="paragraph" w:styleId="List4">
    <w:name w:val="List 4"/>
    <w:basedOn w:val="List3"/>
    <w:uiPriority w:val="99"/>
    <w:unhideWhenUsed/>
    <w:qFormat/>
    <w:rsid w:val="00694395"/>
    <w:pPr>
      <w:numPr>
        <w:ilvl w:val="3"/>
      </w:numPr>
    </w:pPr>
  </w:style>
  <w:style w:type="paragraph" w:styleId="List5">
    <w:name w:val="List 5"/>
    <w:basedOn w:val="Normal"/>
    <w:uiPriority w:val="99"/>
    <w:unhideWhenUsed/>
    <w:qFormat/>
    <w:rsid w:val="00694395"/>
    <w:pPr>
      <w:contextualSpacing/>
    </w:pPr>
  </w:style>
  <w:style w:type="paragraph" w:styleId="ListBullet">
    <w:name w:val="List Bullet"/>
    <w:basedOn w:val="Normal"/>
    <w:uiPriority w:val="99"/>
    <w:unhideWhenUsed/>
    <w:qFormat/>
    <w:rsid w:val="00694395"/>
    <w:pPr>
      <w:numPr>
        <w:numId w:val="6"/>
      </w:numPr>
      <w:spacing w:after="120" w:line="240" w:lineRule="atLeast"/>
      <w:contextualSpacing/>
    </w:pPr>
  </w:style>
  <w:style w:type="paragraph" w:styleId="ListBullet2">
    <w:name w:val="List Bullet 2"/>
    <w:basedOn w:val="Normal"/>
    <w:uiPriority w:val="99"/>
    <w:unhideWhenUsed/>
    <w:qFormat/>
    <w:rsid w:val="00694395"/>
    <w:pPr>
      <w:numPr>
        <w:ilvl w:val="1"/>
        <w:numId w:val="6"/>
      </w:numPr>
      <w:spacing w:after="120" w:line="260" w:lineRule="atLeast"/>
      <w:contextualSpacing/>
    </w:pPr>
  </w:style>
  <w:style w:type="paragraph" w:styleId="ListBullet3">
    <w:name w:val="List Bullet 3"/>
    <w:basedOn w:val="Normal"/>
    <w:uiPriority w:val="99"/>
    <w:unhideWhenUsed/>
    <w:qFormat/>
    <w:rsid w:val="00694395"/>
    <w:pPr>
      <w:numPr>
        <w:ilvl w:val="2"/>
        <w:numId w:val="6"/>
      </w:numPr>
      <w:spacing w:after="120" w:line="240" w:lineRule="atLeast"/>
      <w:contextualSpacing/>
    </w:pPr>
  </w:style>
  <w:style w:type="paragraph" w:styleId="ListBullet4">
    <w:name w:val="List Bullet 4"/>
    <w:basedOn w:val="Normal"/>
    <w:uiPriority w:val="99"/>
    <w:unhideWhenUsed/>
    <w:qFormat/>
    <w:rsid w:val="00694395"/>
    <w:pPr>
      <w:numPr>
        <w:ilvl w:val="3"/>
        <w:numId w:val="6"/>
      </w:numPr>
      <w:spacing w:after="120" w:line="260" w:lineRule="atLeast"/>
      <w:contextualSpacing/>
    </w:pPr>
  </w:style>
  <w:style w:type="paragraph" w:styleId="ListBullet5">
    <w:name w:val="List Bullet 5"/>
    <w:basedOn w:val="Normal"/>
    <w:uiPriority w:val="99"/>
    <w:unhideWhenUsed/>
    <w:rsid w:val="00694395"/>
    <w:pPr>
      <w:numPr>
        <w:ilvl w:val="4"/>
        <w:numId w:val="7"/>
      </w:numPr>
      <w:contextualSpacing/>
    </w:pPr>
  </w:style>
  <w:style w:type="character" w:styleId="LineNumber">
    <w:name w:val="line number"/>
    <w:basedOn w:val="DefaultParagraphFont"/>
    <w:uiPriority w:val="99"/>
    <w:unhideWhenUsed/>
    <w:rsid w:val="006247B2"/>
  </w:style>
  <w:style w:type="paragraph" w:styleId="Index9">
    <w:name w:val="index 9"/>
    <w:basedOn w:val="Normal"/>
    <w:next w:val="Normal"/>
    <w:autoRedefine/>
    <w:uiPriority w:val="99"/>
    <w:unhideWhenUsed/>
    <w:rsid w:val="006247B2"/>
    <w:pPr>
      <w:spacing w:after="0" w:line="240" w:lineRule="auto"/>
      <w:ind w:left="1800" w:hanging="200"/>
    </w:pPr>
  </w:style>
  <w:style w:type="character" w:styleId="PlaceholderText">
    <w:name w:val="Placeholder Text"/>
    <w:basedOn w:val="DefaultParagraphFont"/>
    <w:uiPriority w:val="99"/>
    <w:semiHidden/>
    <w:rsid w:val="00694395"/>
    <w:rPr>
      <w:color w:val="808080"/>
    </w:rPr>
  </w:style>
  <w:style w:type="table" w:customStyle="1" w:styleId="ElexonBasicTable">
    <w:name w:val="Elexon Basic Table"/>
    <w:basedOn w:val="TableNormal"/>
    <w:uiPriority w:val="99"/>
    <w:rsid w:val="00694395"/>
    <w:pPr>
      <w:spacing w:after="0" w:line="240" w:lineRule="auto"/>
    </w:pPr>
    <w:rPr>
      <w:sz w:val="17"/>
    </w:rPr>
    <w:tblPr>
      <w:tblBorders>
        <w:top w:val="single" w:sz="4" w:space="0" w:color="CAC3C5" w:themeColor="text2" w:themeTint="40"/>
        <w:left w:val="single" w:sz="4" w:space="0" w:color="CAC3C5" w:themeColor="text2" w:themeTint="40"/>
        <w:bottom w:val="single" w:sz="4" w:space="0" w:color="CAC3C5" w:themeColor="text2" w:themeTint="40"/>
        <w:right w:val="single" w:sz="4" w:space="0" w:color="CAC3C5" w:themeColor="text2" w:themeTint="40"/>
        <w:insideH w:val="single" w:sz="4" w:space="0" w:color="CAC3C5" w:themeColor="text2" w:themeTint="40"/>
        <w:insideV w:val="single" w:sz="4" w:space="0" w:color="CAC3C5" w:themeColor="text2" w:themeTint="40"/>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character" w:styleId="FootnoteReference">
    <w:name w:val="footnote reference"/>
    <w:basedOn w:val="DefaultParagraphFont"/>
    <w:uiPriority w:val="99"/>
    <w:unhideWhenUsed/>
    <w:rsid w:val="00694395"/>
    <w:rPr>
      <w:vertAlign w:val="superscript"/>
    </w:rPr>
  </w:style>
  <w:style w:type="paragraph" w:styleId="FootnoteText">
    <w:name w:val="footnote text"/>
    <w:basedOn w:val="Normal"/>
    <w:link w:val="FootnoteTextChar"/>
    <w:uiPriority w:val="99"/>
    <w:semiHidden/>
    <w:rsid w:val="00694395"/>
    <w:pPr>
      <w:spacing w:after="0" w:line="240" w:lineRule="auto"/>
    </w:pPr>
    <w:rPr>
      <w:rFonts w:eastAsia="Times New Roman" w:cs="Tahoma"/>
      <w:color w:val="00008B" w:themeColor="text1"/>
      <w:szCs w:val="20"/>
    </w:rPr>
  </w:style>
  <w:style w:type="character" w:customStyle="1" w:styleId="FootnoteTextChar">
    <w:name w:val="Footnote Text Char"/>
    <w:basedOn w:val="DefaultParagraphFont"/>
    <w:link w:val="FootnoteText"/>
    <w:uiPriority w:val="99"/>
    <w:semiHidden/>
    <w:rsid w:val="00694395"/>
    <w:rPr>
      <w:rFonts w:eastAsia="Times New Roman" w:cs="Tahoma"/>
      <w:color w:val="00008B" w:themeColor="text1"/>
      <w:sz w:val="20"/>
      <w:szCs w:val="20"/>
      <w:lang w:val="en-GB"/>
    </w:rPr>
  </w:style>
  <w:style w:type="character" w:customStyle="1" w:styleId="Heading4Char">
    <w:name w:val="Heading 4 Char"/>
    <w:basedOn w:val="DefaultParagraphFont"/>
    <w:link w:val="Heading4"/>
    <w:uiPriority w:val="9"/>
    <w:rsid w:val="00694395"/>
    <w:rPr>
      <w:rFonts w:asciiTheme="majorHAnsi" w:eastAsiaTheme="majorEastAsia" w:hAnsiTheme="majorHAnsi" w:cstheme="majorBidi"/>
      <w:i/>
      <w:iCs/>
      <w:color w:val="000068" w:themeColor="accent1" w:themeShade="BF"/>
      <w:sz w:val="20"/>
      <w:lang w:val="en-GB"/>
    </w:rPr>
  </w:style>
  <w:style w:type="character" w:customStyle="1" w:styleId="Heading6Char">
    <w:name w:val="Heading 6 Char"/>
    <w:basedOn w:val="DefaultParagraphFont"/>
    <w:link w:val="Heading6"/>
    <w:uiPriority w:val="9"/>
    <w:semiHidden/>
    <w:rsid w:val="00694395"/>
    <w:rPr>
      <w:rFonts w:asciiTheme="majorHAnsi" w:eastAsiaTheme="majorEastAsia" w:hAnsiTheme="majorHAnsi" w:cstheme="majorBidi"/>
      <w:color w:val="000045" w:themeColor="accent1" w:themeShade="7F"/>
      <w:sz w:val="20"/>
      <w:lang w:val="en-GB"/>
    </w:rPr>
  </w:style>
  <w:style w:type="character" w:styleId="Hyperlink">
    <w:name w:val="Hyperlink"/>
    <w:basedOn w:val="DefaultParagraphFont"/>
    <w:uiPriority w:val="99"/>
    <w:unhideWhenUsed/>
    <w:rsid w:val="00694395"/>
    <w:rPr>
      <w:color w:val="00008B" w:themeColor="text1"/>
      <w:u w:val="single"/>
    </w:rPr>
  </w:style>
  <w:style w:type="paragraph" w:styleId="NoSpacing">
    <w:name w:val="No Spacing"/>
    <w:link w:val="NoSpacingChar"/>
    <w:uiPriority w:val="1"/>
    <w:qFormat/>
    <w:rsid w:val="00694395"/>
    <w:pPr>
      <w:spacing w:after="0" w:line="240" w:lineRule="auto"/>
    </w:pPr>
    <w:rPr>
      <w:rFonts w:eastAsiaTheme="minorEastAsia"/>
    </w:rPr>
  </w:style>
  <w:style w:type="character" w:customStyle="1" w:styleId="NoSpacingChar">
    <w:name w:val="No Spacing Char"/>
    <w:basedOn w:val="DefaultParagraphFont"/>
    <w:link w:val="NoSpacing"/>
    <w:uiPriority w:val="1"/>
    <w:rsid w:val="00694395"/>
    <w:rPr>
      <w:rFonts w:eastAsiaTheme="minorEastAsia"/>
    </w:rPr>
  </w:style>
  <w:style w:type="character" w:customStyle="1" w:styleId="Regular">
    <w:name w:val="Regular"/>
    <w:basedOn w:val="DefaultParagraphFont"/>
    <w:uiPriority w:val="1"/>
    <w:rsid w:val="00694395"/>
    <w:rPr>
      <w:color w:val="auto"/>
    </w:rPr>
  </w:style>
  <w:style w:type="paragraph" w:styleId="Subtitle">
    <w:name w:val="Subtitle"/>
    <w:basedOn w:val="Normal"/>
    <w:next w:val="Normal"/>
    <w:link w:val="SubtitleChar"/>
    <w:uiPriority w:val="11"/>
    <w:qFormat/>
    <w:rsid w:val="00694395"/>
    <w:pPr>
      <w:pBdr>
        <w:top w:val="single" w:sz="4" w:space="30" w:color="auto"/>
      </w:pBdr>
      <w:autoSpaceDE w:val="0"/>
      <w:autoSpaceDN w:val="0"/>
      <w:adjustRightInd w:val="0"/>
      <w:spacing w:before="720" w:after="0" w:line="420" w:lineRule="atLeast"/>
      <w:ind w:left="2268" w:right="2268"/>
      <w:jc w:val="center"/>
      <w:textAlignment w:val="center"/>
    </w:pPr>
    <w:rPr>
      <w:rFonts w:ascii="Arial" w:hAnsi="Arial" w:cs="Arial"/>
      <w:color w:val="00008C"/>
      <w:sz w:val="30"/>
      <w:szCs w:val="30"/>
    </w:rPr>
  </w:style>
  <w:style w:type="character" w:customStyle="1" w:styleId="SubtitleChar">
    <w:name w:val="Subtitle Char"/>
    <w:basedOn w:val="DefaultParagraphFont"/>
    <w:link w:val="Subtitle"/>
    <w:uiPriority w:val="11"/>
    <w:rsid w:val="00694395"/>
    <w:rPr>
      <w:rFonts w:ascii="Arial" w:hAnsi="Arial" w:cs="Arial"/>
      <w:color w:val="00008C"/>
      <w:sz w:val="30"/>
      <w:szCs w:val="30"/>
      <w:lang w:val="en-GB"/>
    </w:rPr>
  </w:style>
  <w:style w:type="paragraph" w:customStyle="1" w:styleId="Tableheading">
    <w:name w:val="Table heading"/>
    <w:basedOn w:val="Normal"/>
    <w:next w:val="ElexonBody"/>
    <w:link w:val="TableheadingChar"/>
    <w:uiPriority w:val="8"/>
    <w:qFormat/>
    <w:rsid w:val="00694395"/>
    <w:pPr>
      <w:spacing w:after="0" w:line="260" w:lineRule="atLeast"/>
      <w:ind w:left="113" w:right="113"/>
    </w:pPr>
    <w:rPr>
      <w:rFonts w:asciiTheme="majorHAnsi" w:eastAsia="Times New Roman" w:hAnsiTheme="majorHAnsi" w:cs="Tahoma"/>
      <w:bCs/>
      <w:color w:val="FFFFFF" w:themeColor="background1"/>
    </w:rPr>
  </w:style>
  <w:style w:type="character" w:customStyle="1" w:styleId="TableheadingChar">
    <w:name w:val="Table heading Char"/>
    <w:basedOn w:val="DefaultParagraphFont"/>
    <w:link w:val="Tableheading"/>
    <w:uiPriority w:val="8"/>
    <w:rsid w:val="00694395"/>
    <w:rPr>
      <w:rFonts w:asciiTheme="majorHAnsi" w:eastAsia="Times New Roman" w:hAnsiTheme="majorHAnsi" w:cs="Tahoma"/>
      <w:bCs/>
      <w:color w:val="FFFFFF" w:themeColor="background1"/>
      <w:sz w:val="20"/>
      <w:lang w:val="en-GB"/>
    </w:rPr>
  </w:style>
  <w:style w:type="paragraph" w:styleId="Title">
    <w:name w:val="Title"/>
    <w:basedOn w:val="Normal"/>
    <w:next w:val="Normal"/>
    <w:link w:val="TitleChar"/>
    <w:uiPriority w:val="10"/>
    <w:rsid w:val="00694395"/>
    <w:pPr>
      <w:spacing w:after="0" w:line="720" w:lineRule="atLeast"/>
      <w:ind w:left="567" w:right="567"/>
      <w:contextualSpacing/>
      <w:jc w:val="center"/>
    </w:pPr>
    <w:rPr>
      <w:rFonts w:asciiTheme="majorHAnsi" w:eastAsiaTheme="majorEastAsia" w:hAnsiTheme="majorHAnsi" w:cstheme="majorBidi"/>
      <w:b/>
      <w:caps/>
      <w:color w:val="00008B" w:themeColor="text1"/>
      <w:spacing w:val="80"/>
      <w:kern w:val="28"/>
      <w:sz w:val="50"/>
      <w:szCs w:val="56"/>
    </w:rPr>
  </w:style>
  <w:style w:type="character" w:customStyle="1" w:styleId="TitleChar">
    <w:name w:val="Title Char"/>
    <w:basedOn w:val="DefaultParagraphFont"/>
    <w:link w:val="Title"/>
    <w:uiPriority w:val="10"/>
    <w:rsid w:val="00694395"/>
    <w:rPr>
      <w:rFonts w:asciiTheme="majorHAnsi" w:eastAsiaTheme="majorEastAsia" w:hAnsiTheme="majorHAnsi" w:cstheme="majorBidi"/>
      <w:b/>
      <w:caps/>
      <w:color w:val="00008B" w:themeColor="text1"/>
      <w:spacing w:val="80"/>
      <w:kern w:val="28"/>
      <w:sz w:val="50"/>
      <w:szCs w:val="56"/>
      <w:lang w:val="en-GB"/>
    </w:rPr>
  </w:style>
  <w:style w:type="paragraph" w:styleId="TOC1">
    <w:name w:val="toc 1"/>
    <w:basedOn w:val="Normal"/>
    <w:next w:val="Normal"/>
    <w:autoRedefine/>
    <w:uiPriority w:val="39"/>
    <w:unhideWhenUsed/>
    <w:rsid w:val="00694395"/>
    <w:pPr>
      <w:tabs>
        <w:tab w:val="right" w:pos="10348"/>
      </w:tabs>
      <w:spacing w:after="100"/>
    </w:pPr>
    <w:rPr>
      <w:b/>
      <w:noProof/>
      <w:color w:val="00008B" w:themeColor="text1"/>
      <w:sz w:val="22"/>
    </w:rPr>
  </w:style>
  <w:style w:type="paragraph" w:styleId="TOC2">
    <w:name w:val="toc 2"/>
    <w:basedOn w:val="Normal"/>
    <w:next w:val="Normal"/>
    <w:autoRedefine/>
    <w:uiPriority w:val="39"/>
    <w:unhideWhenUsed/>
    <w:rsid w:val="00694395"/>
    <w:pPr>
      <w:tabs>
        <w:tab w:val="right" w:pos="10348"/>
      </w:tabs>
      <w:spacing w:after="100"/>
    </w:pPr>
    <w:rPr>
      <w:color w:val="00008B" w:themeColor="text1"/>
      <w:sz w:val="22"/>
    </w:rPr>
  </w:style>
  <w:style w:type="paragraph" w:styleId="TOC3">
    <w:name w:val="toc 3"/>
    <w:basedOn w:val="Normal"/>
    <w:next w:val="Normal"/>
    <w:autoRedefine/>
    <w:uiPriority w:val="39"/>
    <w:unhideWhenUsed/>
    <w:rsid w:val="00694395"/>
    <w:pPr>
      <w:tabs>
        <w:tab w:val="right" w:pos="10348"/>
      </w:tabs>
      <w:spacing w:after="100"/>
      <w:ind w:left="357"/>
    </w:pPr>
    <w:rPr>
      <w:noProof/>
      <w:sz w:val="22"/>
    </w:rPr>
  </w:style>
  <w:style w:type="paragraph" w:styleId="TOCHeading">
    <w:name w:val="TOC Heading"/>
    <w:basedOn w:val="Heading1"/>
    <w:next w:val="Normal"/>
    <w:uiPriority w:val="39"/>
    <w:unhideWhenUsed/>
    <w:qFormat/>
    <w:rsid w:val="00694395"/>
    <w:pPr>
      <w:spacing w:after="480" w:line="480" w:lineRule="atLeast"/>
    </w:pPr>
  </w:style>
  <w:style w:type="paragraph" w:styleId="BalloonText">
    <w:name w:val="Balloon Text"/>
    <w:basedOn w:val="Normal"/>
    <w:link w:val="BalloonTextChar"/>
    <w:uiPriority w:val="99"/>
    <w:semiHidden/>
    <w:unhideWhenUsed/>
    <w:rsid w:val="008819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1961"/>
    <w:rPr>
      <w:rFonts w:ascii="Segoe UI" w:hAnsi="Segoe UI" w:cs="Segoe UI"/>
      <w:sz w:val="18"/>
      <w:szCs w:val="18"/>
      <w:lang w:val="en-GB"/>
    </w:rPr>
  </w:style>
  <w:style w:type="paragraph" w:styleId="Revision">
    <w:name w:val="Revision"/>
    <w:hidden/>
    <w:uiPriority w:val="99"/>
    <w:semiHidden/>
    <w:rsid w:val="00ED5B16"/>
    <w:pPr>
      <w:spacing w:after="0" w:line="240" w:lineRule="auto"/>
    </w:pPr>
    <w:rPr>
      <w:sz w:val="20"/>
      <w:lang w:val="en-GB"/>
    </w:rPr>
  </w:style>
  <w:style w:type="character" w:styleId="CommentReference">
    <w:name w:val="annotation reference"/>
    <w:basedOn w:val="DefaultParagraphFont"/>
    <w:uiPriority w:val="99"/>
    <w:semiHidden/>
    <w:unhideWhenUsed/>
    <w:rsid w:val="006243E5"/>
    <w:rPr>
      <w:sz w:val="16"/>
      <w:szCs w:val="16"/>
    </w:rPr>
  </w:style>
  <w:style w:type="paragraph" w:styleId="CommentText">
    <w:name w:val="annotation text"/>
    <w:basedOn w:val="Normal"/>
    <w:link w:val="CommentTextChar"/>
    <w:uiPriority w:val="99"/>
    <w:semiHidden/>
    <w:unhideWhenUsed/>
    <w:rsid w:val="006243E5"/>
    <w:pPr>
      <w:spacing w:line="240" w:lineRule="auto"/>
    </w:pPr>
    <w:rPr>
      <w:szCs w:val="20"/>
    </w:rPr>
  </w:style>
  <w:style w:type="character" w:customStyle="1" w:styleId="CommentTextChar">
    <w:name w:val="Comment Text Char"/>
    <w:basedOn w:val="DefaultParagraphFont"/>
    <w:link w:val="CommentText"/>
    <w:uiPriority w:val="99"/>
    <w:semiHidden/>
    <w:rsid w:val="006243E5"/>
    <w:rPr>
      <w:sz w:val="20"/>
      <w:szCs w:val="20"/>
      <w:lang w:val="en-GB"/>
    </w:rPr>
  </w:style>
  <w:style w:type="paragraph" w:styleId="CommentSubject">
    <w:name w:val="annotation subject"/>
    <w:basedOn w:val="CommentText"/>
    <w:next w:val="CommentText"/>
    <w:link w:val="CommentSubjectChar"/>
    <w:uiPriority w:val="99"/>
    <w:semiHidden/>
    <w:unhideWhenUsed/>
    <w:rsid w:val="006243E5"/>
    <w:rPr>
      <w:b/>
      <w:bCs/>
    </w:rPr>
  </w:style>
  <w:style w:type="character" w:customStyle="1" w:styleId="CommentSubjectChar">
    <w:name w:val="Comment Subject Char"/>
    <w:basedOn w:val="CommentTextChar"/>
    <w:link w:val="CommentSubject"/>
    <w:uiPriority w:val="99"/>
    <w:semiHidden/>
    <w:rsid w:val="006243E5"/>
    <w:rPr>
      <w:b/>
      <w:bCs/>
      <w:sz w:val="20"/>
      <w:szCs w:val="20"/>
      <w:lang w:val="en-GB"/>
    </w:rPr>
  </w:style>
  <w:style w:type="table" w:customStyle="1" w:styleId="ElexonBasicTable1">
    <w:name w:val="Elexon Basic Table1"/>
    <w:basedOn w:val="TableNormal"/>
    <w:uiPriority w:val="99"/>
    <w:rsid w:val="008422AC"/>
    <w:pPr>
      <w:spacing w:after="0" w:line="240" w:lineRule="auto"/>
    </w:pPr>
    <w:rPr>
      <w:sz w:val="17"/>
    </w:rPr>
    <w:tblPr>
      <w:tblBorders>
        <w:top w:val="single" w:sz="4" w:space="0" w:color="CAC3C5" w:themeColor="text2" w:themeTint="40"/>
        <w:left w:val="single" w:sz="4" w:space="0" w:color="CAC3C5" w:themeColor="text2" w:themeTint="40"/>
        <w:bottom w:val="single" w:sz="4" w:space="0" w:color="CAC3C5" w:themeColor="text2" w:themeTint="40"/>
        <w:right w:val="single" w:sz="4" w:space="0" w:color="CAC3C5" w:themeColor="text2" w:themeTint="40"/>
        <w:insideH w:val="single" w:sz="4" w:space="0" w:color="CAC3C5" w:themeColor="text2" w:themeTint="40"/>
        <w:insideV w:val="single" w:sz="4" w:space="0" w:color="CAC3C5" w:themeColor="text2" w:themeTint="40"/>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paragraph" w:styleId="ListParagraph">
    <w:name w:val="List Paragraph"/>
    <w:basedOn w:val="Normal"/>
    <w:uiPriority w:val="34"/>
    <w:qFormat/>
    <w:rsid w:val="00991F53"/>
    <w:pPr>
      <w:ind w:left="720"/>
      <w:contextualSpacing/>
    </w:pPr>
  </w:style>
  <w:style w:type="table" w:customStyle="1" w:styleId="TableGrid1">
    <w:name w:val="Table Grid1"/>
    <w:basedOn w:val="TableNormal"/>
    <w:next w:val="TableGrid"/>
    <w:uiPriority w:val="39"/>
    <w:rsid w:val="00202F6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63AD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C3D0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14203">
      <w:bodyDiv w:val="1"/>
      <w:marLeft w:val="0"/>
      <w:marRight w:val="0"/>
      <w:marTop w:val="0"/>
      <w:marBottom w:val="0"/>
      <w:divBdr>
        <w:top w:val="none" w:sz="0" w:space="0" w:color="auto"/>
        <w:left w:val="none" w:sz="0" w:space="0" w:color="auto"/>
        <w:bottom w:val="none" w:sz="0" w:space="0" w:color="auto"/>
        <w:right w:val="none" w:sz="0" w:space="0" w:color="auto"/>
      </w:divBdr>
    </w:div>
    <w:div w:id="646516364">
      <w:bodyDiv w:val="1"/>
      <w:marLeft w:val="0"/>
      <w:marRight w:val="0"/>
      <w:marTop w:val="0"/>
      <w:marBottom w:val="0"/>
      <w:divBdr>
        <w:top w:val="none" w:sz="0" w:space="0" w:color="auto"/>
        <w:left w:val="none" w:sz="0" w:space="0" w:color="auto"/>
        <w:bottom w:val="none" w:sz="0" w:space="0" w:color="auto"/>
        <w:right w:val="none" w:sz="0" w:space="0" w:color="auto"/>
      </w:divBdr>
      <w:divsChild>
        <w:div w:id="1414887810">
          <w:marLeft w:val="0"/>
          <w:marRight w:val="0"/>
          <w:marTop w:val="0"/>
          <w:marBottom w:val="0"/>
          <w:divBdr>
            <w:top w:val="none" w:sz="0" w:space="0" w:color="auto"/>
            <w:left w:val="none" w:sz="0" w:space="0" w:color="auto"/>
            <w:bottom w:val="none" w:sz="0" w:space="0" w:color="auto"/>
            <w:right w:val="none" w:sz="0" w:space="0" w:color="auto"/>
          </w:divBdr>
        </w:div>
      </w:divsChild>
    </w:div>
    <w:div w:id="1000427154">
      <w:bodyDiv w:val="1"/>
      <w:marLeft w:val="0"/>
      <w:marRight w:val="0"/>
      <w:marTop w:val="0"/>
      <w:marBottom w:val="0"/>
      <w:divBdr>
        <w:top w:val="none" w:sz="0" w:space="0" w:color="auto"/>
        <w:left w:val="none" w:sz="0" w:space="0" w:color="auto"/>
        <w:bottom w:val="none" w:sz="0" w:space="0" w:color="auto"/>
        <w:right w:val="none" w:sz="0" w:space="0" w:color="auto"/>
      </w:divBdr>
      <w:divsChild>
        <w:div w:id="515114092">
          <w:marLeft w:val="0"/>
          <w:marRight w:val="0"/>
          <w:marTop w:val="0"/>
          <w:marBottom w:val="0"/>
          <w:divBdr>
            <w:top w:val="none" w:sz="0" w:space="0" w:color="auto"/>
            <w:left w:val="none" w:sz="0" w:space="0" w:color="auto"/>
            <w:bottom w:val="none" w:sz="0" w:space="0" w:color="auto"/>
            <w:right w:val="none" w:sz="0" w:space="0" w:color="auto"/>
          </w:divBdr>
        </w:div>
      </w:divsChild>
    </w:div>
    <w:div w:id="1212112840">
      <w:bodyDiv w:val="1"/>
      <w:marLeft w:val="0"/>
      <w:marRight w:val="0"/>
      <w:marTop w:val="0"/>
      <w:marBottom w:val="0"/>
      <w:divBdr>
        <w:top w:val="none" w:sz="0" w:space="0" w:color="auto"/>
        <w:left w:val="none" w:sz="0" w:space="0" w:color="auto"/>
        <w:bottom w:val="none" w:sz="0" w:space="0" w:color="auto"/>
        <w:right w:val="none" w:sz="0" w:space="0" w:color="auto"/>
      </w:divBdr>
      <w:divsChild>
        <w:div w:id="677120009">
          <w:marLeft w:val="0"/>
          <w:marRight w:val="0"/>
          <w:marTop w:val="0"/>
          <w:marBottom w:val="0"/>
          <w:divBdr>
            <w:top w:val="none" w:sz="0" w:space="0" w:color="auto"/>
            <w:left w:val="none" w:sz="0" w:space="0" w:color="auto"/>
            <w:bottom w:val="none" w:sz="0" w:space="0" w:color="auto"/>
            <w:right w:val="none" w:sz="0" w:space="0" w:color="auto"/>
          </w:divBdr>
        </w:div>
      </w:divsChild>
    </w:div>
    <w:div w:id="1448431648">
      <w:bodyDiv w:val="1"/>
      <w:marLeft w:val="0"/>
      <w:marRight w:val="0"/>
      <w:marTop w:val="0"/>
      <w:marBottom w:val="0"/>
      <w:divBdr>
        <w:top w:val="none" w:sz="0" w:space="0" w:color="auto"/>
        <w:left w:val="none" w:sz="0" w:space="0" w:color="auto"/>
        <w:bottom w:val="none" w:sz="0" w:space="0" w:color="auto"/>
        <w:right w:val="none" w:sz="0" w:space="0" w:color="auto"/>
      </w:divBdr>
    </w:div>
    <w:div w:id="1638223397">
      <w:bodyDiv w:val="1"/>
      <w:marLeft w:val="0"/>
      <w:marRight w:val="0"/>
      <w:marTop w:val="0"/>
      <w:marBottom w:val="0"/>
      <w:divBdr>
        <w:top w:val="none" w:sz="0" w:space="0" w:color="auto"/>
        <w:left w:val="none" w:sz="0" w:space="0" w:color="auto"/>
        <w:bottom w:val="none" w:sz="0" w:space="0" w:color="auto"/>
        <w:right w:val="none" w:sz="0" w:space="0" w:color="auto"/>
      </w:divBdr>
      <w:divsChild>
        <w:div w:id="312754446">
          <w:marLeft w:val="0"/>
          <w:marRight w:val="0"/>
          <w:marTop w:val="0"/>
          <w:marBottom w:val="0"/>
          <w:divBdr>
            <w:top w:val="none" w:sz="0" w:space="0" w:color="auto"/>
            <w:left w:val="none" w:sz="0" w:space="0" w:color="auto"/>
            <w:bottom w:val="none" w:sz="0" w:space="0" w:color="auto"/>
            <w:right w:val="none" w:sz="0" w:space="0" w:color="auto"/>
          </w:divBdr>
        </w:div>
      </w:divsChild>
    </w:div>
    <w:div w:id="1830367818">
      <w:bodyDiv w:val="1"/>
      <w:marLeft w:val="0"/>
      <w:marRight w:val="0"/>
      <w:marTop w:val="0"/>
      <w:marBottom w:val="0"/>
      <w:divBdr>
        <w:top w:val="none" w:sz="0" w:space="0" w:color="auto"/>
        <w:left w:val="none" w:sz="0" w:space="0" w:color="auto"/>
        <w:bottom w:val="none" w:sz="0" w:space="0" w:color="auto"/>
        <w:right w:val="none" w:sz="0" w:space="0" w:color="auto"/>
      </w:divBdr>
    </w:div>
    <w:div w:id="1910772619">
      <w:bodyDiv w:val="1"/>
      <w:marLeft w:val="0"/>
      <w:marRight w:val="0"/>
      <w:marTop w:val="0"/>
      <w:marBottom w:val="0"/>
      <w:divBdr>
        <w:top w:val="none" w:sz="0" w:space="0" w:color="auto"/>
        <w:left w:val="none" w:sz="0" w:space="0" w:color="auto"/>
        <w:bottom w:val="none" w:sz="0" w:space="0" w:color="auto"/>
        <w:right w:val="none" w:sz="0" w:space="0" w:color="auto"/>
      </w:divBdr>
    </w:div>
    <w:div w:id="208175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Data" Target="diagrams/data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www.ons.gov.uk/economy/economicoutputandproductivity/output/articles/coronavirushowpeopleandbusinesseshaveadaptedtolockdowns/2021-03-19" TargetMode="Externa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E82387A-EAAA-4C6A-B515-93185E436FB7}" type="doc">
      <dgm:prSet loTypeId="urn:microsoft.com/office/officeart/2005/8/layout/cycle2" loCatId="cycle" qsTypeId="urn:microsoft.com/office/officeart/2005/8/quickstyle/simple1" qsCatId="simple" csTypeId="urn:microsoft.com/office/officeart/2005/8/colors/accent1_2" csCatId="accent1" phldr="1"/>
      <dgm:spPr/>
      <dgm:t>
        <a:bodyPr/>
        <a:lstStyle/>
        <a:p>
          <a:endParaRPr lang="en-US"/>
        </a:p>
      </dgm:t>
    </dgm:pt>
    <dgm:pt modelId="{96D26CB5-133D-4A22-96F0-1A26E90D3FEF}">
      <dgm:prSet phldrT="[Text]" custT="1"/>
      <dgm:spPr/>
      <dgm:t>
        <a:bodyPr/>
        <a:lstStyle/>
        <a:p>
          <a:r>
            <a:rPr lang="en-US" sz="1100" b="1"/>
            <a:t>May review- confirmation or amendment of approach for June-Aug period and signals for August review provided</a:t>
          </a:r>
        </a:p>
      </dgm:t>
    </dgm:pt>
    <dgm:pt modelId="{1AC1EA4C-0395-4DA1-85EC-CB4240C0C80B}" type="parTrans" cxnId="{F2F18E2C-C5B2-405D-9C50-19127A5C847E}">
      <dgm:prSet/>
      <dgm:spPr/>
      <dgm:t>
        <a:bodyPr/>
        <a:lstStyle/>
        <a:p>
          <a:endParaRPr lang="en-US"/>
        </a:p>
      </dgm:t>
    </dgm:pt>
    <dgm:pt modelId="{8E994C12-6194-449E-A92E-3B7879AEB6CA}" type="sibTrans" cxnId="{F2F18E2C-C5B2-405D-9C50-19127A5C847E}">
      <dgm:prSet/>
      <dgm:spPr/>
      <dgm:t>
        <a:bodyPr/>
        <a:lstStyle/>
        <a:p>
          <a:endParaRPr lang="en-US"/>
        </a:p>
      </dgm:t>
    </dgm:pt>
    <dgm:pt modelId="{08A72138-C320-43AC-A223-2F85EE7EF8F3}">
      <dgm:prSet phldrT="[Text]" custT="1"/>
      <dgm:spPr/>
      <dgm:t>
        <a:bodyPr/>
        <a:lstStyle/>
        <a:p>
          <a:r>
            <a:rPr lang="en-US" sz="1100" b="1"/>
            <a:t>August review- confirmation or amendment  of approach for Sept-Nov period and signals for November review provided</a:t>
          </a:r>
        </a:p>
      </dgm:t>
    </dgm:pt>
    <dgm:pt modelId="{38210F8A-D99D-49B2-9984-29525EA9ED3E}" type="parTrans" cxnId="{D42558E2-E960-44E8-AC3B-02777276F3FE}">
      <dgm:prSet/>
      <dgm:spPr/>
      <dgm:t>
        <a:bodyPr/>
        <a:lstStyle/>
        <a:p>
          <a:endParaRPr lang="en-US"/>
        </a:p>
      </dgm:t>
    </dgm:pt>
    <dgm:pt modelId="{381B80A1-29B3-45E6-A195-76B43A9EA5DB}" type="sibTrans" cxnId="{D42558E2-E960-44E8-AC3B-02777276F3FE}">
      <dgm:prSet/>
      <dgm:spPr/>
      <dgm:t>
        <a:bodyPr/>
        <a:lstStyle/>
        <a:p>
          <a:endParaRPr lang="en-US"/>
        </a:p>
      </dgm:t>
    </dgm:pt>
    <dgm:pt modelId="{255E5A75-A0B1-48E9-AAA2-00AD3AF05C3C}">
      <dgm:prSet phldrT="[Text]" custT="1"/>
      <dgm:spPr/>
      <dgm:t>
        <a:bodyPr/>
        <a:lstStyle/>
        <a:p>
          <a:r>
            <a:rPr lang="en-US" sz="1100" b="1"/>
            <a:t>November review- confirmation or amendment  of approach for Dec-Feb period and signals for Feb review provided</a:t>
          </a:r>
        </a:p>
      </dgm:t>
    </dgm:pt>
    <dgm:pt modelId="{727EF60D-FAD8-49A0-9E1A-D8441FE43628}" type="parTrans" cxnId="{6543B43C-091B-45B7-93A6-214AC13565B5}">
      <dgm:prSet/>
      <dgm:spPr/>
      <dgm:t>
        <a:bodyPr/>
        <a:lstStyle/>
        <a:p>
          <a:endParaRPr lang="en-US"/>
        </a:p>
      </dgm:t>
    </dgm:pt>
    <dgm:pt modelId="{7CA43084-E019-4766-8B00-45D8FA8C0BC1}" type="sibTrans" cxnId="{6543B43C-091B-45B7-93A6-214AC13565B5}">
      <dgm:prSet/>
      <dgm:spPr/>
      <dgm:t>
        <a:bodyPr/>
        <a:lstStyle/>
        <a:p>
          <a:endParaRPr lang="en-US"/>
        </a:p>
      </dgm:t>
    </dgm:pt>
    <dgm:pt modelId="{8067FEA7-D01D-447A-9013-623BB982781F}">
      <dgm:prSet phldrT="[Text]" custT="1"/>
      <dgm:spPr/>
      <dgm:t>
        <a:bodyPr/>
        <a:lstStyle/>
        <a:p>
          <a:r>
            <a:rPr lang="en-US" sz="1100" b="1"/>
            <a:t>Feb review- confirmation or amendment  of approach for Mar-May period and signals for May review provided</a:t>
          </a:r>
        </a:p>
      </dgm:t>
    </dgm:pt>
    <dgm:pt modelId="{76FEF504-30EA-4E73-B30F-2B855E73BD07}" type="parTrans" cxnId="{B8CC1406-F51F-4A46-9E2F-BD3CD69D5C52}">
      <dgm:prSet/>
      <dgm:spPr/>
      <dgm:t>
        <a:bodyPr/>
        <a:lstStyle/>
        <a:p>
          <a:endParaRPr lang="en-US"/>
        </a:p>
      </dgm:t>
    </dgm:pt>
    <dgm:pt modelId="{A9D81A9F-A585-4E4B-9830-56B9E7DB81E8}" type="sibTrans" cxnId="{B8CC1406-F51F-4A46-9E2F-BD3CD69D5C52}">
      <dgm:prSet/>
      <dgm:spPr/>
      <dgm:t>
        <a:bodyPr/>
        <a:lstStyle/>
        <a:p>
          <a:endParaRPr lang="en-US"/>
        </a:p>
      </dgm:t>
    </dgm:pt>
    <dgm:pt modelId="{0F81A65E-600A-4EF7-8E9B-9772982C5DCE}" type="pres">
      <dgm:prSet presAssocID="{5E82387A-EAAA-4C6A-B515-93185E436FB7}" presName="cycle" presStyleCnt="0">
        <dgm:presLayoutVars>
          <dgm:dir/>
          <dgm:resizeHandles val="exact"/>
        </dgm:presLayoutVars>
      </dgm:prSet>
      <dgm:spPr/>
      <dgm:t>
        <a:bodyPr/>
        <a:lstStyle/>
        <a:p>
          <a:endParaRPr lang="en-US"/>
        </a:p>
      </dgm:t>
    </dgm:pt>
    <dgm:pt modelId="{2E22786F-18E1-40F3-B8E9-E5785682D323}" type="pres">
      <dgm:prSet presAssocID="{96D26CB5-133D-4A22-96F0-1A26E90D3FEF}" presName="node" presStyleLbl="node1" presStyleIdx="0" presStyleCnt="4">
        <dgm:presLayoutVars>
          <dgm:bulletEnabled val="1"/>
        </dgm:presLayoutVars>
      </dgm:prSet>
      <dgm:spPr/>
      <dgm:t>
        <a:bodyPr/>
        <a:lstStyle/>
        <a:p>
          <a:endParaRPr lang="en-US"/>
        </a:p>
      </dgm:t>
    </dgm:pt>
    <dgm:pt modelId="{5CF59783-AD55-4A59-A575-9F0779EB439C}" type="pres">
      <dgm:prSet presAssocID="{8E994C12-6194-449E-A92E-3B7879AEB6CA}" presName="sibTrans" presStyleLbl="sibTrans2D1" presStyleIdx="0" presStyleCnt="4"/>
      <dgm:spPr/>
      <dgm:t>
        <a:bodyPr/>
        <a:lstStyle/>
        <a:p>
          <a:endParaRPr lang="en-US"/>
        </a:p>
      </dgm:t>
    </dgm:pt>
    <dgm:pt modelId="{EA7505D7-28AA-4976-80AF-4002D7A20D33}" type="pres">
      <dgm:prSet presAssocID="{8E994C12-6194-449E-A92E-3B7879AEB6CA}" presName="connectorText" presStyleLbl="sibTrans2D1" presStyleIdx="0" presStyleCnt="4"/>
      <dgm:spPr/>
      <dgm:t>
        <a:bodyPr/>
        <a:lstStyle/>
        <a:p>
          <a:endParaRPr lang="en-US"/>
        </a:p>
      </dgm:t>
    </dgm:pt>
    <dgm:pt modelId="{DEE25544-C90A-4170-AF32-4ED7427E08B3}" type="pres">
      <dgm:prSet presAssocID="{08A72138-C320-43AC-A223-2F85EE7EF8F3}" presName="node" presStyleLbl="node1" presStyleIdx="1" presStyleCnt="4">
        <dgm:presLayoutVars>
          <dgm:bulletEnabled val="1"/>
        </dgm:presLayoutVars>
      </dgm:prSet>
      <dgm:spPr/>
      <dgm:t>
        <a:bodyPr/>
        <a:lstStyle/>
        <a:p>
          <a:endParaRPr lang="en-US"/>
        </a:p>
      </dgm:t>
    </dgm:pt>
    <dgm:pt modelId="{16308983-DA91-4CBA-B6B9-96B1652B7264}" type="pres">
      <dgm:prSet presAssocID="{381B80A1-29B3-45E6-A195-76B43A9EA5DB}" presName="sibTrans" presStyleLbl="sibTrans2D1" presStyleIdx="1" presStyleCnt="4"/>
      <dgm:spPr/>
      <dgm:t>
        <a:bodyPr/>
        <a:lstStyle/>
        <a:p>
          <a:endParaRPr lang="en-US"/>
        </a:p>
      </dgm:t>
    </dgm:pt>
    <dgm:pt modelId="{6506AD19-1216-4395-A33C-11E11227410A}" type="pres">
      <dgm:prSet presAssocID="{381B80A1-29B3-45E6-A195-76B43A9EA5DB}" presName="connectorText" presStyleLbl="sibTrans2D1" presStyleIdx="1" presStyleCnt="4"/>
      <dgm:spPr/>
      <dgm:t>
        <a:bodyPr/>
        <a:lstStyle/>
        <a:p>
          <a:endParaRPr lang="en-US"/>
        </a:p>
      </dgm:t>
    </dgm:pt>
    <dgm:pt modelId="{1E58B699-F1EC-45EB-BCFB-43952257C4E3}" type="pres">
      <dgm:prSet presAssocID="{255E5A75-A0B1-48E9-AAA2-00AD3AF05C3C}" presName="node" presStyleLbl="node1" presStyleIdx="2" presStyleCnt="4">
        <dgm:presLayoutVars>
          <dgm:bulletEnabled val="1"/>
        </dgm:presLayoutVars>
      </dgm:prSet>
      <dgm:spPr/>
      <dgm:t>
        <a:bodyPr/>
        <a:lstStyle/>
        <a:p>
          <a:endParaRPr lang="en-US"/>
        </a:p>
      </dgm:t>
    </dgm:pt>
    <dgm:pt modelId="{E691B7CD-F0E7-44FD-80EF-120C09599DAB}" type="pres">
      <dgm:prSet presAssocID="{7CA43084-E019-4766-8B00-45D8FA8C0BC1}" presName="sibTrans" presStyleLbl="sibTrans2D1" presStyleIdx="2" presStyleCnt="4"/>
      <dgm:spPr/>
      <dgm:t>
        <a:bodyPr/>
        <a:lstStyle/>
        <a:p>
          <a:endParaRPr lang="en-US"/>
        </a:p>
      </dgm:t>
    </dgm:pt>
    <dgm:pt modelId="{970CB00F-24AD-4D5B-86EE-F819E4A4F88E}" type="pres">
      <dgm:prSet presAssocID="{7CA43084-E019-4766-8B00-45D8FA8C0BC1}" presName="connectorText" presStyleLbl="sibTrans2D1" presStyleIdx="2" presStyleCnt="4"/>
      <dgm:spPr/>
      <dgm:t>
        <a:bodyPr/>
        <a:lstStyle/>
        <a:p>
          <a:endParaRPr lang="en-US"/>
        </a:p>
      </dgm:t>
    </dgm:pt>
    <dgm:pt modelId="{4F565C05-863C-4A93-BF4F-DB0CA853DDF0}" type="pres">
      <dgm:prSet presAssocID="{8067FEA7-D01D-447A-9013-623BB982781F}" presName="node" presStyleLbl="node1" presStyleIdx="3" presStyleCnt="4">
        <dgm:presLayoutVars>
          <dgm:bulletEnabled val="1"/>
        </dgm:presLayoutVars>
      </dgm:prSet>
      <dgm:spPr/>
      <dgm:t>
        <a:bodyPr/>
        <a:lstStyle/>
        <a:p>
          <a:endParaRPr lang="en-US"/>
        </a:p>
      </dgm:t>
    </dgm:pt>
    <dgm:pt modelId="{9D3452DA-3244-413B-BFA8-DD2436F9ADD7}" type="pres">
      <dgm:prSet presAssocID="{A9D81A9F-A585-4E4B-9830-56B9E7DB81E8}" presName="sibTrans" presStyleLbl="sibTrans2D1" presStyleIdx="3" presStyleCnt="4"/>
      <dgm:spPr/>
      <dgm:t>
        <a:bodyPr/>
        <a:lstStyle/>
        <a:p>
          <a:endParaRPr lang="en-US"/>
        </a:p>
      </dgm:t>
    </dgm:pt>
    <dgm:pt modelId="{E431ED9A-183F-4713-9BB1-C5B79CBEFB8A}" type="pres">
      <dgm:prSet presAssocID="{A9D81A9F-A585-4E4B-9830-56B9E7DB81E8}" presName="connectorText" presStyleLbl="sibTrans2D1" presStyleIdx="3" presStyleCnt="4"/>
      <dgm:spPr/>
      <dgm:t>
        <a:bodyPr/>
        <a:lstStyle/>
        <a:p>
          <a:endParaRPr lang="en-US"/>
        </a:p>
      </dgm:t>
    </dgm:pt>
  </dgm:ptLst>
  <dgm:cxnLst>
    <dgm:cxn modelId="{FAFED523-8D16-49E6-85E8-43940F50A482}" type="presOf" srcId="{5E82387A-EAAA-4C6A-B515-93185E436FB7}" destId="{0F81A65E-600A-4EF7-8E9B-9772982C5DCE}" srcOrd="0" destOrd="0" presId="urn:microsoft.com/office/officeart/2005/8/layout/cycle2"/>
    <dgm:cxn modelId="{D42558E2-E960-44E8-AC3B-02777276F3FE}" srcId="{5E82387A-EAAA-4C6A-B515-93185E436FB7}" destId="{08A72138-C320-43AC-A223-2F85EE7EF8F3}" srcOrd="1" destOrd="0" parTransId="{38210F8A-D99D-49B2-9984-29525EA9ED3E}" sibTransId="{381B80A1-29B3-45E6-A195-76B43A9EA5DB}"/>
    <dgm:cxn modelId="{73954D0C-7791-465E-9198-5BD801C94C53}" type="presOf" srcId="{381B80A1-29B3-45E6-A195-76B43A9EA5DB}" destId="{16308983-DA91-4CBA-B6B9-96B1652B7264}" srcOrd="0" destOrd="0" presId="urn:microsoft.com/office/officeart/2005/8/layout/cycle2"/>
    <dgm:cxn modelId="{45252BC5-5702-4120-9619-96B266F350B4}" type="presOf" srcId="{381B80A1-29B3-45E6-A195-76B43A9EA5DB}" destId="{6506AD19-1216-4395-A33C-11E11227410A}" srcOrd="1" destOrd="0" presId="urn:microsoft.com/office/officeart/2005/8/layout/cycle2"/>
    <dgm:cxn modelId="{55A54C35-5C07-4C6E-8E8C-49E15A10083D}" type="presOf" srcId="{7CA43084-E019-4766-8B00-45D8FA8C0BC1}" destId="{E691B7CD-F0E7-44FD-80EF-120C09599DAB}" srcOrd="0" destOrd="0" presId="urn:microsoft.com/office/officeart/2005/8/layout/cycle2"/>
    <dgm:cxn modelId="{5AA6B582-75C7-42C6-A7D5-305CF56F04B1}" type="presOf" srcId="{08A72138-C320-43AC-A223-2F85EE7EF8F3}" destId="{DEE25544-C90A-4170-AF32-4ED7427E08B3}" srcOrd="0" destOrd="0" presId="urn:microsoft.com/office/officeart/2005/8/layout/cycle2"/>
    <dgm:cxn modelId="{F5E80ED6-59D6-4501-AE68-A222BF2F06E6}" type="presOf" srcId="{8067FEA7-D01D-447A-9013-623BB982781F}" destId="{4F565C05-863C-4A93-BF4F-DB0CA853DDF0}" srcOrd="0" destOrd="0" presId="urn:microsoft.com/office/officeart/2005/8/layout/cycle2"/>
    <dgm:cxn modelId="{ED89220F-CB90-4908-9166-2C4CAFC5BB5B}" type="presOf" srcId="{A9D81A9F-A585-4E4B-9830-56B9E7DB81E8}" destId="{E431ED9A-183F-4713-9BB1-C5B79CBEFB8A}" srcOrd="1" destOrd="0" presId="urn:microsoft.com/office/officeart/2005/8/layout/cycle2"/>
    <dgm:cxn modelId="{6543B43C-091B-45B7-93A6-214AC13565B5}" srcId="{5E82387A-EAAA-4C6A-B515-93185E436FB7}" destId="{255E5A75-A0B1-48E9-AAA2-00AD3AF05C3C}" srcOrd="2" destOrd="0" parTransId="{727EF60D-FAD8-49A0-9E1A-D8441FE43628}" sibTransId="{7CA43084-E019-4766-8B00-45D8FA8C0BC1}"/>
    <dgm:cxn modelId="{E733B200-6D75-49B3-ADC3-4DABC48189E5}" type="presOf" srcId="{96D26CB5-133D-4A22-96F0-1A26E90D3FEF}" destId="{2E22786F-18E1-40F3-B8E9-E5785682D323}" srcOrd="0" destOrd="0" presId="urn:microsoft.com/office/officeart/2005/8/layout/cycle2"/>
    <dgm:cxn modelId="{23A10CC9-8C91-4A2B-A05C-A32F6611B72D}" type="presOf" srcId="{A9D81A9F-A585-4E4B-9830-56B9E7DB81E8}" destId="{9D3452DA-3244-413B-BFA8-DD2436F9ADD7}" srcOrd="0" destOrd="0" presId="urn:microsoft.com/office/officeart/2005/8/layout/cycle2"/>
    <dgm:cxn modelId="{5824DA7B-4E1A-40D4-9CDC-1187AF264100}" type="presOf" srcId="{7CA43084-E019-4766-8B00-45D8FA8C0BC1}" destId="{970CB00F-24AD-4D5B-86EE-F819E4A4F88E}" srcOrd="1" destOrd="0" presId="urn:microsoft.com/office/officeart/2005/8/layout/cycle2"/>
    <dgm:cxn modelId="{BC524CC8-C520-4D92-ACC7-DBC3209839C5}" type="presOf" srcId="{8E994C12-6194-449E-A92E-3B7879AEB6CA}" destId="{5CF59783-AD55-4A59-A575-9F0779EB439C}" srcOrd="0" destOrd="0" presId="urn:microsoft.com/office/officeart/2005/8/layout/cycle2"/>
    <dgm:cxn modelId="{F2F18E2C-C5B2-405D-9C50-19127A5C847E}" srcId="{5E82387A-EAAA-4C6A-B515-93185E436FB7}" destId="{96D26CB5-133D-4A22-96F0-1A26E90D3FEF}" srcOrd="0" destOrd="0" parTransId="{1AC1EA4C-0395-4DA1-85EC-CB4240C0C80B}" sibTransId="{8E994C12-6194-449E-A92E-3B7879AEB6CA}"/>
    <dgm:cxn modelId="{8B1B3B29-6B02-4F7D-9144-9945B980CBB6}" type="presOf" srcId="{255E5A75-A0B1-48E9-AAA2-00AD3AF05C3C}" destId="{1E58B699-F1EC-45EB-BCFB-43952257C4E3}" srcOrd="0" destOrd="0" presId="urn:microsoft.com/office/officeart/2005/8/layout/cycle2"/>
    <dgm:cxn modelId="{B8CC1406-F51F-4A46-9E2F-BD3CD69D5C52}" srcId="{5E82387A-EAAA-4C6A-B515-93185E436FB7}" destId="{8067FEA7-D01D-447A-9013-623BB982781F}" srcOrd="3" destOrd="0" parTransId="{76FEF504-30EA-4E73-B30F-2B855E73BD07}" sibTransId="{A9D81A9F-A585-4E4B-9830-56B9E7DB81E8}"/>
    <dgm:cxn modelId="{A9C4EDE0-662A-4D57-950E-097F1B9AE37B}" type="presOf" srcId="{8E994C12-6194-449E-A92E-3B7879AEB6CA}" destId="{EA7505D7-28AA-4976-80AF-4002D7A20D33}" srcOrd="1" destOrd="0" presId="urn:microsoft.com/office/officeart/2005/8/layout/cycle2"/>
    <dgm:cxn modelId="{33F19FEF-2032-47FD-A456-EE8E796ECFDE}" type="presParOf" srcId="{0F81A65E-600A-4EF7-8E9B-9772982C5DCE}" destId="{2E22786F-18E1-40F3-B8E9-E5785682D323}" srcOrd="0" destOrd="0" presId="urn:microsoft.com/office/officeart/2005/8/layout/cycle2"/>
    <dgm:cxn modelId="{A3270329-78D0-4A49-820E-628BD39450BE}" type="presParOf" srcId="{0F81A65E-600A-4EF7-8E9B-9772982C5DCE}" destId="{5CF59783-AD55-4A59-A575-9F0779EB439C}" srcOrd="1" destOrd="0" presId="urn:microsoft.com/office/officeart/2005/8/layout/cycle2"/>
    <dgm:cxn modelId="{46D6ECBA-7E52-4277-B018-7F717CF992FD}" type="presParOf" srcId="{5CF59783-AD55-4A59-A575-9F0779EB439C}" destId="{EA7505D7-28AA-4976-80AF-4002D7A20D33}" srcOrd="0" destOrd="0" presId="urn:microsoft.com/office/officeart/2005/8/layout/cycle2"/>
    <dgm:cxn modelId="{B54E47C4-2609-4080-9045-CAD035D7FE12}" type="presParOf" srcId="{0F81A65E-600A-4EF7-8E9B-9772982C5DCE}" destId="{DEE25544-C90A-4170-AF32-4ED7427E08B3}" srcOrd="2" destOrd="0" presId="urn:microsoft.com/office/officeart/2005/8/layout/cycle2"/>
    <dgm:cxn modelId="{2BDDB358-A7F8-4FE7-A60F-5B43C9F7AEBF}" type="presParOf" srcId="{0F81A65E-600A-4EF7-8E9B-9772982C5DCE}" destId="{16308983-DA91-4CBA-B6B9-96B1652B7264}" srcOrd="3" destOrd="0" presId="urn:microsoft.com/office/officeart/2005/8/layout/cycle2"/>
    <dgm:cxn modelId="{2F682144-E236-402D-9F16-FD1AE3782898}" type="presParOf" srcId="{16308983-DA91-4CBA-B6B9-96B1652B7264}" destId="{6506AD19-1216-4395-A33C-11E11227410A}" srcOrd="0" destOrd="0" presId="urn:microsoft.com/office/officeart/2005/8/layout/cycle2"/>
    <dgm:cxn modelId="{9D963346-26EE-4DBE-A3CC-56C23A037DF2}" type="presParOf" srcId="{0F81A65E-600A-4EF7-8E9B-9772982C5DCE}" destId="{1E58B699-F1EC-45EB-BCFB-43952257C4E3}" srcOrd="4" destOrd="0" presId="urn:microsoft.com/office/officeart/2005/8/layout/cycle2"/>
    <dgm:cxn modelId="{C05D9F46-BC2A-4D98-A02C-467D9A34DB01}" type="presParOf" srcId="{0F81A65E-600A-4EF7-8E9B-9772982C5DCE}" destId="{E691B7CD-F0E7-44FD-80EF-120C09599DAB}" srcOrd="5" destOrd="0" presId="urn:microsoft.com/office/officeart/2005/8/layout/cycle2"/>
    <dgm:cxn modelId="{6E02BEB7-7A24-474C-A4CF-20F397FA458A}" type="presParOf" srcId="{E691B7CD-F0E7-44FD-80EF-120C09599DAB}" destId="{970CB00F-24AD-4D5B-86EE-F819E4A4F88E}" srcOrd="0" destOrd="0" presId="urn:microsoft.com/office/officeart/2005/8/layout/cycle2"/>
    <dgm:cxn modelId="{C4EBF745-FD0B-4B32-9738-855C9090D2FC}" type="presParOf" srcId="{0F81A65E-600A-4EF7-8E9B-9772982C5DCE}" destId="{4F565C05-863C-4A93-BF4F-DB0CA853DDF0}" srcOrd="6" destOrd="0" presId="urn:microsoft.com/office/officeart/2005/8/layout/cycle2"/>
    <dgm:cxn modelId="{147AA6E5-F71B-4EB3-AAED-69E8A261C8D3}" type="presParOf" srcId="{0F81A65E-600A-4EF7-8E9B-9772982C5DCE}" destId="{9D3452DA-3244-413B-BFA8-DD2436F9ADD7}" srcOrd="7" destOrd="0" presId="urn:microsoft.com/office/officeart/2005/8/layout/cycle2"/>
    <dgm:cxn modelId="{2E00962A-1C9F-4489-B922-701291CA1018}" type="presParOf" srcId="{9D3452DA-3244-413B-BFA8-DD2436F9ADD7}" destId="{E431ED9A-183F-4713-9BB1-C5B79CBEFB8A}" srcOrd="0" destOrd="0" presId="urn:microsoft.com/office/officeart/2005/8/layout/cycle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E22786F-18E1-40F3-B8E9-E5785682D323}">
      <dsp:nvSpPr>
        <dsp:cNvPr id="0" name=""/>
        <dsp:cNvSpPr/>
      </dsp:nvSpPr>
      <dsp:spPr>
        <a:xfrm>
          <a:off x="1989474" y="689"/>
          <a:ext cx="1629370" cy="162937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b="1" kern="1200"/>
            <a:t>May review- confirmation or amendment of approach for June-Aug period and signals for August review provided</a:t>
          </a:r>
        </a:p>
      </dsp:txBody>
      <dsp:txXfrm>
        <a:off x="2228090" y="239305"/>
        <a:ext cx="1152138" cy="1152138"/>
      </dsp:txXfrm>
    </dsp:sp>
    <dsp:sp modelId="{5CF59783-AD55-4A59-A575-9F0779EB439C}">
      <dsp:nvSpPr>
        <dsp:cNvPr id="0" name=""/>
        <dsp:cNvSpPr/>
      </dsp:nvSpPr>
      <dsp:spPr>
        <a:xfrm rot="2700000">
          <a:off x="3443896" y="1396607"/>
          <a:ext cx="432905" cy="54991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111250">
            <a:lnSpc>
              <a:spcPct val="90000"/>
            </a:lnSpc>
            <a:spcBef>
              <a:spcPct val="0"/>
            </a:spcBef>
            <a:spcAft>
              <a:spcPct val="35000"/>
            </a:spcAft>
          </a:pPr>
          <a:endParaRPr lang="en-US" sz="2500" kern="1200"/>
        </a:p>
      </dsp:txBody>
      <dsp:txXfrm>
        <a:off x="3462915" y="1460673"/>
        <a:ext cx="303034" cy="329948"/>
      </dsp:txXfrm>
    </dsp:sp>
    <dsp:sp modelId="{DEE25544-C90A-4170-AF32-4ED7427E08B3}">
      <dsp:nvSpPr>
        <dsp:cNvPr id="0" name=""/>
        <dsp:cNvSpPr/>
      </dsp:nvSpPr>
      <dsp:spPr>
        <a:xfrm>
          <a:off x="3719180" y="1730394"/>
          <a:ext cx="1629370" cy="162937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b="1" kern="1200"/>
            <a:t>August review- confirmation or amendment  of approach for Sept-Nov period and signals for November review provided</a:t>
          </a:r>
        </a:p>
      </dsp:txBody>
      <dsp:txXfrm>
        <a:off x="3957796" y="1969010"/>
        <a:ext cx="1152138" cy="1152138"/>
      </dsp:txXfrm>
    </dsp:sp>
    <dsp:sp modelId="{16308983-DA91-4CBA-B6B9-96B1652B7264}">
      <dsp:nvSpPr>
        <dsp:cNvPr id="0" name=""/>
        <dsp:cNvSpPr/>
      </dsp:nvSpPr>
      <dsp:spPr>
        <a:xfrm rot="8100000">
          <a:off x="3461223" y="3126312"/>
          <a:ext cx="432905" cy="54991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111250">
            <a:lnSpc>
              <a:spcPct val="90000"/>
            </a:lnSpc>
            <a:spcBef>
              <a:spcPct val="0"/>
            </a:spcBef>
            <a:spcAft>
              <a:spcPct val="35000"/>
            </a:spcAft>
          </a:pPr>
          <a:endParaRPr lang="en-US" sz="2500" kern="1200"/>
        </a:p>
      </dsp:txBody>
      <dsp:txXfrm rot="10800000">
        <a:off x="3572075" y="3190378"/>
        <a:ext cx="303034" cy="329948"/>
      </dsp:txXfrm>
    </dsp:sp>
    <dsp:sp modelId="{1E58B699-F1EC-45EB-BCFB-43952257C4E3}">
      <dsp:nvSpPr>
        <dsp:cNvPr id="0" name=""/>
        <dsp:cNvSpPr/>
      </dsp:nvSpPr>
      <dsp:spPr>
        <a:xfrm>
          <a:off x="1989474" y="3460100"/>
          <a:ext cx="1629370" cy="162937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b="1" kern="1200"/>
            <a:t>November review- confirmation or amendment  of approach for Dec-Feb period and signals for Feb review provided</a:t>
          </a:r>
        </a:p>
      </dsp:txBody>
      <dsp:txXfrm>
        <a:off x="2228090" y="3698716"/>
        <a:ext cx="1152138" cy="1152138"/>
      </dsp:txXfrm>
    </dsp:sp>
    <dsp:sp modelId="{E691B7CD-F0E7-44FD-80EF-120C09599DAB}">
      <dsp:nvSpPr>
        <dsp:cNvPr id="0" name=""/>
        <dsp:cNvSpPr/>
      </dsp:nvSpPr>
      <dsp:spPr>
        <a:xfrm rot="13500000">
          <a:off x="1731518" y="3143639"/>
          <a:ext cx="432905" cy="54991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111250">
            <a:lnSpc>
              <a:spcPct val="90000"/>
            </a:lnSpc>
            <a:spcBef>
              <a:spcPct val="0"/>
            </a:spcBef>
            <a:spcAft>
              <a:spcPct val="35000"/>
            </a:spcAft>
          </a:pPr>
          <a:endParaRPr lang="en-US" sz="2500" kern="1200"/>
        </a:p>
      </dsp:txBody>
      <dsp:txXfrm rot="10800000">
        <a:off x="1842370" y="3299537"/>
        <a:ext cx="303034" cy="329948"/>
      </dsp:txXfrm>
    </dsp:sp>
    <dsp:sp modelId="{4F565C05-863C-4A93-BF4F-DB0CA853DDF0}">
      <dsp:nvSpPr>
        <dsp:cNvPr id="0" name=""/>
        <dsp:cNvSpPr/>
      </dsp:nvSpPr>
      <dsp:spPr>
        <a:xfrm>
          <a:off x="259769" y="1730394"/>
          <a:ext cx="1629370" cy="162937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b="1" kern="1200"/>
            <a:t>Feb review- confirmation or amendment  of approach for Mar-May period and signals for May review provided</a:t>
          </a:r>
        </a:p>
      </dsp:txBody>
      <dsp:txXfrm>
        <a:off x="498385" y="1969010"/>
        <a:ext cx="1152138" cy="1152138"/>
      </dsp:txXfrm>
    </dsp:sp>
    <dsp:sp modelId="{9D3452DA-3244-413B-BFA8-DD2436F9ADD7}">
      <dsp:nvSpPr>
        <dsp:cNvPr id="0" name=""/>
        <dsp:cNvSpPr/>
      </dsp:nvSpPr>
      <dsp:spPr>
        <a:xfrm rot="18900000">
          <a:off x="1714191" y="1413934"/>
          <a:ext cx="432905" cy="54991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111250">
            <a:lnSpc>
              <a:spcPct val="90000"/>
            </a:lnSpc>
            <a:spcBef>
              <a:spcPct val="0"/>
            </a:spcBef>
            <a:spcAft>
              <a:spcPct val="35000"/>
            </a:spcAft>
          </a:pPr>
          <a:endParaRPr lang="en-US" sz="2500" kern="1200"/>
        </a:p>
      </dsp:txBody>
      <dsp:txXfrm>
        <a:off x="1733210" y="1569832"/>
        <a:ext cx="303034" cy="329948"/>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BA330934620417486583590388CBDBA"/>
        <w:category>
          <w:name w:val="General"/>
          <w:gallery w:val="placeholder"/>
        </w:category>
        <w:types>
          <w:type w:val="bbPlcHdr"/>
        </w:types>
        <w:behaviors>
          <w:behavior w:val="content"/>
        </w:behaviors>
        <w:guid w:val="{B7188001-53F9-4CF1-BB50-74F4E7E18D37}"/>
      </w:docPartPr>
      <w:docPartBody>
        <w:p w:rsidR="00FE63DC" w:rsidRDefault="00C94E69" w:rsidP="00C94E69">
          <w:pPr>
            <w:pStyle w:val="FBA330934620417486583590388CBDBA1"/>
          </w:pPr>
          <w:r w:rsidRPr="008345BA">
            <w:rPr>
              <w:rStyle w:val="Strong"/>
              <w:lang w:val="en-GB"/>
            </w:rPr>
            <w:t>Click to 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panose1 w:val="00000000000000000000"/>
    <w:charset w:val="00"/>
    <w:family w:val="roman"/>
    <w:notTrueType/>
    <w:pitch w:val="variable"/>
    <w:sig w:usb0="60000287" w:usb1="00000001" w:usb2="00000000" w:usb3="00000000" w:csb0="0000019F" w:csb1="00000000"/>
  </w:font>
  <w:font w:name="DIN Light">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17C"/>
    <w:rsid w:val="00012405"/>
    <w:rsid w:val="000D2DFB"/>
    <w:rsid w:val="000F13AF"/>
    <w:rsid w:val="000F733E"/>
    <w:rsid w:val="001E6945"/>
    <w:rsid w:val="00362A2C"/>
    <w:rsid w:val="003C55F2"/>
    <w:rsid w:val="00611937"/>
    <w:rsid w:val="0067688E"/>
    <w:rsid w:val="006D617C"/>
    <w:rsid w:val="006E5C22"/>
    <w:rsid w:val="00737A75"/>
    <w:rsid w:val="008112E5"/>
    <w:rsid w:val="00862D91"/>
    <w:rsid w:val="008C73F0"/>
    <w:rsid w:val="009E7B09"/>
    <w:rsid w:val="00AB2F9F"/>
    <w:rsid w:val="00AD5495"/>
    <w:rsid w:val="00B90FE6"/>
    <w:rsid w:val="00C349D4"/>
    <w:rsid w:val="00C75F5F"/>
    <w:rsid w:val="00C94E69"/>
    <w:rsid w:val="00D9445C"/>
    <w:rsid w:val="00D9490F"/>
    <w:rsid w:val="00F20FF6"/>
    <w:rsid w:val="00F621FF"/>
    <w:rsid w:val="00FE6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4E69"/>
    <w:rPr>
      <w:color w:val="808080"/>
    </w:rPr>
  </w:style>
  <w:style w:type="paragraph" w:customStyle="1" w:styleId="A64396259BB54119B15F24C5B3E8D749">
    <w:name w:val="A64396259BB54119B15F24C5B3E8D749"/>
    <w:rsid w:val="006D617C"/>
  </w:style>
  <w:style w:type="paragraph" w:customStyle="1" w:styleId="DEBEA47C09C44534B2D3879BDE2AE1D9">
    <w:name w:val="DEBEA47C09C44534B2D3879BDE2AE1D9"/>
    <w:rsid w:val="006D617C"/>
  </w:style>
  <w:style w:type="paragraph" w:customStyle="1" w:styleId="3C47B00165324E07850AC98437EEB872">
    <w:name w:val="3C47B00165324E07850AC98437EEB872"/>
    <w:rsid w:val="00C94E69"/>
    <w:rPr>
      <w:lang w:val="en-GB" w:eastAsia="en-GB"/>
    </w:rPr>
  </w:style>
  <w:style w:type="paragraph" w:customStyle="1" w:styleId="A038800960C742A883D35008D7562FB7">
    <w:name w:val="A038800960C742A883D35008D7562FB7"/>
    <w:rsid w:val="00C94E69"/>
    <w:rPr>
      <w:lang w:val="en-GB" w:eastAsia="en-GB"/>
    </w:rPr>
  </w:style>
  <w:style w:type="paragraph" w:customStyle="1" w:styleId="B99FC89EFF4B44B08F5AEE9BEEAC4CB6">
    <w:name w:val="B99FC89EFF4B44B08F5AEE9BEEAC4CB6"/>
    <w:rsid w:val="00C94E69"/>
    <w:rPr>
      <w:lang w:val="en-GB" w:eastAsia="en-GB"/>
    </w:rPr>
  </w:style>
  <w:style w:type="paragraph" w:customStyle="1" w:styleId="4497B8533E25433F808ADF32BDC86B3A">
    <w:name w:val="4497B8533E25433F808ADF32BDC86B3A"/>
    <w:rsid w:val="00C94E69"/>
    <w:rPr>
      <w:lang w:val="en-GB" w:eastAsia="en-GB"/>
    </w:rPr>
  </w:style>
  <w:style w:type="paragraph" w:customStyle="1" w:styleId="FBA330934620417486583590388CBDBA">
    <w:name w:val="FBA330934620417486583590388CBDBA"/>
    <w:rsid w:val="00C94E69"/>
    <w:rPr>
      <w:lang w:val="en-GB" w:eastAsia="en-GB"/>
    </w:rPr>
  </w:style>
  <w:style w:type="character" w:styleId="Strong">
    <w:name w:val="Strong"/>
    <w:aliases w:val="Blue Bold"/>
    <w:basedOn w:val="DefaultParagraphFont"/>
    <w:uiPriority w:val="22"/>
    <w:qFormat/>
    <w:rsid w:val="00C94E69"/>
    <w:rPr>
      <w:b/>
      <w:bCs/>
      <w:color w:val="000000" w:themeColor="text1"/>
    </w:rPr>
  </w:style>
  <w:style w:type="paragraph" w:customStyle="1" w:styleId="FBA330934620417486583590388CBDBA1">
    <w:name w:val="FBA330934620417486583590388CBDBA1"/>
    <w:rsid w:val="00C94E69"/>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Elexon v1">
  <a:themeElements>
    <a:clrScheme name="Revised Elexon">
      <a:dk1>
        <a:srgbClr val="00008B"/>
      </a:dk1>
      <a:lt1>
        <a:srgbClr val="FFFFFF"/>
      </a:lt1>
      <a:dk2>
        <a:srgbClr val="231F20"/>
      </a:dk2>
      <a:lt2>
        <a:srgbClr val="FFFFFF"/>
      </a:lt2>
      <a:accent1>
        <a:srgbClr val="00008B"/>
      </a:accent1>
      <a:accent2>
        <a:srgbClr val="FFD518"/>
      </a:accent2>
      <a:accent3>
        <a:srgbClr val="FF3F3F"/>
      </a:accent3>
      <a:accent4>
        <a:srgbClr val="A0C4E5"/>
      </a:accent4>
      <a:accent5>
        <a:srgbClr val="1C444C"/>
      </a:accent5>
      <a:accent6>
        <a:srgbClr val="F68B00"/>
      </a:accent6>
      <a:hlink>
        <a:srgbClr val="21DBAD"/>
      </a:hlink>
      <a:folHlink>
        <a:srgbClr val="00008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Elexon v1" id="{42AAC1CA-C947-4DC7-A732-9774A42C82FE}" vid="{39585881-AB66-4B4E-9716-A14877EC27E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9541E4-73F3-44AD-B8B8-F459FFE5A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10</Pages>
  <Words>4043</Words>
  <Characters>23046</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Millar</dc:creator>
  <cp:keywords/>
  <dc:description/>
  <cp:lastModifiedBy>Anna Millar</cp:lastModifiedBy>
  <cp:revision>3</cp:revision>
  <cp:lastPrinted>2020-10-12T10:52:00Z</cp:lastPrinted>
  <dcterms:created xsi:type="dcterms:W3CDTF">2021-05-17T13:53:00Z</dcterms:created>
  <dcterms:modified xsi:type="dcterms:W3CDTF">2021-05-19T20:10:00Z</dcterms:modified>
</cp:coreProperties>
</file>