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4899C" w14:textId="3E065FCD" w:rsidR="00B63954" w:rsidRPr="00881961" w:rsidRDefault="006209D4" w:rsidP="00B63954">
      <w:pPr>
        <w:pStyle w:val="Heading1"/>
      </w:pPr>
      <w:r>
        <w:t>Performance Thresholds</w:t>
      </w:r>
      <w:r w:rsidR="00D20B5F">
        <w:t xml:space="preserve"> Review</w:t>
      </w:r>
    </w:p>
    <w:p w14:paraId="13AFDF38" w14:textId="77777777" w:rsidR="00B63954" w:rsidRPr="00881961" w:rsidRDefault="0083462B" w:rsidP="00694395">
      <w:pPr>
        <w:pStyle w:val="Heading2"/>
      </w:pPr>
      <w:r>
        <w:rPr>
          <w:rStyle w:val="Strong"/>
          <w:b/>
          <w:bCs/>
          <w:color w:val="00008C"/>
        </w:rPr>
        <w:t>Performance Assurance Board (PAB)</w:t>
      </w:r>
    </w:p>
    <w:tbl>
      <w:tblPr>
        <w:tblStyle w:val="TableGrid"/>
        <w:tblW w:w="10546" w:type="dxa"/>
        <w:jc w:val="center"/>
        <w:tblBorders>
          <w:left w:val="single" w:sz="4" w:space="0" w:color="auto"/>
          <w:right w:val="single" w:sz="4" w:space="0" w:color="auto"/>
        </w:tblBorders>
        <w:tblCellMar>
          <w:left w:w="0" w:type="dxa"/>
          <w:right w:w="0" w:type="dxa"/>
        </w:tblCellMar>
        <w:tblLook w:val="04A0" w:firstRow="1" w:lastRow="0" w:firstColumn="1" w:lastColumn="0" w:noHBand="0" w:noVBand="1"/>
      </w:tblPr>
      <w:tblGrid>
        <w:gridCol w:w="1701"/>
        <w:gridCol w:w="3453"/>
        <w:gridCol w:w="237"/>
        <w:gridCol w:w="1555"/>
        <w:gridCol w:w="3600"/>
      </w:tblGrid>
      <w:tr w:rsidR="00E92F8B" w:rsidRPr="00881961" w14:paraId="02BCE979" w14:textId="77777777" w:rsidTr="004F575B">
        <w:trPr>
          <w:trHeight w:val="680"/>
          <w:jc w:val="center"/>
        </w:trPr>
        <w:tc>
          <w:tcPr>
            <w:tcW w:w="1701" w:type="dxa"/>
            <w:tcBorders>
              <w:top w:val="single" w:sz="4" w:space="0" w:color="231F20" w:themeColor="text2"/>
              <w:left w:val="nil"/>
              <w:right w:val="nil"/>
            </w:tcBorders>
          </w:tcPr>
          <w:p w14:paraId="5D132E00" w14:textId="77777777" w:rsidR="00E92F8B" w:rsidRPr="00881961" w:rsidRDefault="00E92F8B" w:rsidP="00E92F8B">
            <w:pPr>
              <w:pStyle w:val="ElexonTableTextSmall"/>
            </w:pPr>
            <w:r w:rsidRPr="00881961">
              <w:t>Date of meeting</w:t>
            </w:r>
          </w:p>
        </w:tc>
        <w:tc>
          <w:tcPr>
            <w:tcW w:w="3453" w:type="dxa"/>
            <w:tcBorders>
              <w:top w:val="single" w:sz="4" w:space="0" w:color="231F20" w:themeColor="text2"/>
              <w:left w:val="nil"/>
              <w:right w:val="nil"/>
            </w:tcBorders>
          </w:tcPr>
          <w:p w14:paraId="43D89ADB" w14:textId="5B505B88" w:rsidR="00E92F8B" w:rsidRPr="00881961" w:rsidRDefault="00972F78" w:rsidP="00C036AD">
            <w:pPr>
              <w:pStyle w:val="ElexonTableTextLarge"/>
              <w:rPr>
                <w:rStyle w:val="Strong"/>
              </w:rPr>
            </w:pPr>
            <w:r>
              <w:rPr>
                <w:rStyle w:val="Strong"/>
              </w:rPr>
              <w:t>2</w:t>
            </w:r>
            <w:r w:rsidR="00C036AD">
              <w:rPr>
                <w:rStyle w:val="Strong"/>
              </w:rPr>
              <w:t>6</w:t>
            </w:r>
            <w:r>
              <w:rPr>
                <w:rStyle w:val="Strong"/>
              </w:rPr>
              <w:t xml:space="preserve"> </w:t>
            </w:r>
            <w:r w:rsidR="00C036AD">
              <w:rPr>
                <w:rStyle w:val="Strong"/>
              </w:rPr>
              <w:t>August</w:t>
            </w:r>
            <w:r w:rsidR="00827C18">
              <w:rPr>
                <w:rStyle w:val="Strong"/>
              </w:rPr>
              <w:t xml:space="preserve"> 2021</w:t>
            </w:r>
          </w:p>
        </w:tc>
        <w:tc>
          <w:tcPr>
            <w:tcW w:w="237" w:type="dxa"/>
            <w:tcBorders>
              <w:top w:val="nil"/>
              <w:left w:val="nil"/>
              <w:bottom w:val="nil"/>
            </w:tcBorders>
          </w:tcPr>
          <w:p w14:paraId="67B989C4" w14:textId="77777777" w:rsidR="00E92F8B" w:rsidRPr="00881961" w:rsidRDefault="00E92F8B" w:rsidP="00E92F8B"/>
        </w:tc>
        <w:tc>
          <w:tcPr>
            <w:tcW w:w="1555" w:type="dxa"/>
            <w:tcBorders>
              <w:right w:val="nil"/>
            </w:tcBorders>
          </w:tcPr>
          <w:p w14:paraId="53E7059C" w14:textId="77777777" w:rsidR="00E92F8B" w:rsidRPr="00881961" w:rsidRDefault="00E92F8B" w:rsidP="00E92F8B">
            <w:pPr>
              <w:pStyle w:val="ElexonTableTextSmall"/>
            </w:pPr>
            <w:r w:rsidRPr="00881961">
              <w:t>Paper number</w:t>
            </w:r>
          </w:p>
        </w:tc>
        <w:tc>
          <w:tcPr>
            <w:tcW w:w="3600" w:type="dxa"/>
            <w:tcBorders>
              <w:right w:val="nil"/>
            </w:tcBorders>
          </w:tcPr>
          <w:p w14:paraId="60CF109B" w14:textId="00CAED73" w:rsidR="00E92F8B" w:rsidRPr="00881961" w:rsidRDefault="009866E6" w:rsidP="00972F78">
            <w:pPr>
              <w:pStyle w:val="ElexonTableTextLarge"/>
              <w:rPr>
                <w:rStyle w:val="Strong"/>
              </w:rPr>
            </w:pPr>
            <w:r>
              <w:rPr>
                <w:rStyle w:val="Strong"/>
              </w:rPr>
              <w:t>PAB2</w:t>
            </w:r>
            <w:r w:rsidR="00972F78">
              <w:rPr>
                <w:rStyle w:val="Strong"/>
              </w:rPr>
              <w:t>4</w:t>
            </w:r>
            <w:r w:rsidR="000A436A">
              <w:rPr>
                <w:rStyle w:val="Strong"/>
              </w:rPr>
              <w:t>7</w:t>
            </w:r>
            <w:r w:rsidR="00972F78">
              <w:rPr>
                <w:rStyle w:val="Strong"/>
              </w:rPr>
              <w:t>/</w:t>
            </w:r>
            <w:r w:rsidR="00922ED3">
              <w:rPr>
                <w:rStyle w:val="Strong"/>
              </w:rPr>
              <w:t>03</w:t>
            </w:r>
            <w:r w:rsidR="00B54300">
              <w:rPr>
                <w:rStyle w:val="Strong"/>
              </w:rPr>
              <w:t>D</w:t>
            </w:r>
          </w:p>
        </w:tc>
      </w:tr>
      <w:tr w:rsidR="00E92F8B" w:rsidRPr="00881961" w14:paraId="2D347CF4" w14:textId="77777777" w:rsidTr="009F28C7">
        <w:trPr>
          <w:trHeight w:val="680"/>
          <w:jc w:val="center"/>
        </w:trPr>
        <w:tc>
          <w:tcPr>
            <w:tcW w:w="1701" w:type="dxa"/>
            <w:tcBorders>
              <w:top w:val="single" w:sz="4" w:space="0" w:color="231F20" w:themeColor="text2"/>
              <w:left w:val="nil"/>
              <w:bottom w:val="single" w:sz="4" w:space="0" w:color="auto"/>
              <w:right w:val="nil"/>
            </w:tcBorders>
          </w:tcPr>
          <w:p w14:paraId="24556E4C" w14:textId="77777777" w:rsidR="00E92F8B" w:rsidRPr="00881961" w:rsidRDefault="00E92F8B" w:rsidP="00E92F8B">
            <w:pPr>
              <w:pStyle w:val="ElexonTableTextSmall"/>
            </w:pPr>
            <w:r w:rsidRPr="00881961">
              <w:t>Owner/author</w:t>
            </w:r>
          </w:p>
        </w:tc>
        <w:tc>
          <w:tcPr>
            <w:tcW w:w="3453" w:type="dxa"/>
            <w:tcBorders>
              <w:top w:val="single" w:sz="4" w:space="0" w:color="231F20" w:themeColor="text2"/>
              <w:left w:val="nil"/>
              <w:bottom w:val="single" w:sz="4" w:space="0" w:color="auto"/>
              <w:right w:val="nil"/>
            </w:tcBorders>
          </w:tcPr>
          <w:p w14:paraId="7C751AF2" w14:textId="77777777" w:rsidR="00E92F8B" w:rsidRPr="00881961" w:rsidRDefault="0032638D" w:rsidP="00535B5A">
            <w:pPr>
              <w:pStyle w:val="ElexonTableTextLarge"/>
              <w:rPr>
                <w:rStyle w:val="Strong"/>
              </w:rPr>
            </w:pPr>
            <w:r>
              <w:rPr>
                <w:rStyle w:val="Strong"/>
              </w:rPr>
              <w:t>Anna Millar</w:t>
            </w:r>
          </w:p>
        </w:tc>
        <w:tc>
          <w:tcPr>
            <w:tcW w:w="237" w:type="dxa"/>
            <w:tcBorders>
              <w:top w:val="nil"/>
              <w:left w:val="nil"/>
              <w:bottom w:val="nil"/>
            </w:tcBorders>
          </w:tcPr>
          <w:p w14:paraId="3397B5BE" w14:textId="77777777" w:rsidR="00E92F8B" w:rsidRPr="00881961" w:rsidRDefault="00E92F8B" w:rsidP="000117E1"/>
        </w:tc>
        <w:tc>
          <w:tcPr>
            <w:tcW w:w="1555" w:type="dxa"/>
            <w:tcBorders>
              <w:right w:val="nil"/>
            </w:tcBorders>
          </w:tcPr>
          <w:p w14:paraId="5E240F5E" w14:textId="77777777" w:rsidR="00E92F8B" w:rsidRPr="00881961" w:rsidRDefault="00E92F8B" w:rsidP="00E92F8B">
            <w:pPr>
              <w:pStyle w:val="ElexonTableTextSmall"/>
            </w:pPr>
            <w:r w:rsidRPr="00881961">
              <w:t>Purpose of paper</w:t>
            </w:r>
          </w:p>
        </w:tc>
        <w:tc>
          <w:tcPr>
            <w:tcW w:w="3600" w:type="dxa"/>
            <w:tcBorders>
              <w:right w:val="nil"/>
            </w:tcBorders>
          </w:tcPr>
          <w:p w14:paraId="286E5EB8" w14:textId="77777777" w:rsidR="00E92F8B" w:rsidRPr="00881961" w:rsidRDefault="00166330" w:rsidP="00166330">
            <w:pPr>
              <w:pStyle w:val="ElexonTableTextLarge"/>
              <w:rPr>
                <w:rStyle w:val="Strong"/>
              </w:rPr>
            </w:pPr>
            <w:r>
              <w:rPr>
                <w:rStyle w:val="Strong"/>
              </w:rPr>
              <w:t>Attachment</w:t>
            </w:r>
          </w:p>
        </w:tc>
      </w:tr>
      <w:tr w:rsidR="008375C3" w:rsidRPr="00881961" w14:paraId="088CDE8C" w14:textId="77777777" w:rsidTr="009F28C7">
        <w:trPr>
          <w:trHeight w:val="680"/>
          <w:jc w:val="center"/>
        </w:trPr>
        <w:tc>
          <w:tcPr>
            <w:tcW w:w="1701" w:type="dxa"/>
            <w:tcBorders>
              <w:top w:val="single" w:sz="4" w:space="0" w:color="231F20" w:themeColor="text2"/>
              <w:left w:val="nil"/>
              <w:bottom w:val="single" w:sz="4" w:space="0" w:color="auto"/>
              <w:right w:val="nil"/>
            </w:tcBorders>
          </w:tcPr>
          <w:p w14:paraId="51AA7AC0" w14:textId="77777777" w:rsidR="008375C3" w:rsidRPr="00881961" w:rsidRDefault="008375C3" w:rsidP="00E92F8B">
            <w:pPr>
              <w:pStyle w:val="ElexonTableTextSmall"/>
            </w:pPr>
            <w:r w:rsidRPr="00881961">
              <w:t>Classification</w:t>
            </w:r>
          </w:p>
        </w:tc>
        <w:tc>
          <w:tcPr>
            <w:tcW w:w="3453" w:type="dxa"/>
            <w:tcBorders>
              <w:top w:val="single" w:sz="4" w:space="0" w:color="231F20" w:themeColor="text2"/>
              <w:left w:val="nil"/>
              <w:bottom w:val="single" w:sz="4" w:space="0" w:color="auto"/>
              <w:right w:val="nil"/>
            </w:tcBorders>
          </w:tcPr>
          <w:p w14:paraId="1433F6FD" w14:textId="77777777" w:rsidR="008375C3" w:rsidRPr="00881961" w:rsidRDefault="0061309B" w:rsidP="00535B5A">
            <w:pPr>
              <w:pStyle w:val="ElexonTableTextLarge"/>
              <w:rPr>
                <w:rStyle w:val="Strong"/>
              </w:rPr>
            </w:pPr>
            <w:sdt>
              <w:sdtPr>
                <w:rPr>
                  <w:rStyle w:val="Strong"/>
                </w:rPr>
                <w:id w:val="537404265"/>
                <w:placeholder>
                  <w:docPart w:val="FBA330934620417486583590388CBDBA"/>
                </w:placeholder>
                <w:dropDownList>
                  <w:listItem w:value="Choose an item:"/>
                  <w:listItem w:displayText="Restricted" w:value="Restricted"/>
                  <w:listItem w:displayText="Commercial in confidence" w:value="Commercial in confidence"/>
                  <w:listItem w:displayText="Confidential" w:value="Confidential"/>
                  <w:listItem w:displayText="Public" w:value="Public"/>
                </w:dropDownList>
              </w:sdtPr>
              <w:sdtEndPr>
                <w:rPr>
                  <w:rStyle w:val="DefaultParagraphFont"/>
                  <w:rFonts w:ascii="Tahoma" w:eastAsia="Times New Roman" w:hAnsi="Tahoma" w:cs="Tahoma"/>
                  <w:b w:val="0"/>
                  <w:bCs w:val="0"/>
                  <w:color w:val="000000"/>
                  <w:sz w:val="20"/>
                  <w:szCs w:val="20"/>
                </w:rPr>
              </w:sdtEndPr>
              <w:sdtContent>
                <w:r w:rsidR="00827C18">
                  <w:rPr>
                    <w:rStyle w:val="Strong"/>
                  </w:rPr>
                  <w:t>Public</w:t>
                </w:r>
              </w:sdtContent>
            </w:sdt>
          </w:p>
        </w:tc>
        <w:tc>
          <w:tcPr>
            <w:tcW w:w="237" w:type="dxa"/>
            <w:tcBorders>
              <w:top w:val="nil"/>
              <w:left w:val="nil"/>
              <w:bottom w:val="nil"/>
            </w:tcBorders>
          </w:tcPr>
          <w:p w14:paraId="2896F638" w14:textId="77777777" w:rsidR="008375C3" w:rsidRPr="00881961" w:rsidRDefault="008375C3" w:rsidP="000117E1"/>
        </w:tc>
        <w:tc>
          <w:tcPr>
            <w:tcW w:w="1555" w:type="dxa"/>
            <w:tcBorders>
              <w:right w:val="nil"/>
            </w:tcBorders>
          </w:tcPr>
          <w:p w14:paraId="42707F8F" w14:textId="77777777" w:rsidR="008375C3" w:rsidRPr="00881961" w:rsidRDefault="008375C3" w:rsidP="00E92F8B">
            <w:pPr>
              <w:pStyle w:val="ElexonTableTextSmall"/>
            </w:pPr>
            <w:r w:rsidRPr="00881961">
              <w:t>Document version</w:t>
            </w:r>
          </w:p>
        </w:tc>
        <w:tc>
          <w:tcPr>
            <w:tcW w:w="3600" w:type="dxa"/>
            <w:tcBorders>
              <w:right w:val="nil"/>
            </w:tcBorders>
          </w:tcPr>
          <w:p w14:paraId="70DA7A25" w14:textId="1A62383C" w:rsidR="008375C3" w:rsidRPr="00881961" w:rsidRDefault="004525A1" w:rsidP="004525A1">
            <w:pPr>
              <w:pStyle w:val="ElexonTableTextLarge"/>
              <w:rPr>
                <w:rStyle w:val="Strong"/>
              </w:rPr>
            </w:pPr>
            <w:r>
              <w:rPr>
                <w:rStyle w:val="Strong"/>
              </w:rPr>
              <w:t>1.</w:t>
            </w:r>
            <w:r w:rsidR="00972F78">
              <w:rPr>
                <w:rStyle w:val="Strong"/>
              </w:rPr>
              <w:t>0</w:t>
            </w:r>
          </w:p>
        </w:tc>
      </w:tr>
    </w:tbl>
    <w:p w14:paraId="1F425323" w14:textId="77777777" w:rsidR="00694395" w:rsidRPr="00881961" w:rsidRDefault="00694395"/>
    <w:tbl>
      <w:tblPr>
        <w:tblStyle w:val="TableGrid"/>
        <w:tblW w:w="10546" w:type="dxa"/>
        <w:jc w:val="center"/>
        <w:tblBorders>
          <w:left w:val="single" w:sz="4" w:space="0" w:color="auto"/>
          <w:right w:val="single" w:sz="4" w:space="0" w:color="auto"/>
        </w:tblBorders>
        <w:tblCellMar>
          <w:top w:w="227" w:type="dxa"/>
          <w:left w:w="0" w:type="dxa"/>
          <w:bottom w:w="113" w:type="dxa"/>
          <w:right w:w="0" w:type="dxa"/>
        </w:tblCellMar>
        <w:tblLook w:val="04A0" w:firstRow="1" w:lastRow="0" w:firstColumn="1" w:lastColumn="0" w:noHBand="0" w:noVBand="1"/>
      </w:tblPr>
      <w:tblGrid>
        <w:gridCol w:w="1701"/>
        <w:gridCol w:w="8845"/>
      </w:tblGrid>
      <w:tr w:rsidR="009F28C7" w:rsidRPr="00881961" w14:paraId="1A790E0A" w14:textId="77777777" w:rsidTr="00694395">
        <w:trPr>
          <w:trHeight w:val="340"/>
          <w:jc w:val="center"/>
        </w:trPr>
        <w:tc>
          <w:tcPr>
            <w:tcW w:w="1701" w:type="dxa"/>
            <w:tcBorders>
              <w:left w:val="nil"/>
              <w:right w:val="nil"/>
            </w:tcBorders>
            <w:vAlign w:val="top"/>
          </w:tcPr>
          <w:p w14:paraId="4E7C3AFC" w14:textId="77777777" w:rsidR="009F28C7" w:rsidRPr="00881961" w:rsidRDefault="009F28C7" w:rsidP="00694395">
            <w:pPr>
              <w:pStyle w:val="ElexonTableTextSmall"/>
            </w:pPr>
            <w:r w:rsidRPr="00881961">
              <w:t>Summary</w:t>
            </w:r>
          </w:p>
        </w:tc>
        <w:tc>
          <w:tcPr>
            <w:tcW w:w="8845" w:type="dxa"/>
            <w:tcBorders>
              <w:left w:val="nil"/>
              <w:right w:val="nil"/>
            </w:tcBorders>
            <w:vAlign w:val="top"/>
          </w:tcPr>
          <w:p w14:paraId="0EEFA426" w14:textId="38339009" w:rsidR="009F28C7" w:rsidRPr="00881961" w:rsidRDefault="00411F26" w:rsidP="00411F26">
            <w:pPr>
              <w:pStyle w:val="ElexonTableTextLarge"/>
              <w:rPr>
                <w:rStyle w:val="Strong"/>
              </w:rPr>
            </w:pPr>
            <w:r>
              <w:rPr>
                <w:rStyle w:val="Strong"/>
              </w:rPr>
              <w:t>Recommendations to change the thresholds in place to manage the Supplier performance standards</w:t>
            </w:r>
          </w:p>
        </w:tc>
      </w:tr>
    </w:tbl>
    <w:p w14:paraId="311C4D02" w14:textId="77777777" w:rsidR="00C14A97" w:rsidRPr="00C14A97" w:rsidRDefault="00C14A97" w:rsidP="00C14A97">
      <w:pPr>
        <w:pStyle w:val="List"/>
      </w:pPr>
      <w:bookmarkStart w:id="0" w:name="_Hlk39571051"/>
      <w:r w:rsidRPr="00C14A97">
        <w:t>Background</w:t>
      </w:r>
    </w:p>
    <w:bookmarkEnd w:id="0"/>
    <w:p w14:paraId="58EDC132" w14:textId="3F00AF32" w:rsidR="003A4B52" w:rsidRPr="0073758D" w:rsidRDefault="00C14A97" w:rsidP="0073758D">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C14A97">
        <w:rPr>
          <w:rFonts w:ascii="Arial" w:hAnsi="Arial" w:cs="Arial"/>
          <w:color w:val="000000"/>
          <w:szCs w:val="18"/>
        </w:rPr>
        <w:t xml:space="preserve">In October 2020, the PAB carefully considered the best approach to take to monitoring and managing issues associated with the Performance Standards, including the deployment of </w:t>
      </w:r>
      <w:r w:rsidR="00241B56">
        <w:rPr>
          <w:rFonts w:ascii="Arial" w:hAnsi="Arial" w:cs="Arial"/>
          <w:color w:val="000000"/>
          <w:szCs w:val="18"/>
        </w:rPr>
        <w:t>Error and Failure</w:t>
      </w:r>
      <w:r w:rsidR="000405E2">
        <w:rPr>
          <w:rFonts w:ascii="Arial" w:hAnsi="Arial" w:cs="Arial"/>
          <w:color w:val="000000"/>
          <w:szCs w:val="18"/>
        </w:rPr>
        <w:t xml:space="preserve"> Resolution</w:t>
      </w:r>
      <w:r w:rsidR="00241B56">
        <w:rPr>
          <w:rFonts w:ascii="Arial" w:hAnsi="Arial" w:cs="Arial"/>
          <w:color w:val="000000"/>
          <w:szCs w:val="18"/>
        </w:rPr>
        <w:t xml:space="preserve"> </w:t>
      </w:r>
      <w:r w:rsidR="000405E2">
        <w:rPr>
          <w:rFonts w:ascii="Arial" w:hAnsi="Arial" w:cs="Arial"/>
          <w:color w:val="000000"/>
          <w:szCs w:val="18"/>
        </w:rPr>
        <w:t>(</w:t>
      </w:r>
      <w:r w:rsidRPr="00C14A97">
        <w:rPr>
          <w:rFonts w:ascii="Arial" w:hAnsi="Arial" w:cs="Arial"/>
          <w:color w:val="000000"/>
          <w:szCs w:val="18"/>
        </w:rPr>
        <w:t>EFR</w:t>
      </w:r>
      <w:r w:rsidR="008E5C73">
        <w:rPr>
          <w:rFonts w:ascii="Arial" w:hAnsi="Arial" w:cs="Arial"/>
          <w:color w:val="000000"/>
          <w:szCs w:val="18"/>
        </w:rPr>
        <w:t>)</w:t>
      </w:r>
      <w:r w:rsidR="002850BF">
        <w:rPr>
          <w:rFonts w:ascii="Arial" w:hAnsi="Arial" w:cs="Arial"/>
          <w:color w:val="000000"/>
          <w:szCs w:val="18"/>
        </w:rPr>
        <w:t xml:space="preserve"> following the pausing of the technique during the first lockdown</w:t>
      </w:r>
      <w:r w:rsidRPr="00C14A97">
        <w:rPr>
          <w:rFonts w:ascii="Arial" w:hAnsi="Arial" w:cs="Arial"/>
          <w:color w:val="000000"/>
          <w:szCs w:val="18"/>
        </w:rPr>
        <w:t xml:space="preserve">. </w:t>
      </w:r>
    </w:p>
    <w:p w14:paraId="1D05BFE3" w14:textId="10B9F18A" w:rsidR="003A4B52" w:rsidRPr="003A4B52" w:rsidRDefault="002850BF" w:rsidP="003A4B52">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Since then, Elexon and the PAB has reviewed the approach on a quarterly basis. The papers for all the threshold review papers are public and available on the Elexon website</w:t>
      </w:r>
      <w:r w:rsidR="00BB3B64">
        <w:rPr>
          <w:rFonts w:ascii="Arial" w:hAnsi="Arial" w:cs="Arial"/>
          <w:color w:val="000000"/>
          <w:szCs w:val="18"/>
        </w:rPr>
        <w:t xml:space="preserve">. </w:t>
      </w:r>
      <w:r w:rsidR="0073758D">
        <w:rPr>
          <w:rFonts w:ascii="Arial" w:hAnsi="Arial" w:cs="Arial"/>
          <w:color w:val="000000"/>
          <w:szCs w:val="18"/>
        </w:rPr>
        <w:t xml:space="preserve">These set out the logic of past reviews and the previous thresholds agreed. </w:t>
      </w:r>
      <w:r w:rsidR="00BB3B64">
        <w:rPr>
          <w:rFonts w:ascii="Arial" w:hAnsi="Arial" w:cs="Arial"/>
          <w:color w:val="000000"/>
          <w:szCs w:val="18"/>
        </w:rPr>
        <w:t>The current principles agreed by the PAB are:</w:t>
      </w:r>
    </w:p>
    <w:p w14:paraId="017908A9" w14:textId="6D755CD3" w:rsidR="00BB3B64" w:rsidRDefault="00C14A97" w:rsidP="00C14A97">
      <w:pPr>
        <w:numPr>
          <w:ilvl w:val="0"/>
          <w:numId w:val="12"/>
        </w:numPr>
        <w:spacing w:after="160" w:line="259" w:lineRule="auto"/>
        <w:contextualSpacing/>
      </w:pPr>
      <w:r w:rsidRPr="00C14A97">
        <w:t xml:space="preserve">There </w:t>
      </w:r>
      <w:r w:rsidR="00BB3B64">
        <w:t>will be</w:t>
      </w:r>
      <w:r w:rsidRPr="00C14A97">
        <w:t xml:space="preserve"> an ongoing quarterly review approach taken to managing performance standards and the application of EFR</w:t>
      </w:r>
      <w:r w:rsidR="00BB3B64">
        <w:t>;</w:t>
      </w:r>
    </w:p>
    <w:p w14:paraId="0164134E" w14:textId="4A1ECC88" w:rsidR="00BB3B64" w:rsidRDefault="00BB3B64" w:rsidP="00BB3B64">
      <w:pPr>
        <w:numPr>
          <w:ilvl w:val="0"/>
          <w:numId w:val="12"/>
        </w:numPr>
        <w:spacing w:after="160" w:line="259" w:lineRule="auto"/>
        <w:contextualSpacing/>
      </w:pPr>
      <w:r>
        <w:t>These reviews</w:t>
      </w:r>
      <w:r w:rsidR="00EE490E">
        <w:t xml:space="preserve"> will set the threshold for </w:t>
      </w:r>
      <w:r w:rsidR="00922ED3">
        <w:t>‘</w:t>
      </w:r>
      <w:r w:rsidR="00EE490E">
        <w:t>focus Suppliers</w:t>
      </w:r>
      <w:r w:rsidR="00922ED3">
        <w:t>’</w:t>
      </w:r>
      <w:r w:rsidR="00EE490E">
        <w:t xml:space="preserve"> for the </w:t>
      </w:r>
      <w:r>
        <w:t>next quarter and provide an indication of what i</w:t>
      </w:r>
      <w:r w:rsidR="00FF7CA7">
        <w:t>s likely for the subsequent one</w:t>
      </w:r>
      <w:r w:rsidR="00922ED3">
        <w:t>. The indication for the subsequent review</w:t>
      </w:r>
      <w:r w:rsidR="005D6A9D">
        <w:t xml:space="preserve"> would still require confirmation at the next quarterly review</w:t>
      </w:r>
      <w:r w:rsidR="00922ED3">
        <w:t>,</w:t>
      </w:r>
      <w:r w:rsidR="005D6A9D">
        <w:t xml:space="preserve"> but in providing this communication to the industry should help Suppliers to prepare for any changes and have forewarning of the potential of EFR at the next review;</w:t>
      </w:r>
    </w:p>
    <w:p w14:paraId="4047BD9D" w14:textId="092BD89D" w:rsidR="00FF7CA7" w:rsidRDefault="00BB3B64" w:rsidP="00BB3B64">
      <w:pPr>
        <w:numPr>
          <w:ilvl w:val="0"/>
          <w:numId w:val="12"/>
        </w:numPr>
        <w:spacing w:after="160" w:line="259" w:lineRule="auto"/>
        <w:contextualSpacing/>
      </w:pPr>
      <w:r w:rsidRPr="00C14A97">
        <w:t>Elexon and the PAB’s efforts would be predominantly focused on Suppliers with the largest volume of non-compliant estimation (‘focus Suppliers’);</w:t>
      </w:r>
      <w:r>
        <w:t xml:space="preserve"> </w:t>
      </w:r>
    </w:p>
    <w:p w14:paraId="50A0EFF3" w14:textId="30481437" w:rsidR="00BB3B64" w:rsidRDefault="00922ED3" w:rsidP="00BB3B64">
      <w:pPr>
        <w:numPr>
          <w:ilvl w:val="0"/>
          <w:numId w:val="12"/>
        </w:numPr>
        <w:spacing w:after="160" w:line="259" w:lineRule="auto"/>
        <w:contextualSpacing/>
      </w:pPr>
      <w:r>
        <w:t>W</w:t>
      </w:r>
      <w:r w:rsidR="00FF7CA7">
        <w:t>hilst there will be some fluctuation in the thresholds to take account of seasonal or significant e</w:t>
      </w:r>
      <w:r w:rsidR="00EE490E">
        <w:t>x</w:t>
      </w:r>
      <w:r w:rsidR="00FF7CA7">
        <w:t xml:space="preserve">ternal issues, the overall priority is </w:t>
      </w:r>
      <w:r w:rsidR="003A4B52">
        <w:t>to bring the</w:t>
      </w:r>
      <w:r w:rsidR="00FF7CA7">
        <w:t xml:space="preserve"> industry </w:t>
      </w:r>
      <w:r w:rsidR="003A4B52">
        <w:t>performance in line with the relevant standards and to then manage outliers and early risk indicators; and</w:t>
      </w:r>
    </w:p>
    <w:p w14:paraId="1ECC18E1" w14:textId="77777777" w:rsidR="00BB3B64" w:rsidRPr="00C14A97" w:rsidRDefault="00BB3B64" w:rsidP="00BB3B64">
      <w:pPr>
        <w:numPr>
          <w:ilvl w:val="0"/>
          <w:numId w:val="12"/>
        </w:numPr>
        <w:spacing w:after="160" w:line="259" w:lineRule="auto"/>
        <w:contextualSpacing/>
      </w:pPr>
      <w:r w:rsidRPr="00C14A97">
        <w:t xml:space="preserve">That the PAB expected all Suppliers, not just the focus Suppliers, to work to meet or maintain the Settlement standards. </w:t>
      </w:r>
    </w:p>
    <w:p w14:paraId="45D2210E" w14:textId="228943F4" w:rsidR="00BB3B64" w:rsidRDefault="00BB3B64" w:rsidP="00BB3B64">
      <w:pPr>
        <w:spacing w:after="160" w:line="259" w:lineRule="auto"/>
        <w:ind w:left="720"/>
        <w:contextualSpacing/>
      </w:pPr>
    </w:p>
    <w:p w14:paraId="0700A2B0" w14:textId="651D801F" w:rsidR="00BB3B64" w:rsidRPr="003A4B52" w:rsidRDefault="00860BEA" w:rsidP="003A4B52">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At the last threshold</w:t>
      </w:r>
      <w:r w:rsidR="003A4B52" w:rsidRPr="003A4B52">
        <w:rPr>
          <w:rFonts w:ascii="Arial" w:hAnsi="Arial" w:cs="Arial"/>
          <w:color w:val="000000"/>
          <w:szCs w:val="18"/>
        </w:rPr>
        <w:t xml:space="preserve"> review in May, the PAB agreed:</w:t>
      </w:r>
    </w:p>
    <w:p w14:paraId="2D6FBDEA" w14:textId="279B0108" w:rsidR="00A91D5C" w:rsidRPr="00800D25" w:rsidRDefault="00800D25" w:rsidP="001D5795">
      <w:pPr>
        <w:numPr>
          <w:ilvl w:val="0"/>
          <w:numId w:val="12"/>
        </w:numPr>
        <w:spacing w:after="160" w:line="259" w:lineRule="auto"/>
        <w:contextualSpacing/>
        <w:rPr>
          <w:rFonts w:ascii="Arial" w:hAnsi="Arial" w:cs="Arial"/>
          <w:color w:val="000000"/>
          <w:szCs w:val="18"/>
        </w:rPr>
      </w:pPr>
      <w:r>
        <w:t>T</w:t>
      </w:r>
      <w:r w:rsidR="00246857">
        <w:t>he focus Suppliers should be those with a</w:t>
      </w:r>
      <w:r w:rsidR="000405E2" w:rsidRPr="000405E2">
        <w:t xml:space="preserve"> monthly non-compliant esti</w:t>
      </w:r>
      <w:r>
        <w:t>mation volume of above 4</w:t>
      </w:r>
      <w:r w:rsidR="00246857">
        <w:t>,000MWh</w:t>
      </w:r>
      <w:r w:rsidR="00670DD3">
        <w:t xml:space="preserve"> in Half Hourly (HH) Measurement Class (MC) C, HH Sub 100kW and Non Half Hourly (NHH) markets respectively</w:t>
      </w:r>
      <w:r w:rsidR="00860BEA">
        <w:t xml:space="preserve"> for the quarter from May to July</w:t>
      </w:r>
      <w:r>
        <w:t>;</w:t>
      </w:r>
    </w:p>
    <w:p w14:paraId="01018F35" w14:textId="259C83A1" w:rsidR="00800D25" w:rsidRDefault="00800D25" w:rsidP="001D5795">
      <w:pPr>
        <w:numPr>
          <w:ilvl w:val="0"/>
          <w:numId w:val="12"/>
        </w:numPr>
        <w:spacing w:after="160" w:line="259" w:lineRule="auto"/>
        <w:contextualSpacing/>
        <w:rPr>
          <w:rFonts w:ascii="Arial" w:hAnsi="Arial" w:cs="Arial"/>
          <w:color w:val="000000"/>
          <w:szCs w:val="18"/>
        </w:rPr>
      </w:pPr>
      <w:r>
        <w:rPr>
          <w:rFonts w:ascii="Arial" w:hAnsi="Arial" w:cs="Arial"/>
          <w:color w:val="000000"/>
          <w:szCs w:val="18"/>
        </w:rPr>
        <w:t>That this threshold was likely to decrease to as low as 2,000MWh for</w:t>
      </w:r>
      <w:r w:rsidR="00860BEA">
        <w:rPr>
          <w:rFonts w:ascii="Arial" w:hAnsi="Arial" w:cs="Arial"/>
          <w:color w:val="000000"/>
          <w:szCs w:val="18"/>
        </w:rPr>
        <w:t xml:space="preserve"> the quarter from August to October</w:t>
      </w:r>
      <w:r w:rsidR="00EE490E">
        <w:rPr>
          <w:rFonts w:ascii="Arial" w:hAnsi="Arial" w:cs="Arial"/>
          <w:color w:val="000000"/>
          <w:szCs w:val="18"/>
        </w:rPr>
        <w:t xml:space="preserve"> </w:t>
      </w:r>
      <w:r w:rsidR="00807FD2">
        <w:rPr>
          <w:rFonts w:ascii="Arial" w:hAnsi="Arial" w:cs="Arial"/>
          <w:color w:val="000000"/>
          <w:szCs w:val="18"/>
        </w:rPr>
        <w:t>for all of the above market areas at this August review</w:t>
      </w:r>
      <w:r w:rsidR="00E60A01">
        <w:rPr>
          <w:rFonts w:ascii="Arial" w:hAnsi="Arial" w:cs="Arial"/>
          <w:color w:val="000000"/>
          <w:szCs w:val="18"/>
        </w:rPr>
        <w:t>.</w:t>
      </w:r>
      <w:r w:rsidR="00907EE2">
        <w:rPr>
          <w:rFonts w:ascii="Arial" w:hAnsi="Arial" w:cs="Arial"/>
          <w:color w:val="000000"/>
          <w:szCs w:val="18"/>
        </w:rPr>
        <w:t xml:space="preserve"> </w:t>
      </w:r>
      <w:r w:rsidR="00F334E7">
        <w:t xml:space="preserve">The </w:t>
      </w:r>
      <w:r w:rsidR="0061309B">
        <w:t>Settlement Dates</w:t>
      </w:r>
      <w:r w:rsidR="00F334E7">
        <w:t xml:space="preserve"> for these </w:t>
      </w:r>
      <w:r w:rsidR="0061309B">
        <w:t xml:space="preserve">reporting </w:t>
      </w:r>
      <w:r w:rsidR="00F334E7">
        <w:t>months are May to July 2021 for HH R1, and May to July 2020 for NHH RF</w:t>
      </w:r>
      <w:r>
        <w:rPr>
          <w:rFonts w:ascii="Arial" w:hAnsi="Arial" w:cs="Arial"/>
          <w:color w:val="000000"/>
          <w:szCs w:val="18"/>
        </w:rPr>
        <w:t>;</w:t>
      </w:r>
    </w:p>
    <w:p w14:paraId="221258A2" w14:textId="349CE78B" w:rsidR="00800D25" w:rsidRDefault="00860BEA" w:rsidP="001D5795">
      <w:pPr>
        <w:numPr>
          <w:ilvl w:val="0"/>
          <w:numId w:val="12"/>
        </w:numPr>
        <w:spacing w:after="160" w:line="259" w:lineRule="auto"/>
        <w:contextualSpacing/>
        <w:rPr>
          <w:rFonts w:ascii="Arial" w:hAnsi="Arial" w:cs="Arial"/>
          <w:color w:val="000000"/>
          <w:szCs w:val="18"/>
        </w:rPr>
      </w:pPr>
      <w:r>
        <w:rPr>
          <w:rFonts w:ascii="Arial" w:hAnsi="Arial" w:cs="Arial"/>
          <w:color w:val="000000"/>
          <w:szCs w:val="18"/>
        </w:rPr>
        <w:t xml:space="preserve">That the EFR exit criteria should be for Suppliers </w:t>
      </w:r>
      <w:r w:rsidR="00890B4D">
        <w:rPr>
          <w:rFonts w:ascii="Arial" w:hAnsi="Arial" w:cs="Arial"/>
          <w:color w:val="000000"/>
          <w:szCs w:val="18"/>
        </w:rPr>
        <w:t>that have less than 1,000MWh of non-compliant estimation in the monthly reporting from May to July</w:t>
      </w:r>
      <w:r w:rsidR="00907EE2">
        <w:rPr>
          <w:rFonts w:ascii="Arial" w:hAnsi="Arial" w:cs="Arial"/>
          <w:color w:val="000000"/>
          <w:szCs w:val="18"/>
        </w:rPr>
        <w:t xml:space="preserve"> </w:t>
      </w:r>
      <w:r w:rsidR="00890B4D">
        <w:rPr>
          <w:rFonts w:ascii="Arial" w:hAnsi="Arial" w:cs="Arial"/>
          <w:color w:val="000000"/>
          <w:szCs w:val="18"/>
        </w:rPr>
        <w:t>and that this would be likely to remain the position from August to October</w:t>
      </w:r>
      <w:r w:rsidR="00CD480D">
        <w:rPr>
          <w:rFonts w:ascii="Arial" w:hAnsi="Arial" w:cs="Arial"/>
          <w:color w:val="000000"/>
          <w:szCs w:val="18"/>
        </w:rPr>
        <w:t xml:space="preserve"> reporting periods</w:t>
      </w:r>
      <w:r w:rsidR="00890B4D">
        <w:rPr>
          <w:rFonts w:ascii="Arial" w:hAnsi="Arial" w:cs="Arial"/>
          <w:color w:val="000000"/>
          <w:szCs w:val="18"/>
        </w:rPr>
        <w:t>; and</w:t>
      </w:r>
    </w:p>
    <w:p w14:paraId="3030126B" w14:textId="2DAEB6B5" w:rsidR="00890B4D" w:rsidRPr="00800D25" w:rsidRDefault="00E6450C" w:rsidP="001D5795">
      <w:pPr>
        <w:numPr>
          <w:ilvl w:val="0"/>
          <w:numId w:val="12"/>
        </w:numPr>
        <w:spacing w:after="160" w:line="259" w:lineRule="auto"/>
        <w:contextualSpacing/>
        <w:rPr>
          <w:rFonts w:ascii="Arial" w:hAnsi="Arial" w:cs="Arial"/>
          <w:color w:val="000000"/>
          <w:szCs w:val="18"/>
        </w:rPr>
      </w:pPr>
      <w:r>
        <w:rPr>
          <w:rFonts w:ascii="Arial" w:hAnsi="Arial" w:cs="Arial"/>
          <w:color w:val="000000"/>
          <w:szCs w:val="18"/>
        </w:rPr>
        <w:t>That Suppliers would be required</w:t>
      </w:r>
      <w:r w:rsidR="006750BE">
        <w:rPr>
          <w:rFonts w:ascii="Arial" w:hAnsi="Arial" w:cs="Arial"/>
          <w:color w:val="000000"/>
          <w:szCs w:val="18"/>
        </w:rPr>
        <w:t xml:space="preserve"> to provide more </w:t>
      </w:r>
      <w:r w:rsidR="005D6A9D">
        <w:rPr>
          <w:rFonts w:ascii="Arial" w:hAnsi="Arial" w:cs="Arial"/>
          <w:color w:val="000000"/>
          <w:szCs w:val="18"/>
        </w:rPr>
        <w:t>detail</w:t>
      </w:r>
      <w:r w:rsidR="006750BE">
        <w:rPr>
          <w:rFonts w:ascii="Arial" w:hAnsi="Arial" w:cs="Arial"/>
          <w:color w:val="000000"/>
          <w:szCs w:val="18"/>
        </w:rPr>
        <w:t xml:space="preserve"> </w:t>
      </w:r>
      <w:r>
        <w:rPr>
          <w:rFonts w:ascii="Arial" w:hAnsi="Arial" w:cs="Arial"/>
          <w:color w:val="000000"/>
          <w:szCs w:val="18"/>
        </w:rPr>
        <w:t xml:space="preserve">in their </w:t>
      </w:r>
      <w:r w:rsidR="006750BE">
        <w:rPr>
          <w:rFonts w:ascii="Arial" w:hAnsi="Arial" w:cs="Arial"/>
          <w:color w:val="000000"/>
          <w:szCs w:val="18"/>
        </w:rPr>
        <w:t xml:space="preserve">EFR plans and a performance forecast for at least one quarter ahead from </w:t>
      </w:r>
      <w:r>
        <w:rPr>
          <w:rFonts w:ascii="Arial" w:hAnsi="Arial" w:cs="Arial"/>
          <w:color w:val="000000"/>
          <w:szCs w:val="18"/>
        </w:rPr>
        <w:t>August.</w:t>
      </w:r>
    </w:p>
    <w:p w14:paraId="201EFB37" w14:textId="26811E54" w:rsidR="00006667" w:rsidRPr="00C14A97" w:rsidRDefault="00543632" w:rsidP="00543632">
      <w:pPr>
        <w:tabs>
          <w:tab w:val="left" w:pos="4109"/>
        </w:tabs>
        <w:spacing w:after="160" w:line="259" w:lineRule="auto"/>
        <w:ind w:left="360"/>
        <w:contextualSpacing/>
      </w:pPr>
      <w:r>
        <w:tab/>
      </w:r>
    </w:p>
    <w:p w14:paraId="5F983882" w14:textId="77777777" w:rsidR="00C14A97" w:rsidRPr="00C14A97" w:rsidRDefault="00C14A97" w:rsidP="00C14A97">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C14A97">
        <w:rPr>
          <w:rFonts w:ascii="Arial" w:hAnsi="Arial" w:cs="Arial"/>
          <w:color w:val="000000"/>
          <w:szCs w:val="18"/>
        </w:rPr>
        <w:lastRenderedPageBreak/>
        <w:t>This quarterly review provides:</w:t>
      </w:r>
    </w:p>
    <w:p w14:paraId="6DBCB0A9" w14:textId="77777777" w:rsidR="00C14A97" w:rsidRPr="00C14A97" w:rsidRDefault="00C14A97" w:rsidP="00C14A97">
      <w:pPr>
        <w:numPr>
          <w:ilvl w:val="0"/>
          <w:numId w:val="13"/>
        </w:numPr>
        <w:suppressAutoHyphens/>
        <w:autoSpaceDE w:val="0"/>
        <w:autoSpaceDN w:val="0"/>
        <w:adjustRightInd w:val="0"/>
        <w:spacing w:after="120" w:line="260" w:lineRule="atLeast"/>
        <w:textAlignment w:val="center"/>
        <w:rPr>
          <w:rFonts w:ascii="Arial" w:hAnsi="Arial" w:cs="Arial"/>
          <w:color w:val="000000"/>
          <w:szCs w:val="18"/>
        </w:rPr>
      </w:pPr>
      <w:r w:rsidRPr="00C14A97">
        <w:rPr>
          <w:rFonts w:ascii="Arial" w:hAnsi="Arial" w:cs="Arial"/>
          <w:color w:val="000000"/>
          <w:szCs w:val="18"/>
        </w:rPr>
        <w:t xml:space="preserve">Updated analysis on the inaccuracy associated with estimated data; </w:t>
      </w:r>
    </w:p>
    <w:p w14:paraId="34F4694A" w14:textId="35CCEC2D" w:rsidR="00EE490E" w:rsidRPr="009E764F" w:rsidRDefault="00EE490E" w:rsidP="009E764F">
      <w:pPr>
        <w:numPr>
          <w:ilvl w:val="0"/>
          <w:numId w:val="13"/>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Confirmation</w:t>
      </w:r>
      <w:r w:rsidR="00C14A97" w:rsidRPr="00C14A97">
        <w:rPr>
          <w:rFonts w:ascii="Arial" w:hAnsi="Arial" w:cs="Arial"/>
          <w:color w:val="000000"/>
          <w:szCs w:val="18"/>
        </w:rPr>
        <w:t xml:space="preserve"> of the threshold of non-compliant estimation for the focussed Suppliers and</w:t>
      </w:r>
      <w:r w:rsidR="00006667">
        <w:rPr>
          <w:rFonts w:ascii="Arial" w:hAnsi="Arial" w:cs="Arial"/>
          <w:color w:val="000000"/>
          <w:szCs w:val="18"/>
        </w:rPr>
        <w:t xml:space="preserve"> the current EFR exit criteria;</w:t>
      </w:r>
      <w:r>
        <w:rPr>
          <w:rFonts w:ascii="Arial" w:hAnsi="Arial" w:cs="Arial"/>
          <w:color w:val="000000"/>
          <w:szCs w:val="18"/>
        </w:rPr>
        <w:t xml:space="preserve"> </w:t>
      </w:r>
    </w:p>
    <w:p w14:paraId="6CA0D71F" w14:textId="54156617" w:rsidR="00C14A97" w:rsidRDefault="00006667" w:rsidP="00C14A97">
      <w:pPr>
        <w:numPr>
          <w:ilvl w:val="0"/>
          <w:numId w:val="13"/>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Recommendations</w:t>
      </w:r>
      <w:r w:rsidR="00B073A4">
        <w:rPr>
          <w:rFonts w:ascii="Arial" w:hAnsi="Arial" w:cs="Arial"/>
          <w:color w:val="000000"/>
          <w:szCs w:val="18"/>
        </w:rPr>
        <w:t xml:space="preserve"> for</w:t>
      </w:r>
      <w:r>
        <w:rPr>
          <w:rFonts w:ascii="Arial" w:hAnsi="Arial" w:cs="Arial"/>
          <w:color w:val="000000"/>
          <w:szCs w:val="18"/>
        </w:rPr>
        <w:t xml:space="preserve"> </w:t>
      </w:r>
      <w:r w:rsidR="00C14A97" w:rsidRPr="00C14A97">
        <w:rPr>
          <w:rFonts w:ascii="Arial" w:hAnsi="Arial" w:cs="Arial"/>
          <w:color w:val="000000"/>
          <w:szCs w:val="18"/>
        </w:rPr>
        <w:t xml:space="preserve">the deployment of EFR to Suppliers as a result of </w:t>
      </w:r>
      <w:r>
        <w:rPr>
          <w:rFonts w:ascii="Arial" w:hAnsi="Arial" w:cs="Arial"/>
          <w:color w:val="000000"/>
          <w:szCs w:val="18"/>
        </w:rPr>
        <w:t>the review</w:t>
      </w:r>
      <w:r w:rsidR="00B073A4">
        <w:rPr>
          <w:rFonts w:ascii="Arial" w:hAnsi="Arial" w:cs="Arial"/>
          <w:color w:val="000000"/>
          <w:szCs w:val="18"/>
        </w:rPr>
        <w:t>, where required</w:t>
      </w:r>
      <w:r>
        <w:rPr>
          <w:rFonts w:ascii="Arial" w:hAnsi="Arial" w:cs="Arial"/>
          <w:color w:val="000000"/>
          <w:szCs w:val="18"/>
        </w:rPr>
        <w:t xml:space="preserve">; </w:t>
      </w:r>
      <w:r w:rsidR="00B073A4">
        <w:rPr>
          <w:rFonts w:ascii="Arial" w:hAnsi="Arial" w:cs="Arial"/>
          <w:color w:val="000000"/>
          <w:szCs w:val="18"/>
        </w:rPr>
        <w:t>and</w:t>
      </w:r>
    </w:p>
    <w:p w14:paraId="53FA75C4" w14:textId="074C89CD" w:rsidR="009E764F" w:rsidRDefault="009E764F" w:rsidP="00C14A97">
      <w:pPr>
        <w:numPr>
          <w:ilvl w:val="0"/>
          <w:numId w:val="13"/>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 xml:space="preserve">Recommendations for the likely performance approach that will be taken from </w:t>
      </w:r>
      <w:r w:rsidR="006A4F36">
        <w:rPr>
          <w:rFonts w:ascii="Arial" w:hAnsi="Arial" w:cs="Arial"/>
          <w:color w:val="000000"/>
          <w:szCs w:val="18"/>
        </w:rPr>
        <w:t>November</w:t>
      </w:r>
      <w:r>
        <w:rPr>
          <w:rFonts w:ascii="Arial" w:hAnsi="Arial" w:cs="Arial"/>
          <w:color w:val="000000"/>
          <w:szCs w:val="18"/>
        </w:rPr>
        <w:t xml:space="preserve"> 2021.</w:t>
      </w:r>
    </w:p>
    <w:p w14:paraId="7E578603" w14:textId="77777777" w:rsidR="00412BD6" w:rsidRDefault="00412BD6" w:rsidP="00412BD6">
      <w:pPr>
        <w:pStyle w:val="List"/>
      </w:pPr>
      <w:r w:rsidRPr="00CC3A57">
        <w:t xml:space="preserve">Updated analysis on the impact of </w:t>
      </w:r>
      <w:r>
        <w:t xml:space="preserve">NHH </w:t>
      </w:r>
      <w:r w:rsidRPr="00CC3A57">
        <w:t>estimation on Settlement</w:t>
      </w:r>
    </w:p>
    <w:p w14:paraId="7EBD1F7E" w14:textId="77777777" w:rsidR="00A371C5" w:rsidRPr="00B9571B" w:rsidRDefault="00A371C5" w:rsidP="00A371C5">
      <w:pPr>
        <w:pStyle w:val="List2"/>
        <w:numPr>
          <w:ilvl w:val="0"/>
          <w:numId w:val="0"/>
        </w:numPr>
        <w:ind w:left="680"/>
        <w:rPr>
          <w:b/>
          <w:u w:val="single"/>
        </w:rPr>
      </w:pPr>
      <w:r w:rsidRPr="00B9571B">
        <w:rPr>
          <w:b/>
          <w:u w:val="single"/>
        </w:rPr>
        <w:t>Estimation inaccuracy by Settlement Runs and by year</w:t>
      </w:r>
    </w:p>
    <w:p w14:paraId="386E0F19" w14:textId="22E01938" w:rsidR="00A371C5" w:rsidRPr="008422AC" w:rsidRDefault="00543632"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 xml:space="preserve">The NHH estimation inaccuracy reporting uses </w:t>
      </w:r>
      <w:r w:rsidR="00A371C5">
        <w:rPr>
          <w:rFonts w:ascii="Arial" w:hAnsi="Arial" w:cs="Arial"/>
          <w:color w:val="000000"/>
          <w:szCs w:val="18"/>
        </w:rPr>
        <w:t>Data Transfer Network</w:t>
      </w:r>
      <w:r w:rsidR="00A371C5" w:rsidRPr="008422AC">
        <w:rPr>
          <w:rFonts w:ascii="Arial" w:hAnsi="Arial" w:cs="Arial"/>
          <w:color w:val="000000"/>
          <w:szCs w:val="18"/>
        </w:rPr>
        <w:t xml:space="preserve"> </w:t>
      </w:r>
      <w:r w:rsidR="00A371C5">
        <w:rPr>
          <w:rFonts w:ascii="Arial" w:hAnsi="Arial" w:cs="Arial"/>
          <w:color w:val="000000"/>
          <w:szCs w:val="18"/>
        </w:rPr>
        <w:t>(</w:t>
      </w:r>
      <w:r w:rsidR="00A371C5" w:rsidRPr="008422AC">
        <w:rPr>
          <w:rFonts w:ascii="Arial" w:hAnsi="Arial" w:cs="Arial"/>
          <w:color w:val="000000"/>
          <w:szCs w:val="18"/>
        </w:rPr>
        <w:t>DTN</w:t>
      </w:r>
      <w:r w:rsidR="00A371C5">
        <w:rPr>
          <w:rFonts w:ascii="Arial" w:hAnsi="Arial" w:cs="Arial"/>
          <w:color w:val="000000"/>
          <w:szCs w:val="18"/>
        </w:rPr>
        <w:t>) analysis focussed on the NHH market in order to provide a view of the ongoing impact of estimation. We recognise that t</w:t>
      </w:r>
      <w:r w:rsidR="00A371C5" w:rsidRPr="008422AC">
        <w:rPr>
          <w:rFonts w:ascii="Arial" w:hAnsi="Arial" w:cs="Arial"/>
          <w:color w:val="000000"/>
          <w:szCs w:val="18"/>
        </w:rPr>
        <w:t>he DTN does not provide full coverage of the industry flows but provides us with insight.</w:t>
      </w:r>
      <w:r w:rsidR="00A371C5">
        <w:rPr>
          <w:rFonts w:ascii="Arial" w:hAnsi="Arial" w:cs="Arial"/>
          <w:color w:val="000000"/>
          <w:szCs w:val="18"/>
        </w:rPr>
        <w:t xml:space="preserve"> </w:t>
      </w:r>
      <w:r>
        <w:rPr>
          <w:rFonts w:ascii="Arial" w:hAnsi="Arial" w:cs="Arial"/>
          <w:color w:val="000000"/>
          <w:szCs w:val="18"/>
        </w:rPr>
        <w:t>This analysis has been provided to the PAB previously but has been refreshed and updated using a new sample.</w:t>
      </w:r>
    </w:p>
    <w:p w14:paraId="71460254" w14:textId="77777777" w:rsidR="00A371C5" w:rsidRDefault="00A371C5" w:rsidP="00A371C5">
      <w:pPr>
        <w:pStyle w:val="List2"/>
      </w:pPr>
      <w:r w:rsidRPr="005536A3">
        <w:t xml:space="preserve">This analysis aggregates estimated consumption and compares it to the subsequent actual consumption aggregated </w:t>
      </w:r>
      <w:r>
        <w:t>at a daily Metering System level</w:t>
      </w:r>
      <w:r w:rsidRPr="005536A3">
        <w:t xml:space="preserve">. </w:t>
      </w:r>
      <w:r w:rsidRPr="00BC1886">
        <w:t>When assessing</w:t>
      </w:r>
      <w:r>
        <w:t xml:space="preserve"> the </w:t>
      </w:r>
      <w:r w:rsidRPr="00BC1886">
        <w:t>inaccuracy we looked at the gross difference, i.e. ignoring the direction</w:t>
      </w:r>
      <w:r>
        <w:t>.</w:t>
      </w:r>
      <w:r w:rsidRPr="005536A3">
        <w:t xml:space="preserve"> The following table is </w:t>
      </w:r>
      <w:r>
        <w:t xml:space="preserve">a </w:t>
      </w:r>
      <w:r w:rsidRPr="005536A3">
        <w:t>view of NHH estimation inaccuracy by Settlement Run:</w:t>
      </w:r>
    </w:p>
    <w:p w14:paraId="25D43EF6" w14:textId="77777777" w:rsidR="00F80F8E" w:rsidRDefault="00F80F8E" w:rsidP="00F50FDE">
      <w:pPr>
        <w:pStyle w:val="List2"/>
        <w:numPr>
          <w:ilvl w:val="0"/>
          <w:numId w:val="0"/>
        </w:numPr>
        <w:ind w:left="680"/>
      </w:pPr>
    </w:p>
    <w:tbl>
      <w:tblPr>
        <w:tblStyle w:val="ElexonBasicTable"/>
        <w:tblW w:w="9663" w:type="dxa"/>
        <w:tblInd w:w="680" w:type="dxa"/>
        <w:tblLayout w:type="fixed"/>
        <w:tblLook w:val="04A0" w:firstRow="1" w:lastRow="0" w:firstColumn="1" w:lastColumn="0" w:noHBand="0" w:noVBand="1"/>
      </w:tblPr>
      <w:tblGrid>
        <w:gridCol w:w="2415"/>
        <w:gridCol w:w="2416"/>
        <w:gridCol w:w="2416"/>
        <w:gridCol w:w="2416"/>
      </w:tblGrid>
      <w:tr w:rsidR="009B4949" w:rsidRPr="00F80F8E" w14:paraId="69D7A443" w14:textId="77777777" w:rsidTr="009B4949">
        <w:trPr>
          <w:cnfStyle w:val="100000000000" w:firstRow="1" w:lastRow="0" w:firstColumn="0" w:lastColumn="0" w:oddVBand="0" w:evenVBand="0" w:oddHBand="0" w:evenHBand="0" w:firstRowFirstColumn="0" w:firstRowLastColumn="0" w:lastRowFirstColumn="0" w:lastRowLastColumn="0"/>
          <w:trHeight w:val="285"/>
          <w:tblHeader/>
        </w:trPr>
        <w:tc>
          <w:tcPr>
            <w:tcW w:w="2415" w:type="dxa"/>
            <w:tcBorders>
              <w:bottom w:val="single" w:sz="4" w:space="0" w:color="auto"/>
            </w:tcBorders>
            <w:noWrap/>
            <w:vAlign w:val="top"/>
            <w:hideMark/>
          </w:tcPr>
          <w:p w14:paraId="5A803350" w14:textId="77777777" w:rsidR="009B4949" w:rsidRPr="0085384E" w:rsidRDefault="009B4949" w:rsidP="00611770">
            <w:pPr>
              <w:jc w:val="center"/>
            </w:pPr>
            <w:r w:rsidRPr="0085384E">
              <w:t>Period</w:t>
            </w:r>
          </w:p>
        </w:tc>
        <w:tc>
          <w:tcPr>
            <w:tcW w:w="2416" w:type="dxa"/>
            <w:tcBorders>
              <w:bottom w:val="single" w:sz="4" w:space="0" w:color="auto"/>
            </w:tcBorders>
            <w:noWrap/>
            <w:vAlign w:val="top"/>
            <w:hideMark/>
          </w:tcPr>
          <w:p w14:paraId="033D7D00" w14:textId="77777777" w:rsidR="009B4949" w:rsidRPr="0085384E" w:rsidRDefault="009B4949" w:rsidP="00611770">
            <w:pPr>
              <w:jc w:val="center"/>
            </w:pPr>
            <w:r w:rsidRPr="0085384E">
              <w:t>Unique MPANs</w:t>
            </w:r>
          </w:p>
        </w:tc>
        <w:tc>
          <w:tcPr>
            <w:tcW w:w="2416" w:type="dxa"/>
            <w:tcBorders>
              <w:bottom w:val="single" w:sz="4" w:space="0" w:color="auto"/>
            </w:tcBorders>
            <w:noWrap/>
            <w:vAlign w:val="top"/>
            <w:hideMark/>
          </w:tcPr>
          <w:p w14:paraId="68F122EB" w14:textId="77777777" w:rsidR="009B4949" w:rsidRPr="0085384E" w:rsidRDefault="009B4949" w:rsidP="00611770">
            <w:pPr>
              <w:jc w:val="center"/>
            </w:pPr>
            <w:r w:rsidRPr="0085384E">
              <w:t>No of EACs</w:t>
            </w:r>
          </w:p>
        </w:tc>
        <w:tc>
          <w:tcPr>
            <w:tcW w:w="2416" w:type="dxa"/>
            <w:tcBorders>
              <w:bottom w:val="single" w:sz="4" w:space="0" w:color="auto"/>
            </w:tcBorders>
            <w:noWrap/>
            <w:vAlign w:val="top"/>
            <w:hideMark/>
          </w:tcPr>
          <w:p w14:paraId="05D57AE0" w14:textId="77777777" w:rsidR="009B4949" w:rsidRDefault="009B4949" w:rsidP="00611770">
            <w:pPr>
              <w:jc w:val="center"/>
            </w:pPr>
            <w:r w:rsidRPr="0085384E">
              <w:t>% error</w:t>
            </w:r>
          </w:p>
        </w:tc>
      </w:tr>
      <w:tr w:rsidR="00D82F2F" w:rsidRPr="00F80F8E" w14:paraId="2E677D14" w14:textId="77777777" w:rsidTr="00C84BC7">
        <w:trPr>
          <w:trHeight w:val="285"/>
        </w:trPr>
        <w:tc>
          <w:tcPr>
            <w:tcW w:w="2415" w:type="dxa"/>
            <w:tcBorders>
              <w:top w:val="single" w:sz="4" w:space="0" w:color="auto"/>
              <w:left w:val="single" w:sz="4" w:space="0" w:color="auto"/>
              <w:bottom w:val="single" w:sz="4" w:space="0" w:color="auto"/>
              <w:right w:val="single" w:sz="4" w:space="0" w:color="auto"/>
            </w:tcBorders>
            <w:noWrap/>
            <w:vAlign w:val="bottom"/>
            <w:hideMark/>
          </w:tcPr>
          <w:p w14:paraId="10C583B9" w14:textId="4F120D19"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R1</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045AFA78" w14:textId="0BD58747"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119</w:t>
            </w:r>
            <w:r w:rsidR="00CD480D">
              <w:rPr>
                <w:rFonts w:ascii="Calibri" w:hAnsi="Calibri" w:cs="Calibri"/>
                <w:color w:val="000000"/>
                <w:sz w:val="22"/>
              </w:rPr>
              <w:t>,</w:t>
            </w:r>
            <w:r>
              <w:rPr>
                <w:rFonts w:ascii="Calibri" w:hAnsi="Calibri" w:cs="Calibri"/>
                <w:color w:val="000000"/>
                <w:sz w:val="22"/>
              </w:rPr>
              <w:t>103</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31479228" w14:textId="6D3018E3"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1</w:t>
            </w:r>
            <w:r w:rsidR="00CD480D">
              <w:rPr>
                <w:rFonts w:ascii="Calibri" w:hAnsi="Calibri" w:cs="Calibri"/>
                <w:color w:val="000000"/>
                <w:sz w:val="22"/>
              </w:rPr>
              <w:t>,</w:t>
            </w:r>
            <w:r>
              <w:rPr>
                <w:rFonts w:ascii="Calibri" w:hAnsi="Calibri" w:cs="Calibri"/>
                <w:color w:val="000000"/>
                <w:sz w:val="22"/>
              </w:rPr>
              <w:t>774</w:t>
            </w:r>
            <w:r w:rsidR="00CD480D">
              <w:rPr>
                <w:rFonts w:ascii="Calibri" w:hAnsi="Calibri" w:cs="Calibri"/>
                <w:color w:val="000000"/>
                <w:sz w:val="22"/>
              </w:rPr>
              <w:t>,</w:t>
            </w:r>
            <w:r>
              <w:rPr>
                <w:rFonts w:ascii="Calibri" w:hAnsi="Calibri" w:cs="Calibri"/>
                <w:color w:val="000000"/>
                <w:sz w:val="22"/>
              </w:rPr>
              <w:t>129</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21BEC3BA" w14:textId="42189FE7" w:rsidR="00D82F2F" w:rsidRPr="00D82F2F" w:rsidRDefault="00D82F2F" w:rsidP="00D82F2F">
            <w:pPr>
              <w:spacing w:after="0" w:line="240" w:lineRule="auto"/>
              <w:jc w:val="center"/>
              <w:rPr>
                <w:rFonts w:eastAsia="Times New Roman" w:cstheme="minorHAnsi"/>
                <w:b/>
                <w:color w:val="000000"/>
                <w:sz w:val="22"/>
                <w:lang w:eastAsia="en-GB"/>
              </w:rPr>
            </w:pPr>
            <w:r w:rsidRPr="00D82F2F">
              <w:rPr>
                <w:rFonts w:ascii="Calibri" w:hAnsi="Calibri" w:cs="Calibri"/>
                <w:b/>
                <w:color w:val="000000"/>
                <w:sz w:val="22"/>
              </w:rPr>
              <w:t>22.95%</w:t>
            </w:r>
          </w:p>
        </w:tc>
      </w:tr>
      <w:tr w:rsidR="00D82F2F" w:rsidRPr="00F80F8E" w14:paraId="3A98545A" w14:textId="77777777" w:rsidTr="00C84BC7">
        <w:trPr>
          <w:trHeight w:val="285"/>
        </w:trPr>
        <w:tc>
          <w:tcPr>
            <w:tcW w:w="2415" w:type="dxa"/>
            <w:tcBorders>
              <w:top w:val="single" w:sz="4" w:space="0" w:color="auto"/>
              <w:left w:val="single" w:sz="4" w:space="0" w:color="auto"/>
              <w:bottom w:val="single" w:sz="4" w:space="0" w:color="auto"/>
              <w:right w:val="single" w:sz="4" w:space="0" w:color="auto"/>
            </w:tcBorders>
            <w:noWrap/>
            <w:vAlign w:val="bottom"/>
            <w:hideMark/>
          </w:tcPr>
          <w:p w14:paraId="53363F2E" w14:textId="379C7AC0"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R2</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6322BC86" w14:textId="2D8D8F63"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124</w:t>
            </w:r>
            <w:r w:rsidR="00CD480D">
              <w:rPr>
                <w:rFonts w:ascii="Calibri" w:hAnsi="Calibri" w:cs="Calibri"/>
                <w:color w:val="000000"/>
                <w:sz w:val="22"/>
              </w:rPr>
              <w:t>,</w:t>
            </w:r>
            <w:r>
              <w:rPr>
                <w:rFonts w:ascii="Calibri" w:hAnsi="Calibri" w:cs="Calibri"/>
                <w:color w:val="000000"/>
                <w:sz w:val="22"/>
              </w:rPr>
              <w:t>589</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46A74156" w14:textId="73B5EC03"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685</w:t>
            </w:r>
            <w:r w:rsidR="00CD480D">
              <w:rPr>
                <w:rFonts w:ascii="Calibri" w:hAnsi="Calibri" w:cs="Calibri"/>
                <w:color w:val="000000"/>
                <w:sz w:val="22"/>
              </w:rPr>
              <w:t>,</w:t>
            </w:r>
            <w:r>
              <w:rPr>
                <w:rFonts w:ascii="Calibri" w:hAnsi="Calibri" w:cs="Calibri"/>
                <w:color w:val="000000"/>
                <w:sz w:val="22"/>
              </w:rPr>
              <w:t>567</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19826639" w14:textId="521C93F4" w:rsidR="00D82F2F" w:rsidRPr="00D82F2F" w:rsidRDefault="00D82F2F" w:rsidP="00D82F2F">
            <w:pPr>
              <w:spacing w:after="0" w:line="240" w:lineRule="auto"/>
              <w:jc w:val="center"/>
              <w:rPr>
                <w:rFonts w:eastAsia="Times New Roman" w:cstheme="minorHAnsi"/>
                <w:b/>
                <w:color w:val="000000"/>
                <w:sz w:val="22"/>
                <w:lang w:eastAsia="en-GB"/>
              </w:rPr>
            </w:pPr>
            <w:r w:rsidRPr="00D82F2F">
              <w:rPr>
                <w:rFonts w:ascii="Calibri" w:hAnsi="Calibri" w:cs="Calibri"/>
                <w:b/>
                <w:color w:val="000000"/>
                <w:sz w:val="22"/>
              </w:rPr>
              <w:t>23.25%</w:t>
            </w:r>
          </w:p>
        </w:tc>
      </w:tr>
      <w:tr w:rsidR="00D82F2F" w:rsidRPr="00F80F8E" w14:paraId="00870947" w14:textId="77777777" w:rsidTr="00C84BC7">
        <w:trPr>
          <w:trHeight w:val="285"/>
        </w:trPr>
        <w:tc>
          <w:tcPr>
            <w:tcW w:w="2415" w:type="dxa"/>
            <w:tcBorders>
              <w:top w:val="single" w:sz="4" w:space="0" w:color="auto"/>
              <w:left w:val="single" w:sz="4" w:space="0" w:color="auto"/>
              <w:bottom w:val="single" w:sz="4" w:space="0" w:color="auto"/>
              <w:right w:val="single" w:sz="4" w:space="0" w:color="auto"/>
            </w:tcBorders>
            <w:noWrap/>
            <w:vAlign w:val="bottom"/>
            <w:hideMark/>
          </w:tcPr>
          <w:p w14:paraId="00E8CAA7" w14:textId="0E947B11"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R3</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7DB326DB" w14:textId="7C0AD46C"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87</w:t>
            </w:r>
            <w:r w:rsidR="00CD480D">
              <w:rPr>
                <w:rFonts w:ascii="Calibri" w:hAnsi="Calibri" w:cs="Calibri"/>
                <w:color w:val="000000"/>
                <w:sz w:val="22"/>
              </w:rPr>
              <w:t>,</w:t>
            </w:r>
            <w:r>
              <w:rPr>
                <w:rFonts w:ascii="Calibri" w:hAnsi="Calibri" w:cs="Calibri"/>
                <w:color w:val="000000"/>
                <w:sz w:val="22"/>
              </w:rPr>
              <w:t>942</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5CE6969F" w14:textId="1E503D41"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209</w:t>
            </w:r>
            <w:r w:rsidR="00CD480D">
              <w:rPr>
                <w:rFonts w:ascii="Calibri" w:hAnsi="Calibri" w:cs="Calibri"/>
                <w:color w:val="000000"/>
                <w:sz w:val="22"/>
              </w:rPr>
              <w:t>,</w:t>
            </w:r>
            <w:r>
              <w:rPr>
                <w:rFonts w:ascii="Calibri" w:hAnsi="Calibri" w:cs="Calibri"/>
                <w:color w:val="000000"/>
                <w:sz w:val="22"/>
              </w:rPr>
              <w:t>704</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152D28E8" w14:textId="127B17CC" w:rsidR="00D82F2F" w:rsidRPr="00D82F2F" w:rsidRDefault="00D82F2F" w:rsidP="00D82F2F">
            <w:pPr>
              <w:spacing w:after="0" w:line="240" w:lineRule="auto"/>
              <w:jc w:val="center"/>
              <w:rPr>
                <w:rFonts w:eastAsia="Times New Roman" w:cstheme="minorHAnsi"/>
                <w:b/>
                <w:color w:val="000000"/>
                <w:sz w:val="22"/>
                <w:lang w:eastAsia="en-GB"/>
              </w:rPr>
            </w:pPr>
            <w:r w:rsidRPr="00D82F2F">
              <w:rPr>
                <w:rFonts w:ascii="Calibri" w:hAnsi="Calibri" w:cs="Calibri"/>
                <w:b/>
                <w:color w:val="000000"/>
                <w:sz w:val="22"/>
              </w:rPr>
              <w:t>26.17%</w:t>
            </w:r>
          </w:p>
        </w:tc>
      </w:tr>
      <w:tr w:rsidR="00D82F2F" w:rsidRPr="00F80F8E" w14:paraId="68D5ADFE" w14:textId="77777777" w:rsidTr="00C84BC7">
        <w:trPr>
          <w:trHeight w:val="285"/>
        </w:trPr>
        <w:tc>
          <w:tcPr>
            <w:tcW w:w="2415" w:type="dxa"/>
            <w:tcBorders>
              <w:top w:val="single" w:sz="4" w:space="0" w:color="auto"/>
              <w:left w:val="single" w:sz="4" w:space="0" w:color="auto"/>
              <w:bottom w:val="single" w:sz="4" w:space="0" w:color="auto"/>
              <w:right w:val="single" w:sz="4" w:space="0" w:color="auto"/>
            </w:tcBorders>
            <w:noWrap/>
            <w:vAlign w:val="bottom"/>
            <w:hideMark/>
          </w:tcPr>
          <w:p w14:paraId="577B96B9" w14:textId="72A5218E"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RF</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3B521E4F" w14:textId="6D8DF99E"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52</w:t>
            </w:r>
            <w:r w:rsidR="00CD480D">
              <w:rPr>
                <w:rFonts w:ascii="Calibri" w:hAnsi="Calibri" w:cs="Calibri"/>
                <w:color w:val="000000"/>
                <w:sz w:val="22"/>
              </w:rPr>
              <w:t>,</w:t>
            </w:r>
            <w:r>
              <w:rPr>
                <w:rFonts w:ascii="Calibri" w:hAnsi="Calibri" w:cs="Calibri"/>
                <w:color w:val="000000"/>
                <w:sz w:val="22"/>
              </w:rPr>
              <w:t>836</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58619F9A" w14:textId="7031878F" w:rsidR="00D82F2F" w:rsidRPr="00F80F8E" w:rsidRDefault="00D82F2F" w:rsidP="00D82F2F">
            <w:pPr>
              <w:spacing w:after="0" w:line="240" w:lineRule="auto"/>
              <w:jc w:val="center"/>
              <w:rPr>
                <w:rFonts w:eastAsia="Times New Roman" w:cstheme="minorHAnsi"/>
                <w:color w:val="000000"/>
                <w:sz w:val="22"/>
                <w:lang w:eastAsia="en-GB"/>
              </w:rPr>
            </w:pPr>
            <w:r>
              <w:rPr>
                <w:rFonts w:ascii="Calibri" w:hAnsi="Calibri" w:cs="Calibri"/>
                <w:color w:val="000000"/>
                <w:sz w:val="22"/>
              </w:rPr>
              <w:t>100</w:t>
            </w:r>
            <w:r w:rsidR="00CD480D">
              <w:rPr>
                <w:rFonts w:ascii="Calibri" w:hAnsi="Calibri" w:cs="Calibri"/>
                <w:color w:val="000000"/>
                <w:sz w:val="22"/>
              </w:rPr>
              <w:t>,</w:t>
            </w:r>
            <w:r>
              <w:rPr>
                <w:rFonts w:ascii="Calibri" w:hAnsi="Calibri" w:cs="Calibri"/>
                <w:color w:val="000000"/>
                <w:sz w:val="22"/>
              </w:rPr>
              <w:t>369</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3434CE28" w14:textId="4B6DDEC6" w:rsidR="00D82F2F" w:rsidRPr="00D82F2F" w:rsidRDefault="00D82F2F" w:rsidP="00D82F2F">
            <w:pPr>
              <w:spacing w:after="0" w:line="240" w:lineRule="auto"/>
              <w:jc w:val="center"/>
              <w:rPr>
                <w:rFonts w:eastAsia="Times New Roman" w:cstheme="minorHAnsi"/>
                <w:b/>
                <w:color w:val="000000"/>
                <w:sz w:val="22"/>
                <w:lang w:eastAsia="en-GB"/>
              </w:rPr>
            </w:pPr>
            <w:r w:rsidRPr="00D82F2F">
              <w:rPr>
                <w:rFonts w:ascii="Calibri" w:hAnsi="Calibri" w:cs="Calibri"/>
                <w:b/>
                <w:color w:val="000000"/>
                <w:sz w:val="22"/>
              </w:rPr>
              <w:t>30.27%</w:t>
            </w:r>
          </w:p>
        </w:tc>
      </w:tr>
      <w:tr w:rsidR="00D82F2F" w:rsidRPr="00F80F8E" w14:paraId="10CED893" w14:textId="77777777" w:rsidTr="00C84BC7">
        <w:trPr>
          <w:trHeight w:val="285"/>
        </w:trPr>
        <w:tc>
          <w:tcPr>
            <w:tcW w:w="2415" w:type="dxa"/>
            <w:tcBorders>
              <w:top w:val="single" w:sz="4" w:space="0" w:color="auto"/>
              <w:left w:val="single" w:sz="4" w:space="0" w:color="auto"/>
              <w:bottom w:val="single" w:sz="4" w:space="0" w:color="auto"/>
              <w:right w:val="single" w:sz="4" w:space="0" w:color="auto"/>
            </w:tcBorders>
            <w:noWrap/>
            <w:vAlign w:val="bottom"/>
            <w:hideMark/>
          </w:tcPr>
          <w:p w14:paraId="6880E4D4" w14:textId="42500D0E" w:rsidR="00D82F2F" w:rsidRPr="00F80F8E" w:rsidRDefault="00D82F2F" w:rsidP="00D82F2F">
            <w:pPr>
              <w:spacing w:after="0" w:line="240" w:lineRule="auto"/>
              <w:jc w:val="center"/>
              <w:rPr>
                <w:rFonts w:eastAsia="Times New Roman" w:cstheme="minorHAnsi"/>
                <w:b/>
                <w:bCs/>
                <w:color w:val="000000"/>
                <w:sz w:val="22"/>
                <w:lang w:eastAsia="en-GB"/>
              </w:rPr>
            </w:pPr>
            <w:r>
              <w:rPr>
                <w:rFonts w:ascii="Calibri" w:hAnsi="Calibri" w:cs="Calibri"/>
                <w:color w:val="000000"/>
                <w:sz w:val="22"/>
              </w:rPr>
              <w:t>Total</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33D78703" w14:textId="79861339" w:rsidR="00D82F2F" w:rsidRPr="00F80F8E" w:rsidRDefault="00D82F2F" w:rsidP="00D82F2F">
            <w:pPr>
              <w:spacing w:after="0" w:line="240" w:lineRule="auto"/>
              <w:jc w:val="center"/>
              <w:rPr>
                <w:rFonts w:eastAsia="Times New Roman" w:cstheme="minorHAnsi"/>
                <w:b/>
                <w:bCs/>
                <w:color w:val="000000"/>
                <w:sz w:val="22"/>
                <w:lang w:eastAsia="en-GB"/>
              </w:rPr>
            </w:pPr>
            <w:r>
              <w:rPr>
                <w:rFonts w:ascii="Calibri" w:hAnsi="Calibri" w:cs="Calibri"/>
                <w:color w:val="000000"/>
                <w:sz w:val="22"/>
              </w:rPr>
              <w:t>157</w:t>
            </w:r>
            <w:r w:rsidR="00CD480D">
              <w:rPr>
                <w:rFonts w:ascii="Calibri" w:hAnsi="Calibri" w:cs="Calibri"/>
                <w:color w:val="000000"/>
                <w:sz w:val="22"/>
              </w:rPr>
              <w:t>,</w:t>
            </w:r>
            <w:r>
              <w:rPr>
                <w:rFonts w:ascii="Calibri" w:hAnsi="Calibri" w:cs="Calibri"/>
                <w:color w:val="000000"/>
                <w:sz w:val="22"/>
              </w:rPr>
              <w:t>302</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6E634A70" w14:textId="3C7C824C" w:rsidR="00D82F2F" w:rsidRPr="00F80F8E" w:rsidRDefault="00D82F2F" w:rsidP="00D82F2F">
            <w:pPr>
              <w:spacing w:after="0" w:line="240" w:lineRule="auto"/>
              <w:jc w:val="center"/>
              <w:rPr>
                <w:rFonts w:eastAsia="Times New Roman" w:cstheme="minorHAnsi"/>
                <w:b/>
                <w:bCs/>
                <w:color w:val="000000"/>
                <w:sz w:val="22"/>
                <w:lang w:eastAsia="en-GB"/>
              </w:rPr>
            </w:pPr>
            <w:r>
              <w:rPr>
                <w:rFonts w:ascii="Calibri" w:hAnsi="Calibri" w:cs="Calibri"/>
                <w:color w:val="000000"/>
                <w:sz w:val="22"/>
              </w:rPr>
              <w:t>2</w:t>
            </w:r>
            <w:r w:rsidR="00CD480D">
              <w:rPr>
                <w:rFonts w:ascii="Calibri" w:hAnsi="Calibri" w:cs="Calibri"/>
                <w:color w:val="000000"/>
                <w:sz w:val="22"/>
              </w:rPr>
              <w:t>,</w:t>
            </w:r>
            <w:r>
              <w:rPr>
                <w:rFonts w:ascii="Calibri" w:hAnsi="Calibri" w:cs="Calibri"/>
                <w:color w:val="000000"/>
                <w:sz w:val="22"/>
              </w:rPr>
              <w:t>769</w:t>
            </w:r>
            <w:r w:rsidR="00CD480D">
              <w:rPr>
                <w:rFonts w:ascii="Calibri" w:hAnsi="Calibri" w:cs="Calibri"/>
                <w:color w:val="000000"/>
                <w:sz w:val="22"/>
              </w:rPr>
              <w:t>,</w:t>
            </w:r>
            <w:r>
              <w:rPr>
                <w:rFonts w:ascii="Calibri" w:hAnsi="Calibri" w:cs="Calibri"/>
                <w:color w:val="000000"/>
                <w:sz w:val="22"/>
              </w:rPr>
              <w:t>769</w:t>
            </w:r>
          </w:p>
        </w:tc>
        <w:tc>
          <w:tcPr>
            <w:tcW w:w="2416" w:type="dxa"/>
            <w:tcBorders>
              <w:top w:val="single" w:sz="4" w:space="0" w:color="auto"/>
              <w:left w:val="single" w:sz="4" w:space="0" w:color="auto"/>
              <w:bottom w:val="single" w:sz="4" w:space="0" w:color="auto"/>
              <w:right w:val="single" w:sz="4" w:space="0" w:color="auto"/>
            </w:tcBorders>
            <w:noWrap/>
            <w:vAlign w:val="bottom"/>
            <w:hideMark/>
          </w:tcPr>
          <w:p w14:paraId="722BAE69" w14:textId="45F6851B" w:rsidR="00D82F2F" w:rsidRPr="00D82F2F" w:rsidRDefault="00D82F2F" w:rsidP="00D82F2F">
            <w:pPr>
              <w:spacing w:after="0" w:line="240" w:lineRule="auto"/>
              <w:jc w:val="center"/>
              <w:rPr>
                <w:rFonts w:eastAsia="Times New Roman" w:cstheme="minorHAnsi"/>
                <w:b/>
                <w:bCs/>
                <w:color w:val="000000"/>
                <w:sz w:val="22"/>
                <w:lang w:eastAsia="en-GB"/>
              </w:rPr>
            </w:pPr>
            <w:r w:rsidRPr="00D82F2F">
              <w:rPr>
                <w:rFonts w:ascii="Calibri" w:hAnsi="Calibri" w:cs="Calibri"/>
                <w:b/>
                <w:color w:val="000000"/>
                <w:sz w:val="22"/>
              </w:rPr>
              <w:t>24.90%</w:t>
            </w:r>
          </w:p>
        </w:tc>
      </w:tr>
    </w:tbl>
    <w:p w14:paraId="6A573E91" w14:textId="4B8434B3" w:rsidR="00663663" w:rsidRPr="00663663" w:rsidRDefault="00A371C5" w:rsidP="00663663">
      <w:pPr>
        <w:numPr>
          <w:ilvl w:val="1"/>
          <w:numId w:val="10"/>
        </w:numPr>
        <w:suppressAutoHyphens/>
        <w:autoSpaceDE w:val="0"/>
        <w:autoSpaceDN w:val="0"/>
        <w:adjustRightInd w:val="0"/>
        <w:spacing w:before="240" w:after="120" w:line="260" w:lineRule="atLeast"/>
        <w:textAlignment w:val="center"/>
        <w:rPr>
          <w:rFonts w:ascii="Arial" w:hAnsi="Arial" w:cs="Arial"/>
          <w:color w:val="000000"/>
          <w:szCs w:val="18"/>
        </w:rPr>
      </w:pPr>
      <w:r>
        <w:rPr>
          <w:rFonts w:ascii="Arial" w:hAnsi="Arial" w:cs="Arial"/>
          <w:color w:val="000000"/>
          <w:szCs w:val="18"/>
        </w:rPr>
        <w:t xml:space="preserve">This analysis indicates that estimation inaccuracy increases as the estimate ages. This is even taking into consideration the netting aspect of NHH </w:t>
      </w:r>
      <w:r w:rsidR="005164A5">
        <w:rPr>
          <w:rFonts w:ascii="Arial" w:hAnsi="Arial" w:cs="Arial"/>
          <w:color w:val="000000"/>
          <w:szCs w:val="18"/>
        </w:rPr>
        <w:t>estimation, which</w:t>
      </w:r>
      <w:r>
        <w:rPr>
          <w:rFonts w:ascii="Arial" w:hAnsi="Arial" w:cs="Arial"/>
          <w:color w:val="000000"/>
          <w:szCs w:val="18"/>
        </w:rPr>
        <w:t xml:space="preserve"> uses looking forward consumption value (i.e. EAC). </w:t>
      </w:r>
    </w:p>
    <w:p w14:paraId="30081F3D" w14:textId="77777777" w:rsidR="00A371C5" w:rsidRDefault="00A371C5"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Elexon has also produced an updated view of NHH estimation inaccuracy changes over time (in aggregate for all Reconciliation Settlement Ru</w:t>
      </w:r>
      <w:r w:rsidR="00384F7D">
        <w:rPr>
          <w:rFonts w:ascii="Arial" w:hAnsi="Arial" w:cs="Arial"/>
          <w:color w:val="000000"/>
          <w:szCs w:val="18"/>
        </w:rPr>
        <w:t xml:space="preserve">ns, i.e. R1 to RF). Please note </w:t>
      </w:r>
      <w:r w:rsidR="00EE3D11">
        <w:rPr>
          <w:rFonts w:ascii="Arial" w:hAnsi="Arial" w:cs="Arial"/>
          <w:color w:val="000000"/>
          <w:szCs w:val="18"/>
        </w:rPr>
        <w:t>we assign estimation inaccuracy</w:t>
      </w:r>
      <w:r>
        <w:rPr>
          <w:rFonts w:ascii="Arial" w:hAnsi="Arial" w:cs="Arial"/>
          <w:color w:val="000000"/>
          <w:szCs w:val="18"/>
        </w:rPr>
        <w:t xml:space="preserve"> to a yearly period based on th</w:t>
      </w:r>
      <w:r w:rsidR="00EE3D11">
        <w:rPr>
          <w:rFonts w:ascii="Arial" w:hAnsi="Arial" w:cs="Arial"/>
          <w:color w:val="000000"/>
          <w:szCs w:val="18"/>
        </w:rPr>
        <w:t>e date the actual Meter read was</w:t>
      </w:r>
      <w:r>
        <w:rPr>
          <w:rFonts w:ascii="Arial" w:hAnsi="Arial" w:cs="Arial"/>
          <w:color w:val="000000"/>
          <w:szCs w:val="18"/>
        </w:rPr>
        <w:t xml:space="preserve"> entered into Settlement.</w:t>
      </w:r>
    </w:p>
    <w:p w14:paraId="42A3237A" w14:textId="77777777" w:rsidR="00384F7D" w:rsidRDefault="00384F7D" w:rsidP="00384F7D">
      <w:pPr>
        <w:suppressAutoHyphens/>
        <w:autoSpaceDE w:val="0"/>
        <w:autoSpaceDN w:val="0"/>
        <w:adjustRightInd w:val="0"/>
        <w:spacing w:after="120" w:line="260" w:lineRule="atLeast"/>
        <w:ind w:left="680"/>
        <w:textAlignment w:val="center"/>
        <w:rPr>
          <w:rFonts w:ascii="Arial" w:hAnsi="Arial" w:cs="Arial"/>
          <w:color w:val="000000"/>
          <w:szCs w:val="18"/>
        </w:rPr>
      </w:pPr>
    </w:p>
    <w:tbl>
      <w:tblPr>
        <w:tblStyle w:val="ElexonBasicTable"/>
        <w:tblW w:w="0" w:type="auto"/>
        <w:tblInd w:w="680" w:type="dxa"/>
        <w:tblCellMar>
          <w:top w:w="57" w:type="dxa"/>
          <w:left w:w="57" w:type="dxa"/>
          <w:bottom w:w="57" w:type="dxa"/>
          <w:right w:w="57" w:type="dxa"/>
        </w:tblCellMar>
        <w:tblLook w:val="04A0" w:firstRow="1" w:lastRow="0" w:firstColumn="1" w:lastColumn="0" w:noHBand="0" w:noVBand="1"/>
      </w:tblPr>
      <w:tblGrid>
        <w:gridCol w:w="2415"/>
        <w:gridCol w:w="2416"/>
        <w:gridCol w:w="2416"/>
        <w:gridCol w:w="2416"/>
      </w:tblGrid>
      <w:tr w:rsidR="00A371C5" w14:paraId="32DDE89C" w14:textId="77777777" w:rsidTr="009B4949">
        <w:trPr>
          <w:cnfStyle w:val="100000000000" w:firstRow="1" w:lastRow="0" w:firstColumn="0" w:lastColumn="0" w:oddVBand="0" w:evenVBand="0" w:oddHBand="0" w:evenHBand="0" w:firstRowFirstColumn="0" w:firstRowLastColumn="0" w:lastRowFirstColumn="0" w:lastRowLastColumn="0"/>
          <w:tblHeader/>
        </w:trPr>
        <w:tc>
          <w:tcPr>
            <w:tcW w:w="2415" w:type="dxa"/>
          </w:tcPr>
          <w:p w14:paraId="0794E1A1" w14:textId="77777777" w:rsidR="00A371C5" w:rsidRPr="00932E60" w:rsidRDefault="00A371C5" w:rsidP="009B4949">
            <w:pPr>
              <w:pStyle w:val="ElexonTableTextLarge"/>
              <w:jc w:val="center"/>
            </w:pPr>
            <w:r>
              <w:t>Period</w:t>
            </w:r>
          </w:p>
        </w:tc>
        <w:tc>
          <w:tcPr>
            <w:tcW w:w="2416" w:type="dxa"/>
          </w:tcPr>
          <w:p w14:paraId="75A09CF3" w14:textId="77777777" w:rsidR="00A371C5" w:rsidRPr="00932E60" w:rsidRDefault="00A371C5" w:rsidP="009B4949">
            <w:pPr>
              <w:pStyle w:val="ElexonTableTextLarge"/>
              <w:jc w:val="center"/>
            </w:pPr>
            <w:r>
              <w:t>Unique MPANs</w:t>
            </w:r>
          </w:p>
        </w:tc>
        <w:tc>
          <w:tcPr>
            <w:tcW w:w="2416" w:type="dxa"/>
          </w:tcPr>
          <w:p w14:paraId="2DB210B6" w14:textId="77777777" w:rsidR="00A371C5" w:rsidRPr="00932E60" w:rsidRDefault="00A371C5" w:rsidP="009B4949">
            <w:pPr>
              <w:pStyle w:val="ElexonTableTextLarge"/>
              <w:jc w:val="center"/>
            </w:pPr>
            <w:r>
              <w:t>No of EACs</w:t>
            </w:r>
          </w:p>
        </w:tc>
        <w:tc>
          <w:tcPr>
            <w:tcW w:w="2416" w:type="dxa"/>
          </w:tcPr>
          <w:p w14:paraId="2337E877" w14:textId="77777777" w:rsidR="00A371C5" w:rsidRPr="00932E60" w:rsidRDefault="00A371C5" w:rsidP="009B4949">
            <w:pPr>
              <w:pStyle w:val="ElexonTableTextLarge"/>
              <w:jc w:val="center"/>
            </w:pPr>
            <w:r>
              <w:t>% error</w:t>
            </w:r>
          </w:p>
        </w:tc>
      </w:tr>
      <w:tr w:rsidR="00D82F2F" w14:paraId="616E77B9" w14:textId="77777777" w:rsidTr="009B4949">
        <w:tc>
          <w:tcPr>
            <w:tcW w:w="2415" w:type="dxa"/>
            <w:vAlign w:val="top"/>
          </w:tcPr>
          <w:p w14:paraId="0631782D" w14:textId="7A7D6B08"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2018</w:t>
            </w:r>
          </w:p>
        </w:tc>
        <w:tc>
          <w:tcPr>
            <w:tcW w:w="2416" w:type="dxa"/>
            <w:vAlign w:val="top"/>
          </w:tcPr>
          <w:p w14:paraId="32DBFF1C" w14:textId="6F007318"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114</w:t>
            </w:r>
            <w:r w:rsidR="00CD480D">
              <w:t>,</w:t>
            </w:r>
            <w:r w:rsidRPr="00034BB5">
              <w:t>130</w:t>
            </w:r>
          </w:p>
        </w:tc>
        <w:tc>
          <w:tcPr>
            <w:tcW w:w="2416" w:type="dxa"/>
            <w:vAlign w:val="top"/>
          </w:tcPr>
          <w:p w14:paraId="3CD6A7D1" w14:textId="1927498D"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660</w:t>
            </w:r>
            <w:r w:rsidR="00CD480D">
              <w:t>,</w:t>
            </w:r>
            <w:r w:rsidRPr="00034BB5">
              <w:t>352</w:t>
            </w:r>
          </w:p>
        </w:tc>
        <w:tc>
          <w:tcPr>
            <w:tcW w:w="2416" w:type="dxa"/>
            <w:vAlign w:val="top"/>
          </w:tcPr>
          <w:p w14:paraId="11F0E42E" w14:textId="77C0AC45" w:rsidR="00D82F2F" w:rsidRPr="00D82F2F" w:rsidRDefault="00D82F2F" w:rsidP="00D82F2F">
            <w:pPr>
              <w:suppressAutoHyphens/>
              <w:autoSpaceDE w:val="0"/>
              <w:autoSpaceDN w:val="0"/>
              <w:adjustRightInd w:val="0"/>
              <w:spacing w:after="120" w:line="260" w:lineRule="atLeast"/>
              <w:jc w:val="center"/>
              <w:textAlignment w:val="center"/>
              <w:rPr>
                <w:rFonts w:ascii="Arial" w:hAnsi="Arial" w:cs="Arial"/>
                <w:b/>
                <w:color w:val="000000"/>
                <w:szCs w:val="18"/>
              </w:rPr>
            </w:pPr>
            <w:r w:rsidRPr="00D82F2F">
              <w:rPr>
                <w:b/>
              </w:rPr>
              <w:t>24.41%</w:t>
            </w:r>
          </w:p>
        </w:tc>
      </w:tr>
      <w:tr w:rsidR="00D82F2F" w14:paraId="6E2D9D08" w14:textId="77777777" w:rsidTr="009B4949">
        <w:tc>
          <w:tcPr>
            <w:tcW w:w="2415" w:type="dxa"/>
            <w:vAlign w:val="top"/>
          </w:tcPr>
          <w:p w14:paraId="65F3EB31" w14:textId="7F4977A4"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2019</w:t>
            </w:r>
          </w:p>
        </w:tc>
        <w:tc>
          <w:tcPr>
            <w:tcW w:w="2416" w:type="dxa"/>
            <w:vAlign w:val="top"/>
          </w:tcPr>
          <w:p w14:paraId="5992A1B9" w14:textId="641CDF64"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120</w:t>
            </w:r>
            <w:r w:rsidR="00CD480D">
              <w:t>,</w:t>
            </w:r>
            <w:r w:rsidRPr="00034BB5">
              <w:t>198</w:t>
            </w:r>
          </w:p>
        </w:tc>
        <w:tc>
          <w:tcPr>
            <w:tcW w:w="2416" w:type="dxa"/>
            <w:vAlign w:val="top"/>
          </w:tcPr>
          <w:p w14:paraId="695317C3" w14:textId="58610C4C"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775</w:t>
            </w:r>
            <w:r w:rsidR="00CD480D">
              <w:t>,</w:t>
            </w:r>
            <w:r w:rsidRPr="00034BB5">
              <w:t>639</w:t>
            </w:r>
          </w:p>
        </w:tc>
        <w:tc>
          <w:tcPr>
            <w:tcW w:w="2416" w:type="dxa"/>
            <w:vAlign w:val="top"/>
          </w:tcPr>
          <w:p w14:paraId="33C380B6" w14:textId="5D120F83" w:rsidR="00D82F2F" w:rsidRPr="00D82F2F" w:rsidRDefault="00D82F2F" w:rsidP="00D82F2F">
            <w:pPr>
              <w:suppressAutoHyphens/>
              <w:autoSpaceDE w:val="0"/>
              <w:autoSpaceDN w:val="0"/>
              <w:adjustRightInd w:val="0"/>
              <w:spacing w:after="120" w:line="260" w:lineRule="atLeast"/>
              <w:jc w:val="center"/>
              <w:textAlignment w:val="center"/>
              <w:rPr>
                <w:rFonts w:ascii="Arial" w:hAnsi="Arial" w:cs="Arial"/>
                <w:b/>
                <w:color w:val="000000"/>
                <w:szCs w:val="18"/>
              </w:rPr>
            </w:pPr>
            <w:r w:rsidRPr="00D82F2F">
              <w:rPr>
                <w:b/>
              </w:rPr>
              <w:t>23.80%</w:t>
            </w:r>
          </w:p>
        </w:tc>
      </w:tr>
      <w:tr w:rsidR="00D82F2F" w14:paraId="484F15BF" w14:textId="77777777" w:rsidTr="009B4949">
        <w:tc>
          <w:tcPr>
            <w:tcW w:w="2415" w:type="dxa"/>
            <w:vAlign w:val="top"/>
          </w:tcPr>
          <w:p w14:paraId="66EE30B8" w14:textId="63B72940"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2020</w:t>
            </w:r>
          </w:p>
        </w:tc>
        <w:tc>
          <w:tcPr>
            <w:tcW w:w="2416" w:type="dxa"/>
            <w:vAlign w:val="top"/>
          </w:tcPr>
          <w:p w14:paraId="5ACFE393" w14:textId="77E3479A"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124</w:t>
            </w:r>
            <w:r w:rsidR="00CD480D">
              <w:t>,</w:t>
            </w:r>
            <w:r w:rsidRPr="00034BB5">
              <w:t>235</w:t>
            </w:r>
          </w:p>
        </w:tc>
        <w:tc>
          <w:tcPr>
            <w:tcW w:w="2416" w:type="dxa"/>
            <w:vAlign w:val="top"/>
          </w:tcPr>
          <w:p w14:paraId="745A6B58" w14:textId="4158755F"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865</w:t>
            </w:r>
            <w:r w:rsidR="00CD480D">
              <w:t>,</w:t>
            </w:r>
            <w:r w:rsidRPr="00034BB5">
              <w:t>443</w:t>
            </w:r>
          </w:p>
        </w:tc>
        <w:tc>
          <w:tcPr>
            <w:tcW w:w="2416" w:type="dxa"/>
            <w:vAlign w:val="top"/>
          </w:tcPr>
          <w:p w14:paraId="4BD51337" w14:textId="3B327ABE" w:rsidR="00D82F2F" w:rsidRPr="00D82F2F" w:rsidRDefault="00D82F2F" w:rsidP="00D82F2F">
            <w:pPr>
              <w:suppressAutoHyphens/>
              <w:autoSpaceDE w:val="0"/>
              <w:autoSpaceDN w:val="0"/>
              <w:adjustRightInd w:val="0"/>
              <w:spacing w:after="120" w:line="260" w:lineRule="atLeast"/>
              <w:jc w:val="center"/>
              <w:textAlignment w:val="center"/>
              <w:rPr>
                <w:rFonts w:ascii="Arial" w:hAnsi="Arial" w:cs="Arial"/>
                <w:b/>
                <w:color w:val="000000"/>
                <w:szCs w:val="18"/>
              </w:rPr>
            </w:pPr>
            <w:r w:rsidRPr="00D82F2F">
              <w:rPr>
                <w:b/>
              </w:rPr>
              <w:t>25.53%</w:t>
            </w:r>
          </w:p>
        </w:tc>
      </w:tr>
      <w:tr w:rsidR="00D82F2F" w14:paraId="609DCE87" w14:textId="77777777" w:rsidTr="009B4949">
        <w:tc>
          <w:tcPr>
            <w:tcW w:w="2415" w:type="dxa"/>
            <w:vAlign w:val="top"/>
          </w:tcPr>
          <w:p w14:paraId="1D022864" w14:textId="604A015E"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2021</w:t>
            </w:r>
          </w:p>
        </w:tc>
        <w:tc>
          <w:tcPr>
            <w:tcW w:w="2416" w:type="dxa"/>
            <w:vAlign w:val="top"/>
          </w:tcPr>
          <w:p w14:paraId="76D43C4C" w14:textId="55EB3284"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120</w:t>
            </w:r>
            <w:r w:rsidR="00CD480D">
              <w:t>,</w:t>
            </w:r>
            <w:r w:rsidRPr="00034BB5">
              <w:t>774</w:t>
            </w:r>
          </w:p>
        </w:tc>
        <w:tc>
          <w:tcPr>
            <w:tcW w:w="2416" w:type="dxa"/>
            <w:vAlign w:val="top"/>
          </w:tcPr>
          <w:p w14:paraId="471A23C0" w14:textId="66166FC9" w:rsidR="00D82F2F" w:rsidRPr="00CF3169" w:rsidRDefault="00D82F2F" w:rsidP="00D82F2F">
            <w:pPr>
              <w:suppressAutoHyphens/>
              <w:autoSpaceDE w:val="0"/>
              <w:autoSpaceDN w:val="0"/>
              <w:adjustRightInd w:val="0"/>
              <w:spacing w:after="120" w:line="260" w:lineRule="atLeast"/>
              <w:jc w:val="center"/>
              <w:textAlignment w:val="center"/>
              <w:rPr>
                <w:rFonts w:ascii="Arial" w:hAnsi="Arial" w:cs="Arial"/>
                <w:color w:val="000000"/>
                <w:szCs w:val="18"/>
              </w:rPr>
            </w:pPr>
            <w:r w:rsidRPr="00034BB5">
              <w:t>468</w:t>
            </w:r>
            <w:r w:rsidR="00CD480D">
              <w:t>,</w:t>
            </w:r>
            <w:r w:rsidRPr="00034BB5">
              <w:t>335</w:t>
            </w:r>
          </w:p>
        </w:tc>
        <w:tc>
          <w:tcPr>
            <w:tcW w:w="2416" w:type="dxa"/>
            <w:vAlign w:val="top"/>
          </w:tcPr>
          <w:p w14:paraId="50DA4534" w14:textId="2F94D2E4" w:rsidR="00D82F2F" w:rsidRPr="00D82F2F" w:rsidRDefault="00D82F2F" w:rsidP="00D82F2F">
            <w:pPr>
              <w:suppressAutoHyphens/>
              <w:autoSpaceDE w:val="0"/>
              <w:autoSpaceDN w:val="0"/>
              <w:adjustRightInd w:val="0"/>
              <w:spacing w:after="120" w:line="260" w:lineRule="atLeast"/>
              <w:jc w:val="center"/>
              <w:textAlignment w:val="center"/>
              <w:rPr>
                <w:rFonts w:ascii="Arial" w:hAnsi="Arial" w:cs="Arial"/>
                <w:b/>
                <w:color w:val="000000"/>
                <w:szCs w:val="18"/>
              </w:rPr>
            </w:pPr>
            <w:r w:rsidRPr="00D82F2F">
              <w:rPr>
                <w:b/>
              </w:rPr>
              <w:t>26.42%</w:t>
            </w:r>
          </w:p>
        </w:tc>
      </w:tr>
    </w:tbl>
    <w:p w14:paraId="21090DCD" w14:textId="77777777" w:rsidR="00EA3E42" w:rsidRPr="00EA3E42" w:rsidRDefault="00A371C5" w:rsidP="00531F69">
      <w:pPr>
        <w:numPr>
          <w:ilvl w:val="1"/>
          <w:numId w:val="10"/>
        </w:numPr>
        <w:suppressAutoHyphens/>
        <w:autoSpaceDE w:val="0"/>
        <w:autoSpaceDN w:val="0"/>
        <w:adjustRightInd w:val="0"/>
        <w:spacing w:before="240" w:after="120" w:line="260" w:lineRule="atLeast"/>
        <w:textAlignment w:val="center"/>
        <w:rPr>
          <w:rFonts w:ascii="Arial" w:hAnsi="Arial" w:cs="Arial"/>
          <w:b/>
          <w:color w:val="000000"/>
          <w:szCs w:val="18"/>
          <w:u w:val="single"/>
        </w:rPr>
      </w:pPr>
      <w:r w:rsidRPr="00EA3E42">
        <w:rPr>
          <w:rFonts w:ascii="Arial" w:hAnsi="Arial" w:cs="Arial"/>
          <w:color w:val="000000"/>
          <w:szCs w:val="18"/>
        </w:rPr>
        <w:t>This shows that whilst estimation inaccuracy had reduced in 2019 (likely as a result of the in excess of 2.4m Smart Meters installed in the period), it increased in 2020 (likely as a result of Meters being read less frequently and being based on past consumption that did not reflect the lockdown volumes)</w:t>
      </w:r>
      <w:r w:rsidR="00EA3E42" w:rsidRPr="00EA3E42">
        <w:rPr>
          <w:rFonts w:ascii="Arial" w:hAnsi="Arial" w:cs="Arial"/>
          <w:color w:val="000000"/>
          <w:szCs w:val="18"/>
        </w:rPr>
        <w:t>. T</w:t>
      </w:r>
      <w:r w:rsidR="00EE3D11" w:rsidRPr="00EA3E42">
        <w:rPr>
          <w:rFonts w:ascii="Arial" w:hAnsi="Arial" w:cs="Arial"/>
          <w:color w:val="000000"/>
          <w:szCs w:val="18"/>
        </w:rPr>
        <w:t xml:space="preserve">his trend continued in 2021 (most likely </w:t>
      </w:r>
      <w:r w:rsidR="00EA3E42" w:rsidRPr="00EA3E42">
        <w:rPr>
          <w:rFonts w:ascii="Arial" w:hAnsi="Arial" w:cs="Arial"/>
          <w:color w:val="000000"/>
          <w:szCs w:val="18"/>
        </w:rPr>
        <w:t>because</w:t>
      </w:r>
      <w:r w:rsidR="00EE3D11" w:rsidRPr="00EA3E42">
        <w:rPr>
          <w:rFonts w:ascii="Arial" w:hAnsi="Arial" w:cs="Arial"/>
          <w:color w:val="000000"/>
          <w:szCs w:val="18"/>
        </w:rPr>
        <w:t xml:space="preserve"> of the volatility of demand during this period)</w:t>
      </w:r>
      <w:r w:rsidRPr="00EA3E42">
        <w:rPr>
          <w:rFonts w:ascii="Arial" w:hAnsi="Arial" w:cs="Arial"/>
          <w:color w:val="000000"/>
          <w:szCs w:val="18"/>
        </w:rPr>
        <w:t xml:space="preserve">. </w:t>
      </w:r>
    </w:p>
    <w:p w14:paraId="73633581" w14:textId="77777777" w:rsidR="00A371C5" w:rsidRPr="00EA3E42" w:rsidRDefault="00A371C5" w:rsidP="00531F69">
      <w:pPr>
        <w:numPr>
          <w:ilvl w:val="1"/>
          <w:numId w:val="10"/>
        </w:numPr>
        <w:suppressAutoHyphens/>
        <w:autoSpaceDE w:val="0"/>
        <w:autoSpaceDN w:val="0"/>
        <w:adjustRightInd w:val="0"/>
        <w:spacing w:before="240" w:after="120" w:line="260" w:lineRule="atLeast"/>
        <w:textAlignment w:val="center"/>
        <w:rPr>
          <w:rFonts w:ascii="Arial" w:hAnsi="Arial" w:cs="Arial"/>
          <w:b/>
          <w:color w:val="000000"/>
          <w:szCs w:val="18"/>
          <w:u w:val="single"/>
        </w:rPr>
      </w:pPr>
      <w:r w:rsidRPr="00EA3E42">
        <w:rPr>
          <w:rFonts w:ascii="Arial" w:hAnsi="Arial" w:cs="Arial"/>
          <w:b/>
          <w:color w:val="000000"/>
          <w:szCs w:val="18"/>
          <w:u w:val="single"/>
        </w:rPr>
        <w:t>The changing trends of estimation inaccuracy</w:t>
      </w:r>
    </w:p>
    <w:p w14:paraId="4008935E" w14:textId="2E61B578" w:rsidR="00A371C5" w:rsidRDefault="00A371C5"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 xml:space="preserve">It is also important to remember that estimation can both overstate and understate consumption. </w:t>
      </w:r>
      <w:r w:rsidR="009E764F">
        <w:rPr>
          <w:rFonts w:ascii="Arial" w:hAnsi="Arial" w:cs="Arial"/>
          <w:color w:val="000000"/>
          <w:szCs w:val="18"/>
        </w:rPr>
        <w:t xml:space="preserve">The </w:t>
      </w:r>
      <w:r>
        <w:rPr>
          <w:rFonts w:ascii="Arial" w:hAnsi="Arial" w:cs="Arial"/>
          <w:color w:val="000000"/>
          <w:szCs w:val="18"/>
        </w:rPr>
        <w:t xml:space="preserve">directional aspect of estimation accuracy </w:t>
      </w:r>
      <w:r w:rsidR="009E764F">
        <w:rPr>
          <w:rFonts w:ascii="Arial" w:hAnsi="Arial" w:cs="Arial"/>
          <w:color w:val="000000"/>
          <w:szCs w:val="18"/>
        </w:rPr>
        <w:t>is apparent</w:t>
      </w:r>
      <w:r>
        <w:rPr>
          <w:rFonts w:ascii="Arial" w:hAnsi="Arial" w:cs="Arial"/>
          <w:color w:val="000000"/>
          <w:szCs w:val="18"/>
        </w:rPr>
        <w:t xml:space="preserve"> when looking at the distribution of estimation error in NHH Profile Classes one to four.</w:t>
      </w:r>
    </w:p>
    <w:p w14:paraId="240A6095" w14:textId="5D0D6D05" w:rsidR="00A371C5" w:rsidRDefault="00D82F2F" w:rsidP="00222D61">
      <w:p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noProof/>
          <w:color w:val="000000"/>
          <w:szCs w:val="18"/>
          <w:lang w:eastAsia="en-GB"/>
        </w:rPr>
        <w:lastRenderedPageBreak/>
        <w:drawing>
          <wp:inline distT="0" distB="0" distL="0" distR="0" wp14:anchorId="671C34D4" wp14:editId="516FCED2">
            <wp:extent cx="6696710" cy="3658078"/>
            <wp:effectExtent l="0" t="0" r="0" b="0"/>
            <wp:docPr id="2" name="Picture 2" descr="C:\Users\Anna.Millar\AppData\Local\Microsoft\Windows\INetCache\Content.MSO\35FF518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na.Millar\AppData\Local\Microsoft\Windows\INetCache\Content.MSO\35FF5185.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6710" cy="3658078"/>
                    </a:xfrm>
                    <a:prstGeom prst="rect">
                      <a:avLst/>
                    </a:prstGeom>
                    <a:noFill/>
                    <a:ln>
                      <a:noFill/>
                    </a:ln>
                  </pic:spPr>
                </pic:pic>
              </a:graphicData>
            </a:graphic>
          </wp:inline>
        </w:drawing>
      </w:r>
    </w:p>
    <w:p w14:paraId="3D27E907" w14:textId="77777777" w:rsidR="00222D61" w:rsidRDefault="00222D61" w:rsidP="00222D61">
      <w:pPr>
        <w:suppressAutoHyphens/>
        <w:autoSpaceDE w:val="0"/>
        <w:autoSpaceDN w:val="0"/>
        <w:adjustRightInd w:val="0"/>
        <w:spacing w:after="120" w:line="260" w:lineRule="atLeast"/>
        <w:textAlignment w:val="center"/>
        <w:rPr>
          <w:rFonts w:ascii="Arial" w:hAnsi="Arial" w:cs="Arial"/>
          <w:color w:val="000000"/>
          <w:szCs w:val="18"/>
        </w:rPr>
      </w:pPr>
    </w:p>
    <w:p w14:paraId="26462BA4" w14:textId="77777777" w:rsidR="00E265F4" w:rsidRPr="00E265F4" w:rsidRDefault="00A371C5" w:rsidP="00E265F4">
      <w:pPr>
        <w:pStyle w:val="List2"/>
      </w:pPr>
      <w:r w:rsidRPr="00CC3A57">
        <w:t>The boxplot</w:t>
      </w:r>
      <w:r>
        <w:t>s</w:t>
      </w:r>
      <w:r w:rsidRPr="00CC3A57">
        <w:t xml:space="preserve"> above set out the distribution of daily EAC error for each of the Profile Classes one to four in 2018, 2019 and 2020 respectively</w:t>
      </w:r>
      <w:r>
        <w:t xml:space="preserve"> for </w:t>
      </w:r>
      <w:r w:rsidR="00EA3E42">
        <w:t>a random sample of NHH</w:t>
      </w:r>
      <w:r>
        <w:t xml:space="preserve"> Metering Systems.</w:t>
      </w:r>
      <w:r w:rsidRPr="00CC3A57">
        <w:t xml:space="preserve"> The middle</w:t>
      </w:r>
      <w:r>
        <w:t xml:space="preserve"> horizontal</w:t>
      </w:r>
      <w:r w:rsidRPr="00CC3A57">
        <w:t xml:space="preserve"> dotted line </w:t>
      </w:r>
      <w:r>
        <w:t xml:space="preserve">at zero </w:t>
      </w:r>
      <w:r w:rsidRPr="00CC3A57">
        <w:t xml:space="preserve">represents where there </w:t>
      </w:r>
      <w:r>
        <w:t>was</w:t>
      </w:r>
      <w:r w:rsidRPr="00CC3A57">
        <w:t xml:space="preserve"> no inaccuracy from the EACs</w:t>
      </w:r>
      <w:r w:rsidR="009D4D55">
        <w:t>.</w:t>
      </w:r>
      <w:r w:rsidRPr="00CC3A57">
        <w:t xml:space="preserve"> </w:t>
      </w:r>
      <w:r w:rsidR="00E265F4" w:rsidRPr="00E265F4">
        <w:t>The solid lines within each box show the median average whereas the solid dots show the mean average for daily EAC error for that Profile Class in that year.</w:t>
      </w:r>
    </w:p>
    <w:p w14:paraId="3F239486" w14:textId="67DDB946" w:rsidR="00A371C5" w:rsidRPr="00CC3A57" w:rsidRDefault="00A371C5" w:rsidP="00A371C5">
      <w:pPr>
        <w:pStyle w:val="List2"/>
      </w:pPr>
      <w:r>
        <w:t>A median above the dotted line outlines a tendency for the estimation to overstate consumption whereas a median below the dotted line outlines a tendency for the estimation to understate consumption.</w:t>
      </w:r>
    </w:p>
    <w:p w14:paraId="5305B07F" w14:textId="77777777" w:rsidR="00A371C5" w:rsidRDefault="00A371C5"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 xml:space="preserve">As you can see above, in 2018 and 2019 estimation on average tended to overstate consumption across all four of the Profile Classes. However, in 2020 this changes. </w:t>
      </w:r>
    </w:p>
    <w:p w14:paraId="1C50CD7C" w14:textId="1741570F" w:rsidR="00A371C5" w:rsidRDefault="00A371C5" w:rsidP="00A371C5">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Pr>
          <w:rFonts w:ascii="Arial" w:hAnsi="Arial" w:cs="Arial"/>
          <w:color w:val="000000"/>
          <w:szCs w:val="18"/>
        </w:rPr>
        <w:t>For the domestic Profile Classes (one and two) during 2020, the direction of average estimation inaccuracy flip</w:t>
      </w:r>
      <w:r w:rsidR="00EA3E42">
        <w:rPr>
          <w:rFonts w:ascii="Arial" w:hAnsi="Arial" w:cs="Arial"/>
          <w:color w:val="000000"/>
          <w:szCs w:val="18"/>
        </w:rPr>
        <w:t>ped</w:t>
      </w:r>
      <w:r>
        <w:rPr>
          <w:rFonts w:ascii="Arial" w:hAnsi="Arial" w:cs="Arial"/>
          <w:color w:val="000000"/>
          <w:szCs w:val="18"/>
        </w:rPr>
        <w:t xml:space="preserve"> </w:t>
      </w:r>
      <w:r w:rsidR="00EA3E42">
        <w:rPr>
          <w:rFonts w:ascii="Arial" w:hAnsi="Arial" w:cs="Arial"/>
          <w:color w:val="000000"/>
          <w:szCs w:val="18"/>
        </w:rPr>
        <w:t xml:space="preserve">and </w:t>
      </w:r>
      <w:r>
        <w:rPr>
          <w:rFonts w:ascii="Arial" w:hAnsi="Arial" w:cs="Arial"/>
          <w:color w:val="000000"/>
          <w:szCs w:val="18"/>
        </w:rPr>
        <w:t>tended to understate consumption as the lockdown has resulted in more people being at home and using more energy, i.e. not reflective of historical consumption on which looking forward EACs were based.</w:t>
      </w:r>
    </w:p>
    <w:p w14:paraId="62E7BD40" w14:textId="010ACFD5" w:rsidR="000F5C20" w:rsidRDefault="000B33A6" w:rsidP="00806A5D">
      <w:pPr>
        <w:numPr>
          <w:ilvl w:val="1"/>
          <w:numId w:val="10"/>
        </w:numPr>
        <w:suppressAutoHyphens/>
        <w:autoSpaceDE w:val="0"/>
        <w:autoSpaceDN w:val="0"/>
        <w:adjustRightInd w:val="0"/>
        <w:spacing w:after="120" w:line="260" w:lineRule="atLeast"/>
        <w:textAlignment w:val="center"/>
        <w:rPr>
          <w:rFonts w:ascii="Arial" w:hAnsi="Arial" w:cs="Arial"/>
          <w:color w:val="000000"/>
          <w:szCs w:val="18"/>
        </w:rPr>
      </w:pPr>
      <w:r w:rsidRPr="006711DB">
        <w:rPr>
          <w:rFonts w:ascii="Arial" w:hAnsi="Arial" w:cs="Arial"/>
          <w:color w:val="000000"/>
          <w:szCs w:val="18"/>
        </w:rPr>
        <w:t>For the domestic Profile Classes</w:t>
      </w:r>
      <w:r w:rsidR="006711DB" w:rsidRPr="006711DB">
        <w:rPr>
          <w:rFonts w:ascii="Arial" w:hAnsi="Arial" w:cs="Arial"/>
          <w:color w:val="000000"/>
          <w:szCs w:val="18"/>
        </w:rPr>
        <w:t>,</w:t>
      </w:r>
      <w:r w:rsidRPr="006711DB">
        <w:rPr>
          <w:rFonts w:ascii="Arial" w:hAnsi="Arial" w:cs="Arial"/>
          <w:color w:val="000000"/>
          <w:szCs w:val="18"/>
        </w:rPr>
        <w:t xml:space="preserve"> </w:t>
      </w:r>
      <w:r w:rsidR="00E27480">
        <w:rPr>
          <w:rFonts w:ascii="Arial" w:hAnsi="Arial" w:cs="Arial"/>
          <w:color w:val="000000"/>
          <w:szCs w:val="18"/>
        </w:rPr>
        <w:t xml:space="preserve">in the first part of </w:t>
      </w:r>
      <w:r w:rsidRPr="006711DB">
        <w:rPr>
          <w:rFonts w:ascii="Arial" w:hAnsi="Arial" w:cs="Arial"/>
          <w:color w:val="000000"/>
          <w:szCs w:val="18"/>
        </w:rPr>
        <w:t xml:space="preserve">2021 the direction of inaccuracy flipped again </w:t>
      </w:r>
      <w:r w:rsidR="004515F7">
        <w:rPr>
          <w:rFonts w:ascii="Arial" w:hAnsi="Arial" w:cs="Arial"/>
          <w:color w:val="000000"/>
          <w:szCs w:val="18"/>
        </w:rPr>
        <w:t xml:space="preserve">in our May update </w:t>
      </w:r>
      <w:r w:rsidRPr="006711DB">
        <w:rPr>
          <w:rFonts w:ascii="Arial" w:hAnsi="Arial" w:cs="Arial"/>
          <w:color w:val="000000"/>
          <w:szCs w:val="18"/>
        </w:rPr>
        <w:t xml:space="preserve">and </w:t>
      </w:r>
      <w:r w:rsidR="00E27480">
        <w:rPr>
          <w:rFonts w:ascii="Arial" w:hAnsi="Arial" w:cs="Arial"/>
          <w:color w:val="000000"/>
          <w:szCs w:val="18"/>
        </w:rPr>
        <w:t>indicated</w:t>
      </w:r>
      <w:r w:rsidRPr="006711DB">
        <w:rPr>
          <w:rFonts w:ascii="Arial" w:hAnsi="Arial" w:cs="Arial"/>
          <w:color w:val="000000"/>
          <w:szCs w:val="18"/>
        </w:rPr>
        <w:t xml:space="preserve"> an overstatement in estimation that </w:t>
      </w:r>
      <w:r w:rsidR="00E27480">
        <w:rPr>
          <w:rFonts w:ascii="Arial" w:hAnsi="Arial" w:cs="Arial"/>
          <w:color w:val="000000"/>
          <w:szCs w:val="18"/>
        </w:rPr>
        <w:t xml:space="preserve">was </w:t>
      </w:r>
      <w:r w:rsidRPr="006711DB">
        <w:rPr>
          <w:rFonts w:ascii="Arial" w:hAnsi="Arial" w:cs="Arial"/>
          <w:color w:val="000000"/>
          <w:szCs w:val="18"/>
        </w:rPr>
        <w:t xml:space="preserve">greater than prior to the pandemic. Elexon </w:t>
      </w:r>
      <w:r w:rsidR="009D4D55" w:rsidRPr="006711DB">
        <w:rPr>
          <w:rFonts w:ascii="Arial" w:hAnsi="Arial" w:cs="Arial"/>
          <w:color w:val="000000"/>
          <w:szCs w:val="18"/>
        </w:rPr>
        <w:t>and the PAB</w:t>
      </w:r>
      <w:r w:rsidR="004515F7">
        <w:rPr>
          <w:rFonts w:ascii="Arial" w:hAnsi="Arial" w:cs="Arial"/>
          <w:color w:val="000000"/>
          <w:szCs w:val="18"/>
        </w:rPr>
        <w:t xml:space="preserve"> noted</w:t>
      </w:r>
      <w:r w:rsidR="009D4D55" w:rsidRPr="006711DB">
        <w:rPr>
          <w:rFonts w:ascii="Arial" w:hAnsi="Arial" w:cs="Arial"/>
          <w:color w:val="000000"/>
          <w:szCs w:val="18"/>
        </w:rPr>
        <w:t xml:space="preserve"> that</w:t>
      </w:r>
      <w:r w:rsidRPr="006711DB">
        <w:rPr>
          <w:rFonts w:ascii="Arial" w:hAnsi="Arial" w:cs="Arial"/>
          <w:color w:val="000000"/>
          <w:szCs w:val="18"/>
        </w:rPr>
        <w:t xml:space="preserve"> a change in direction would be likely</w:t>
      </w:r>
      <w:r w:rsidR="006711DB" w:rsidRPr="006711DB">
        <w:rPr>
          <w:rFonts w:ascii="Arial" w:hAnsi="Arial" w:cs="Arial"/>
          <w:color w:val="000000"/>
          <w:szCs w:val="18"/>
        </w:rPr>
        <w:t>,</w:t>
      </w:r>
      <w:r w:rsidRPr="006711DB">
        <w:rPr>
          <w:rFonts w:ascii="Arial" w:hAnsi="Arial" w:cs="Arial"/>
          <w:color w:val="000000"/>
          <w:szCs w:val="18"/>
        </w:rPr>
        <w:t xml:space="preserve"> as restrictions </w:t>
      </w:r>
      <w:r w:rsidR="009D4D55" w:rsidRPr="006711DB">
        <w:rPr>
          <w:rFonts w:ascii="Arial" w:hAnsi="Arial" w:cs="Arial"/>
          <w:color w:val="000000"/>
          <w:szCs w:val="18"/>
        </w:rPr>
        <w:t>eased</w:t>
      </w:r>
      <w:r w:rsidR="00CD5289">
        <w:rPr>
          <w:rFonts w:ascii="Arial" w:hAnsi="Arial" w:cs="Arial"/>
          <w:color w:val="000000"/>
          <w:szCs w:val="18"/>
        </w:rPr>
        <w:t>. However, since the update in May, this appears to have settled and the median line is now closer to the pre-pandemic position than it was in May.</w:t>
      </w:r>
      <w:r w:rsidR="004515F7">
        <w:rPr>
          <w:rFonts w:ascii="Arial" w:hAnsi="Arial" w:cs="Arial"/>
          <w:color w:val="000000"/>
          <w:szCs w:val="18"/>
        </w:rPr>
        <w:t xml:space="preserve"> The significantly skewed mean in the Profile Class 2 boxplot is as a result of an erroneously large AA for a Metering System which formed part of this sample and which the Supplier has informed us has now been resolved.</w:t>
      </w:r>
    </w:p>
    <w:p w14:paraId="6158D7A8" w14:textId="0DCA83E2" w:rsidR="00C97630" w:rsidRPr="00C97630" w:rsidRDefault="00A371C5" w:rsidP="00C53482">
      <w:pPr>
        <w:numPr>
          <w:ilvl w:val="1"/>
          <w:numId w:val="10"/>
        </w:numPr>
        <w:suppressAutoHyphens/>
        <w:autoSpaceDE w:val="0"/>
        <w:autoSpaceDN w:val="0"/>
        <w:adjustRightInd w:val="0"/>
        <w:spacing w:after="120" w:line="260" w:lineRule="atLeast"/>
        <w:textAlignment w:val="center"/>
      </w:pPr>
      <w:r w:rsidRPr="006711DB">
        <w:rPr>
          <w:rFonts w:ascii="Arial" w:hAnsi="Arial" w:cs="Arial"/>
          <w:color w:val="000000"/>
          <w:szCs w:val="18"/>
        </w:rPr>
        <w:t>The small and medium business site Profile Classes (three and four) during 2020 still show</w:t>
      </w:r>
      <w:r w:rsidR="00EA3E42" w:rsidRPr="006711DB">
        <w:rPr>
          <w:rFonts w:ascii="Arial" w:hAnsi="Arial" w:cs="Arial"/>
          <w:color w:val="000000"/>
          <w:szCs w:val="18"/>
        </w:rPr>
        <w:t>ed</w:t>
      </w:r>
      <w:r w:rsidRPr="006711DB">
        <w:rPr>
          <w:rFonts w:ascii="Arial" w:hAnsi="Arial" w:cs="Arial"/>
          <w:color w:val="000000"/>
          <w:szCs w:val="18"/>
        </w:rPr>
        <w:t xml:space="preserve"> that estimation, on average, tended to overstate consumption</w:t>
      </w:r>
      <w:r w:rsidR="00C53482">
        <w:rPr>
          <w:rFonts w:ascii="Arial" w:hAnsi="Arial" w:cs="Arial"/>
          <w:color w:val="000000"/>
          <w:szCs w:val="18"/>
        </w:rPr>
        <w:t>. This</w:t>
      </w:r>
      <w:r w:rsidR="000F5C20">
        <w:rPr>
          <w:rFonts w:ascii="Arial" w:hAnsi="Arial" w:cs="Arial"/>
          <w:color w:val="000000"/>
          <w:szCs w:val="18"/>
        </w:rPr>
        <w:t xml:space="preserve"> </w:t>
      </w:r>
      <w:r w:rsidR="00C53482">
        <w:rPr>
          <w:rFonts w:ascii="Arial" w:hAnsi="Arial" w:cs="Arial"/>
          <w:color w:val="000000"/>
          <w:szCs w:val="18"/>
        </w:rPr>
        <w:t>became</w:t>
      </w:r>
      <w:r w:rsidRPr="006711DB">
        <w:rPr>
          <w:rFonts w:ascii="Arial" w:hAnsi="Arial" w:cs="Arial"/>
          <w:color w:val="000000"/>
          <w:szCs w:val="18"/>
        </w:rPr>
        <w:t xml:space="preserve"> more pronounced/skewed in 2020</w:t>
      </w:r>
      <w:r w:rsidR="000F5C20">
        <w:rPr>
          <w:rFonts w:ascii="Arial" w:hAnsi="Arial" w:cs="Arial"/>
          <w:color w:val="000000"/>
          <w:szCs w:val="18"/>
        </w:rPr>
        <w:t xml:space="preserve"> and </w:t>
      </w:r>
      <w:r w:rsidR="00C53482">
        <w:rPr>
          <w:rFonts w:ascii="Arial" w:hAnsi="Arial" w:cs="Arial"/>
          <w:color w:val="000000"/>
          <w:szCs w:val="18"/>
        </w:rPr>
        <w:t xml:space="preserve">in our May report this occurred to an even greater </w:t>
      </w:r>
      <w:r w:rsidR="00836E61">
        <w:rPr>
          <w:rFonts w:ascii="Arial" w:hAnsi="Arial" w:cs="Arial"/>
          <w:color w:val="000000"/>
          <w:szCs w:val="18"/>
        </w:rPr>
        <w:t xml:space="preserve">extent </w:t>
      </w:r>
      <w:r w:rsidR="00C53482">
        <w:rPr>
          <w:rFonts w:ascii="Arial" w:hAnsi="Arial" w:cs="Arial"/>
          <w:color w:val="000000"/>
          <w:szCs w:val="18"/>
        </w:rPr>
        <w:t xml:space="preserve">for the first quarter in </w:t>
      </w:r>
      <w:r w:rsidR="000F5C20">
        <w:rPr>
          <w:rFonts w:ascii="Arial" w:hAnsi="Arial" w:cs="Arial"/>
          <w:color w:val="000000"/>
          <w:szCs w:val="18"/>
        </w:rPr>
        <w:t>2021</w:t>
      </w:r>
      <w:r w:rsidRPr="006711DB">
        <w:rPr>
          <w:rFonts w:ascii="Arial" w:hAnsi="Arial" w:cs="Arial"/>
          <w:color w:val="000000"/>
          <w:szCs w:val="18"/>
        </w:rPr>
        <w:t xml:space="preserve"> where there </w:t>
      </w:r>
      <w:r w:rsidR="00EA3E42" w:rsidRPr="006711DB">
        <w:rPr>
          <w:rFonts w:ascii="Arial" w:hAnsi="Arial" w:cs="Arial"/>
          <w:color w:val="000000"/>
          <w:szCs w:val="18"/>
        </w:rPr>
        <w:t>were</w:t>
      </w:r>
      <w:r w:rsidRPr="006711DB">
        <w:rPr>
          <w:rFonts w:ascii="Arial" w:hAnsi="Arial" w:cs="Arial"/>
          <w:color w:val="000000"/>
          <w:szCs w:val="18"/>
        </w:rPr>
        <w:t xml:space="preserve"> more likely to be larger overstatements of consumption</w:t>
      </w:r>
      <w:r w:rsidR="00C53482">
        <w:rPr>
          <w:rFonts w:ascii="Arial" w:hAnsi="Arial" w:cs="Arial"/>
          <w:color w:val="000000"/>
          <w:szCs w:val="18"/>
        </w:rPr>
        <w:t xml:space="preserve"> in estimates for sites that had been closed</w:t>
      </w:r>
      <w:r w:rsidRPr="006711DB">
        <w:rPr>
          <w:rFonts w:ascii="Arial" w:hAnsi="Arial" w:cs="Arial"/>
          <w:color w:val="000000"/>
          <w:szCs w:val="18"/>
        </w:rPr>
        <w:t xml:space="preserve">. </w:t>
      </w:r>
      <w:r w:rsidR="00601FBD">
        <w:rPr>
          <w:rFonts w:ascii="Arial" w:hAnsi="Arial" w:cs="Arial"/>
          <w:color w:val="000000"/>
          <w:szCs w:val="18"/>
        </w:rPr>
        <w:t>However, since the update in May, as with the domestic Profile Classes, this appears to have settled and be far nearer the pre-pandemic position.</w:t>
      </w:r>
    </w:p>
    <w:p w14:paraId="6380DC28" w14:textId="7F202977" w:rsidR="00C14A97" w:rsidRPr="001D100E" w:rsidRDefault="00E67507" w:rsidP="00C14A97">
      <w:pPr>
        <w:pStyle w:val="List"/>
      </w:pPr>
      <w:r>
        <w:t>Performance o</w:t>
      </w:r>
      <w:r w:rsidR="00C14A97" w:rsidRPr="001D100E">
        <w:t>verview</w:t>
      </w:r>
      <w:r w:rsidR="00C14A97">
        <w:t>, changes over the last quarter and potential impacts in the next which we need to consider</w:t>
      </w:r>
    </w:p>
    <w:p w14:paraId="766011DB" w14:textId="6C240375" w:rsidR="004F50E8" w:rsidRDefault="00C14A97" w:rsidP="004F50E8">
      <w:pPr>
        <w:suppressAutoHyphens/>
        <w:autoSpaceDE w:val="0"/>
        <w:autoSpaceDN w:val="0"/>
        <w:adjustRightInd w:val="0"/>
        <w:spacing w:after="120" w:line="260" w:lineRule="atLeast"/>
        <w:ind w:left="680"/>
        <w:textAlignment w:val="center"/>
        <w:rPr>
          <w:rFonts w:ascii="Arial" w:hAnsi="Arial" w:cs="Arial"/>
          <w:color w:val="000000"/>
          <w:szCs w:val="18"/>
        </w:rPr>
      </w:pPr>
      <w:r>
        <w:rPr>
          <w:rFonts w:ascii="Arial" w:hAnsi="Arial" w:cs="Arial"/>
          <w:color w:val="000000"/>
          <w:szCs w:val="18"/>
        </w:rPr>
        <w:t>Looking at the volume of non-compliant estimation</w:t>
      </w:r>
      <w:r w:rsidR="003712D6">
        <w:rPr>
          <w:rFonts w:ascii="Arial" w:hAnsi="Arial" w:cs="Arial"/>
          <w:color w:val="000000"/>
          <w:szCs w:val="18"/>
        </w:rPr>
        <w:t xml:space="preserve"> of Suppliers under the standard</w:t>
      </w:r>
      <w:r>
        <w:rPr>
          <w:rFonts w:ascii="Arial" w:hAnsi="Arial" w:cs="Arial"/>
          <w:color w:val="000000"/>
          <w:szCs w:val="18"/>
        </w:rPr>
        <w:t xml:space="preserve"> in all three</w:t>
      </w:r>
      <w:r w:rsidR="004F50E8">
        <w:rPr>
          <w:rFonts w:ascii="Arial" w:hAnsi="Arial" w:cs="Arial"/>
          <w:color w:val="000000"/>
          <w:szCs w:val="18"/>
        </w:rPr>
        <w:t xml:space="preserve"> of the</w:t>
      </w:r>
      <w:r>
        <w:rPr>
          <w:rFonts w:ascii="Arial" w:hAnsi="Arial" w:cs="Arial"/>
          <w:color w:val="000000"/>
          <w:szCs w:val="18"/>
        </w:rPr>
        <w:t xml:space="preserve"> market areas</w:t>
      </w:r>
      <w:r w:rsidR="004F50E8">
        <w:rPr>
          <w:rFonts w:ascii="Arial" w:hAnsi="Arial" w:cs="Arial"/>
          <w:color w:val="000000"/>
          <w:szCs w:val="18"/>
        </w:rPr>
        <w:t xml:space="preserve"> and</w:t>
      </w:r>
      <w:r>
        <w:rPr>
          <w:rFonts w:ascii="Arial" w:hAnsi="Arial" w:cs="Arial"/>
          <w:color w:val="000000"/>
          <w:szCs w:val="18"/>
        </w:rPr>
        <w:t xml:space="preserve"> based on </w:t>
      </w:r>
      <w:r w:rsidR="00BD31DE">
        <w:rPr>
          <w:rFonts w:ascii="Arial" w:hAnsi="Arial" w:cs="Arial"/>
          <w:color w:val="000000"/>
          <w:szCs w:val="18"/>
        </w:rPr>
        <w:t>PAB’s August</w:t>
      </w:r>
      <w:r>
        <w:rPr>
          <w:rFonts w:ascii="Arial" w:hAnsi="Arial" w:cs="Arial"/>
          <w:color w:val="000000"/>
          <w:szCs w:val="18"/>
        </w:rPr>
        <w:t xml:space="preserve"> reporting (which reports on Settlement Days in </w:t>
      </w:r>
      <w:r w:rsidR="00BD31DE">
        <w:rPr>
          <w:rFonts w:ascii="Arial" w:hAnsi="Arial" w:cs="Arial"/>
          <w:color w:val="000000"/>
          <w:szCs w:val="18"/>
        </w:rPr>
        <w:t xml:space="preserve">May </w:t>
      </w:r>
      <w:r w:rsidR="001C36F3">
        <w:rPr>
          <w:rFonts w:ascii="Arial" w:hAnsi="Arial" w:cs="Arial"/>
          <w:color w:val="000000"/>
          <w:szCs w:val="18"/>
        </w:rPr>
        <w:t>2021</w:t>
      </w:r>
      <w:r>
        <w:rPr>
          <w:rFonts w:ascii="Arial" w:hAnsi="Arial" w:cs="Arial"/>
          <w:color w:val="000000"/>
          <w:szCs w:val="18"/>
        </w:rPr>
        <w:t xml:space="preserve"> at R1 and Settlement Days in </w:t>
      </w:r>
      <w:r w:rsidR="00BD31DE">
        <w:rPr>
          <w:rFonts w:ascii="Arial" w:hAnsi="Arial" w:cs="Arial"/>
          <w:color w:val="000000"/>
          <w:szCs w:val="18"/>
        </w:rPr>
        <w:t>May</w:t>
      </w:r>
      <w:r w:rsidR="001C36F3">
        <w:rPr>
          <w:rFonts w:ascii="Arial" w:hAnsi="Arial" w:cs="Arial"/>
          <w:color w:val="000000"/>
          <w:szCs w:val="18"/>
        </w:rPr>
        <w:t xml:space="preserve"> 2020</w:t>
      </w:r>
      <w:r w:rsidR="001E030F">
        <w:rPr>
          <w:rFonts w:ascii="Arial" w:hAnsi="Arial" w:cs="Arial"/>
          <w:color w:val="000000"/>
          <w:szCs w:val="18"/>
        </w:rPr>
        <w:t xml:space="preserve"> at RF), we can see that 55% </w:t>
      </w:r>
      <w:r>
        <w:rPr>
          <w:rFonts w:ascii="Arial" w:hAnsi="Arial" w:cs="Arial"/>
          <w:color w:val="000000"/>
          <w:szCs w:val="18"/>
        </w:rPr>
        <w:t>is c</w:t>
      </w:r>
      <w:r w:rsidR="001E030F">
        <w:rPr>
          <w:rFonts w:ascii="Arial" w:hAnsi="Arial" w:cs="Arial"/>
          <w:color w:val="000000"/>
          <w:szCs w:val="18"/>
        </w:rPr>
        <w:t>urrently within the NHH market</w:t>
      </w:r>
      <w:r w:rsidR="004F50E8">
        <w:rPr>
          <w:rFonts w:ascii="Arial" w:hAnsi="Arial" w:cs="Arial"/>
          <w:color w:val="000000"/>
          <w:szCs w:val="18"/>
        </w:rPr>
        <w:t xml:space="preserve">. </w:t>
      </w:r>
    </w:p>
    <w:p w14:paraId="24A1D66B" w14:textId="77777777" w:rsidR="00CE6203" w:rsidRDefault="00CE6203" w:rsidP="00C14A97">
      <w:pPr>
        <w:suppressAutoHyphens/>
        <w:autoSpaceDE w:val="0"/>
        <w:autoSpaceDN w:val="0"/>
        <w:adjustRightInd w:val="0"/>
        <w:spacing w:after="120" w:line="260" w:lineRule="atLeast"/>
        <w:ind w:left="680"/>
        <w:textAlignment w:val="center"/>
        <w:rPr>
          <w:rFonts w:ascii="Arial" w:hAnsi="Arial" w:cs="Arial"/>
          <w:color w:val="000000"/>
          <w:szCs w:val="18"/>
        </w:rPr>
      </w:pPr>
    </w:p>
    <w:tbl>
      <w:tblPr>
        <w:tblStyle w:val="ElexonBasicTable"/>
        <w:tblW w:w="0" w:type="auto"/>
        <w:tblInd w:w="680" w:type="dxa"/>
        <w:tblLook w:val="04A0" w:firstRow="1" w:lastRow="0" w:firstColumn="1" w:lastColumn="0" w:noHBand="0" w:noVBand="1"/>
      </w:tblPr>
      <w:tblGrid>
        <w:gridCol w:w="1642"/>
        <w:gridCol w:w="1642"/>
        <w:gridCol w:w="1643"/>
        <w:gridCol w:w="1643"/>
        <w:gridCol w:w="1643"/>
        <w:gridCol w:w="1643"/>
      </w:tblGrid>
      <w:tr w:rsidR="00C14A97" w14:paraId="51ADF324" w14:textId="77777777" w:rsidTr="00AF7562">
        <w:trPr>
          <w:cnfStyle w:val="100000000000" w:firstRow="1" w:lastRow="0" w:firstColumn="0" w:lastColumn="0" w:oddVBand="0" w:evenVBand="0" w:oddHBand="0" w:evenHBand="0" w:firstRowFirstColumn="0" w:firstRowLastColumn="0" w:lastRowFirstColumn="0" w:lastRowLastColumn="0"/>
          <w:tblHeader/>
        </w:trPr>
        <w:tc>
          <w:tcPr>
            <w:tcW w:w="1642" w:type="dxa"/>
            <w:tcBorders>
              <w:bottom w:val="single" w:sz="4" w:space="0" w:color="auto"/>
            </w:tcBorders>
            <w:vAlign w:val="top"/>
          </w:tcPr>
          <w:p w14:paraId="6FAB8283"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Market Area</w:t>
            </w:r>
          </w:p>
        </w:tc>
        <w:tc>
          <w:tcPr>
            <w:tcW w:w="1642" w:type="dxa"/>
            <w:tcBorders>
              <w:bottom w:val="single" w:sz="4" w:space="0" w:color="auto"/>
            </w:tcBorders>
            <w:vAlign w:val="top"/>
          </w:tcPr>
          <w:p w14:paraId="21BACBE9"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Settlement Run and standard used for current view</w:t>
            </w:r>
          </w:p>
        </w:tc>
        <w:tc>
          <w:tcPr>
            <w:tcW w:w="1643" w:type="dxa"/>
            <w:tcBorders>
              <w:bottom w:val="single" w:sz="4" w:space="0" w:color="auto"/>
            </w:tcBorders>
            <w:vAlign w:val="top"/>
          </w:tcPr>
          <w:p w14:paraId="162D67EA"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Settlement month used in current view</w:t>
            </w:r>
          </w:p>
        </w:tc>
        <w:tc>
          <w:tcPr>
            <w:tcW w:w="1643" w:type="dxa"/>
            <w:tcBorders>
              <w:bottom w:val="single" w:sz="4" w:space="0" w:color="auto"/>
            </w:tcBorders>
            <w:vAlign w:val="top"/>
          </w:tcPr>
          <w:p w14:paraId="66F82D4F"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Industry Average</w:t>
            </w:r>
          </w:p>
        </w:tc>
        <w:tc>
          <w:tcPr>
            <w:tcW w:w="1643" w:type="dxa"/>
            <w:tcBorders>
              <w:bottom w:val="single" w:sz="4" w:space="0" w:color="auto"/>
            </w:tcBorders>
            <w:vAlign w:val="top"/>
          </w:tcPr>
          <w:p w14:paraId="59EF1D78" w14:textId="1C792580" w:rsidR="00C14A97" w:rsidRPr="006209D4" w:rsidRDefault="00C14A97" w:rsidP="001E030F">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 xml:space="preserve">Volume </w:t>
            </w:r>
            <w:r w:rsidR="003A7FCE">
              <w:rPr>
                <w:b w:val="0"/>
                <w:sz w:val="16"/>
              </w:rPr>
              <w:t xml:space="preserve">of </w:t>
            </w:r>
            <w:r w:rsidR="001E030F">
              <w:rPr>
                <w:b w:val="0"/>
                <w:sz w:val="16"/>
              </w:rPr>
              <w:t xml:space="preserve"> non-compliant estimation in </w:t>
            </w:r>
            <w:r w:rsidRPr="006209D4">
              <w:rPr>
                <w:b w:val="0"/>
                <w:sz w:val="16"/>
              </w:rPr>
              <w:t>MWh</w:t>
            </w:r>
            <w:r w:rsidR="003A7FCE">
              <w:rPr>
                <w:b w:val="0"/>
                <w:sz w:val="16"/>
              </w:rPr>
              <w:t xml:space="preserve"> </w:t>
            </w:r>
            <w:r w:rsidR="001E030F">
              <w:rPr>
                <w:b w:val="0"/>
                <w:sz w:val="16"/>
              </w:rPr>
              <w:t xml:space="preserve">for </w:t>
            </w:r>
            <w:r w:rsidR="003A7FCE">
              <w:rPr>
                <w:b w:val="0"/>
                <w:sz w:val="16"/>
              </w:rPr>
              <w:t xml:space="preserve"> Suppliers not meeting the standard</w:t>
            </w:r>
          </w:p>
        </w:tc>
        <w:tc>
          <w:tcPr>
            <w:tcW w:w="1643" w:type="dxa"/>
            <w:vAlign w:val="top"/>
          </w:tcPr>
          <w:p w14:paraId="454A6267" w14:textId="77777777" w:rsidR="00C14A97" w:rsidRPr="006209D4" w:rsidRDefault="00C14A97" w:rsidP="00C57CDD">
            <w:pPr>
              <w:suppressAutoHyphens/>
              <w:autoSpaceDE w:val="0"/>
              <w:autoSpaceDN w:val="0"/>
              <w:adjustRightInd w:val="0"/>
              <w:spacing w:after="120" w:line="260" w:lineRule="atLeast"/>
              <w:textAlignment w:val="center"/>
              <w:rPr>
                <w:rFonts w:ascii="Arial" w:hAnsi="Arial" w:cs="Arial"/>
                <w:color w:val="000000"/>
                <w:sz w:val="16"/>
                <w:szCs w:val="18"/>
              </w:rPr>
            </w:pPr>
            <w:r w:rsidRPr="006209D4">
              <w:rPr>
                <w:b w:val="0"/>
                <w:sz w:val="16"/>
              </w:rPr>
              <w:t>% of the impact per market area</w:t>
            </w:r>
          </w:p>
        </w:tc>
      </w:tr>
      <w:tr w:rsidR="00E853A6" w14:paraId="50C43FD2" w14:textId="77777777" w:rsidTr="00AF7562">
        <w:tc>
          <w:tcPr>
            <w:tcW w:w="1642" w:type="dxa"/>
            <w:tcBorders>
              <w:top w:val="single" w:sz="4" w:space="0" w:color="auto"/>
              <w:left w:val="single" w:sz="4" w:space="0" w:color="auto"/>
              <w:bottom w:val="single" w:sz="4" w:space="0" w:color="auto"/>
              <w:right w:val="single" w:sz="4" w:space="0" w:color="auto"/>
            </w:tcBorders>
            <w:vAlign w:val="top"/>
          </w:tcPr>
          <w:p w14:paraId="1955913C" w14:textId="77777777" w:rsidR="00E853A6" w:rsidRPr="00E853A6" w:rsidRDefault="00E853A6" w:rsidP="004525A1">
            <w:pPr>
              <w:pStyle w:val="ElexonTableTextSmall"/>
              <w:jc w:val="center"/>
              <w:rPr>
                <w:lang w:eastAsia="en-GB"/>
              </w:rPr>
            </w:pPr>
            <w:r w:rsidRPr="00E853A6">
              <w:rPr>
                <w:lang w:eastAsia="en-GB"/>
              </w:rPr>
              <w:t>HH MC C</w:t>
            </w:r>
          </w:p>
        </w:tc>
        <w:tc>
          <w:tcPr>
            <w:tcW w:w="1642" w:type="dxa"/>
            <w:tcBorders>
              <w:top w:val="single" w:sz="4" w:space="0" w:color="auto"/>
              <w:left w:val="single" w:sz="4" w:space="0" w:color="auto"/>
              <w:bottom w:val="single" w:sz="4" w:space="0" w:color="auto"/>
              <w:right w:val="single" w:sz="4" w:space="0" w:color="auto"/>
            </w:tcBorders>
            <w:vAlign w:val="top"/>
          </w:tcPr>
          <w:p w14:paraId="02B16685" w14:textId="77777777" w:rsidR="00E853A6" w:rsidRPr="00E853A6" w:rsidRDefault="00E853A6" w:rsidP="004525A1">
            <w:pPr>
              <w:pStyle w:val="ElexonTableTextSmall"/>
              <w:jc w:val="center"/>
              <w:rPr>
                <w:lang w:eastAsia="en-GB"/>
              </w:rPr>
            </w:pPr>
            <w:r w:rsidRPr="00E853A6">
              <w:rPr>
                <w:lang w:eastAsia="en-GB"/>
              </w:rPr>
              <w:t>R1 99% (</w:t>
            </w:r>
            <w:r w:rsidRPr="00BD31DE">
              <w:rPr>
                <w:rFonts w:ascii="Arial" w:hAnsi="Arial" w:cs="Arial"/>
                <w:color w:val="000000"/>
                <w:szCs w:val="18"/>
              </w:rPr>
              <w:t>standard required at SF but assessed due to risk based approach at R1)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AB6A6E0" w14:textId="01B36C20" w:rsidR="00E853A6" w:rsidRPr="00A109B0" w:rsidRDefault="00FD0BC7" w:rsidP="004525A1">
            <w:pPr>
              <w:pStyle w:val="ElexonTableTextSmall"/>
              <w:jc w:val="center"/>
              <w:rPr>
                <w:lang w:eastAsia="en-GB"/>
              </w:rPr>
            </w:pPr>
            <w:r>
              <w:rPr>
                <w:lang w:eastAsia="en-GB"/>
              </w:rPr>
              <w:t xml:space="preserve">May </w:t>
            </w:r>
            <w:r w:rsidR="00E853A6" w:rsidRPr="00291C47">
              <w:rPr>
                <w:lang w:eastAsia="en-GB"/>
              </w:rPr>
              <w:t>2021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C2CBFCF" w14:textId="774B14B0" w:rsidR="00E853A6" w:rsidRPr="00A109B0" w:rsidRDefault="00FD0BC7" w:rsidP="004525A1">
            <w:pPr>
              <w:pStyle w:val="ElexonTableTextSmall"/>
              <w:jc w:val="center"/>
              <w:rPr>
                <w:lang w:eastAsia="en-GB"/>
              </w:rPr>
            </w:pPr>
            <w:r>
              <w:rPr>
                <w:lang w:eastAsia="en-GB"/>
              </w:rPr>
              <w:t>98.3</w:t>
            </w:r>
            <w:r w:rsidR="00E853A6" w:rsidRPr="00291C47">
              <w:rPr>
                <w:lang w:eastAsia="en-GB"/>
              </w:rPr>
              <w:t>8% at R1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BC75046" w14:textId="6A209820" w:rsidR="009000FC" w:rsidRPr="00A109B0" w:rsidRDefault="009000FC" w:rsidP="004525A1">
            <w:pPr>
              <w:pStyle w:val="ElexonTableTextSmall"/>
              <w:jc w:val="center"/>
              <w:rPr>
                <w:lang w:eastAsia="en-GB"/>
              </w:rPr>
            </w:pPr>
            <w:r>
              <w:rPr>
                <w:lang w:eastAsia="en-GB"/>
              </w:rPr>
              <w:t>58,736MWh</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85F72D0" w14:textId="7F78F2BD" w:rsidR="000D492C" w:rsidRPr="00A109B0" w:rsidRDefault="001F70FC" w:rsidP="004525A1">
            <w:pPr>
              <w:pStyle w:val="ElexonTableTextSmall"/>
              <w:jc w:val="center"/>
              <w:rPr>
                <w:lang w:eastAsia="en-GB"/>
              </w:rPr>
            </w:pPr>
            <w:r>
              <w:rPr>
                <w:lang w:eastAsia="en-GB"/>
              </w:rPr>
              <w:t>26</w:t>
            </w:r>
            <w:r w:rsidR="000D492C">
              <w:rPr>
                <w:lang w:eastAsia="en-GB"/>
              </w:rPr>
              <w:t>%</w:t>
            </w:r>
          </w:p>
        </w:tc>
      </w:tr>
      <w:tr w:rsidR="00E853A6" w14:paraId="1B0F0B8F" w14:textId="77777777" w:rsidTr="00AF7562">
        <w:tc>
          <w:tcPr>
            <w:tcW w:w="1642" w:type="dxa"/>
            <w:tcBorders>
              <w:top w:val="single" w:sz="4" w:space="0" w:color="auto"/>
              <w:left w:val="single" w:sz="4" w:space="0" w:color="auto"/>
              <w:bottom w:val="single" w:sz="4" w:space="0" w:color="auto"/>
              <w:right w:val="single" w:sz="4" w:space="0" w:color="auto"/>
            </w:tcBorders>
            <w:vAlign w:val="top"/>
          </w:tcPr>
          <w:p w14:paraId="13D14637" w14:textId="77777777" w:rsidR="00E853A6" w:rsidRPr="00E853A6" w:rsidRDefault="00E853A6" w:rsidP="004525A1">
            <w:pPr>
              <w:pStyle w:val="ElexonTableTextSmall"/>
              <w:jc w:val="center"/>
              <w:rPr>
                <w:lang w:eastAsia="en-GB"/>
              </w:rPr>
            </w:pPr>
            <w:r w:rsidRPr="00E853A6">
              <w:rPr>
                <w:lang w:eastAsia="en-GB"/>
              </w:rPr>
              <w:t>HH MC E,F and G</w:t>
            </w:r>
          </w:p>
        </w:tc>
        <w:tc>
          <w:tcPr>
            <w:tcW w:w="1642" w:type="dxa"/>
            <w:tcBorders>
              <w:top w:val="single" w:sz="4" w:space="0" w:color="auto"/>
              <w:left w:val="single" w:sz="4" w:space="0" w:color="auto"/>
              <w:bottom w:val="single" w:sz="4" w:space="0" w:color="auto"/>
              <w:right w:val="single" w:sz="4" w:space="0" w:color="auto"/>
            </w:tcBorders>
            <w:vAlign w:val="top"/>
          </w:tcPr>
          <w:p w14:paraId="5E7F672C" w14:textId="77777777" w:rsidR="00E853A6" w:rsidRPr="00E853A6" w:rsidRDefault="00E853A6" w:rsidP="004525A1">
            <w:pPr>
              <w:pStyle w:val="ElexonTableTextSmall"/>
              <w:jc w:val="center"/>
              <w:rPr>
                <w:lang w:eastAsia="en-GB"/>
              </w:rPr>
            </w:pPr>
            <w:r w:rsidRPr="00E853A6">
              <w:rPr>
                <w:lang w:eastAsia="en-GB"/>
              </w:rPr>
              <w:t>R1 99%</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8A5EFDB" w14:textId="631A0625" w:rsidR="00E853A6" w:rsidRPr="00A109B0" w:rsidRDefault="00FD0BC7" w:rsidP="004525A1">
            <w:pPr>
              <w:pStyle w:val="ElexonTableTextSmall"/>
              <w:jc w:val="center"/>
              <w:rPr>
                <w:lang w:eastAsia="en-GB"/>
              </w:rPr>
            </w:pPr>
            <w:r>
              <w:rPr>
                <w:lang w:eastAsia="en-GB"/>
              </w:rPr>
              <w:t xml:space="preserve">May </w:t>
            </w:r>
            <w:r w:rsidR="00E853A6" w:rsidRPr="00291C47">
              <w:rPr>
                <w:lang w:eastAsia="en-GB"/>
              </w:rPr>
              <w:t>2021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70EF7B79" w14:textId="504D084E" w:rsidR="00E853A6" w:rsidRPr="00A109B0" w:rsidRDefault="00FD0BC7" w:rsidP="004525A1">
            <w:pPr>
              <w:pStyle w:val="ElexonTableTextSmall"/>
              <w:jc w:val="center"/>
              <w:rPr>
                <w:lang w:eastAsia="en-GB"/>
              </w:rPr>
            </w:pPr>
            <w:r>
              <w:rPr>
                <w:lang w:eastAsia="en-GB"/>
              </w:rPr>
              <w:t>95.40</w:t>
            </w:r>
            <w:r w:rsidR="00E853A6" w:rsidRPr="00291C47">
              <w:rPr>
                <w:lang w:eastAsia="en-GB"/>
              </w:rPr>
              <w:t>% at R1</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2E60C5C6" w14:textId="5A2F5234" w:rsidR="009000FC" w:rsidRPr="00A109B0" w:rsidRDefault="009000FC" w:rsidP="004525A1">
            <w:pPr>
              <w:pStyle w:val="ElexonTableTextSmall"/>
              <w:jc w:val="center"/>
              <w:rPr>
                <w:lang w:eastAsia="en-GB"/>
              </w:rPr>
            </w:pPr>
            <w:r>
              <w:rPr>
                <w:lang w:eastAsia="en-GB"/>
              </w:rPr>
              <w:t>35,611MWh</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518FF74C" w14:textId="5E054B2C" w:rsidR="000D492C" w:rsidRPr="00A109B0" w:rsidRDefault="00DB7F76" w:rsidP="004525A1">
            <w:pPr>
              <w:pStyle w:val="ElexonTableTextSmall"/>
              <w:jc w:val="center"/>
              <w:rPr>
                <w:lang w:eastAsia="en-GB"/>
              </w:rPr>
            </w:pPr>
            <w:r>
              <w:rPr>
                <w:lang w:eastAsia="en-GB"/>
              </w:rPr>
              <w:t>16</w:t>
            </w:r>
            <w:r w:rsidR="000D492C">
              <w:rPr>
                <w:lang w:eastAsia="en-GB"/>
              </w:rPr>
              <w:t>%</w:t>
            </w:r>
          </w:p>
        </w:tc>
      </w:tr>
      <w:tr w:rsidR="00E853A6" w14:paraId="19F34B3C" w14:textId="77777777" w:rsidTr="00AF7562">
        <w:tc>
          <w:tcPr>
            <w:tcW w:w="1642" w:type="dxa"/>
            <w:tcBorders>
              <w:top w:val="single" w:sz="4" w:space="0" w:color="auto"/>
              <w:left w:val="single" w:sz="4" w:space="0" w:color="auto"/>
              <w:bottom w:val="single" w:sz="4" w:space="0" w:color="auto"/>
              <w:right w:val="single" w:sz="4" w:space="0" w:color="auto"/>
            </w:tcBorders>
            <w:vAlign w:val="top"/>
          </w:tcPr>
          <w:p w14:paraId="2B3B2479" w14:textId="77777777" w:rsidR="00E853A6" w:rsidRPr="00E853A6" w:rsidRDefault="00E853A6" w:rsidP="004525A1">
            <w:pPr>
              <w:pStyle w:val="ElexonTableTextSmall"/>
              <w:jc w:val="center"/>
              <w:rPr>
                <w:lang w:eastAsia="en-GB"/>
              </w:rPr>
            </w:pPr>
            <w:r w:rsidRPr="00E853A6">
              <w:rPr>
                <w:lang w:eastAsia="en-GB"/>
              </w:rPr>
              <w:t>NHH</w:t>
            </w:r>
          </w:p>
        </w:tc>
        <w:tc>
          <w:tcPr>
            <w:tcW w:w="1642" w:type="dxa"/>
            <w:tcBorders>
              <w:top w:val="single" w:sz="4" w:space="0" w:color="auto"/>
              <w:left w:val="single" w:sz="4" w:space="0" w:color="auto"/>
              <w:bottom w:val="single" w:sz="4" w:space="0" w:color="auto"/>
              <w:right w:val="single" w:sz="4" w:space="0" w:color="auto"/>
            </w:tcBorders>
            <w:vAlign w:val="top"/>
          </w:tcPr>
          <w:p w14:paraId="16F3004A" w14:textId="77777777" w:rsidR="00E853A6" w:rsidRPr="00E853A6" w:rsidRDefault="00E853A6" w:rsidP="004525A1">
            <w:pPr>
              <w:pStyle w:val="ElexonTableTextSmall"/>
              <w:jc w:val="center"/>
              <w:rPr>
                <w:lang w:eastAsia="en-GB"/>
              </w:rPr>
            </w:pPr>
            <w:r w:rsidRPr="00E853A6">
              <w:rPr>
                <w:lang w:eastAsia="en-GB"/>
              </w:rPr>
              <w:t>RF 97%</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035ED18E" w14:textId="3B211AE0" w:rsidR="00E853A6" w:rsidRPr="00A109B0" w:rsidRDefault="00FD0BC7" w:rsidP="004525A1">
            <w:pPr>
              <w:pStyle w:val="ElexonTableTextSmall"/>
              <w:jc w:val="center"/>
              <w:rPr>
                <w:lang w:eastAsia="en-GB"/>
              </w:rPr>
            </w:pPr>
            <w:r>
              <w:rPr>
                <w:lang w:eastAsia="en-GB"/>
              </w:rPr>
              <w:t>May</w:t>
            </w:r>
            <w:r w:rsidR="00E853A6" w:rsidRPr="00291C47">
              <w:rPr>
                <w:lang w:eastAsia="en-GB"/>
              </w:rPr>
              <w:t xml:space="preserve"> 2020</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6799F0AD" w14:textId="65451C23" w:rsidR="00E853A6" w:rsidRPr="00A109B0" w:rsidRDefault="00FD0BC7" w:rsidP="004525A1">
            <w:pPr>
              <w:pStyle w:val="ElexonTableTextSmall"/>
              <w:jc w:val="center"/>
              <w:rPr>
                <w:lang w:eastAsia="en-GB"/>
              </w:rPr>
            </w:pPr>
            <w:r>
              <w:rPr>
                <w:lang w:eastAsia="en-GB"/>
              </w:rPr>
              <w:t>96.12</w:t>
            </w:r>
            <w:r w:rsidR="00E853A6" w:rsidRPr="00291C47">
              <w:rPr>
                <w:lang w:eastAsia="en-GB"/>
              </w:rPr>
              <w:t>% at RF</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17B3109D" w14:textId="4334BEE3" w:rsidR="009000FC" w:rsidRPr="00A109B0" w:rsidRDefault="009000FC" w:rsidP="004525A1">
            <w:pPr>
              <w:pStyle w:val="ElexonTableTextSmall"/>
              <w:jc w:val="center"/>
              <w:rPr>
                <w:lang w:eastAsia="en-GB"/>
              </w:rPr>
            </w:pPr>
            <w:r>
              <w:rPr>
                <w:lang w:eastAsia="en-GB"/>
              </w:rPr>
              <w:t>133,619MWh</w:t>
            </w:r>
          </w:p>
        </w:tc>
        <w:tc>
          <w:tcPr>
            <w:tcW w:w="1643" w:type="dxa"/>
            <w:tcBorders>
              <w:top w:val="single" w:sz="4" w:space="0" w:color="auto"/>
              <w:left w:val="single" w:sz="4" w:space="0" w:color="auto"/>
              <w:bottom w:val="single" w:sz="4" w:space="0" w:color="auto"/>
              <w:right w:val="single" w:sz="4" w:space="0" w:color="auto"/>
            </w:tcBorders>
            <w:shd w:val="clear" w:color="auto" w:fill="FFFFFF" w:themeFill="background1"/>
            <w:vAlign w:val="top"/>
          </w:tcPr>
          <w:p w14:paraId="4B9122DD" w14:textId="660B4CBD" w:rsidR="000D492C" w:rsidRPr="00A109B0" w:rsidRDefault="00871600" w:rsidP="004525A1">
            <w:pPr>
              <w:pStyle w:val="ElexonTableTextSmall"/>
              <w:jc w:val="center"/>
              <w:rPr>
                <w:lang w:eastAsia="en-GB"/>
              </w:rPr>
            </w:pPr>
            <w:r>
              <w:rPr>
                <w:lang w:eastAsia="en-GB"/>
              </w:rPr>
              <w:t>5</w:t>
            </w:r>
            <w:r w:rsidR="00DB7F76">
              <w:rPr>
                <w:lang w:eastAsia="en-GB"/>
              </w:rPr>
              <w:t>8</w:t>
            </w:r>
            <w:r w:rsidR="000D492C">
              <w:rPr>
                <w:lang w:eastAsia="en-GB"/>
              </w:rPr>
              <w:t>%</w:t>
            </w:r>
          </w:p>
        </w:tc>
      </w:tr>
      <w:tr w:rsidR="00C14A97" w14:paraId="2837D4E1" w14:textId="77777777" w:rsidTr="00AF7562">
        <w:tc>
          <w:tcPr>
            <w:tcW w:w="6570" w:type="dxa"/>
            <w:gridSpan w:val="4"/>
            <w:tcBorders>
              <w:top w:val="single" w:sz="4" w:space="0" w:color="auto"/>
              <w:left w:val="single" w:sz="4" w:space="0" w:color="auto"/>
              <w:bottom w:val="single" w:sz="4" w:space="0" w:color="auto"/>
              <w:right w:val="single" w:sz="4" w:space="0" w:color="auto"/>
            </w:tcBorders>
          </w:tcPr>
          <w:p w14:paraId="2599F332" w14:textId="77777777" w:rsidR="00C14A97" w:rsidRPr="00E853A6" w:rsidRDefault="00C14A97" w:rsidP="004525A1">
            <w:pPr>
              <w:pStyle w:val="ElexonTableTextSmall"/>
              <w:jc w:val="right"/>
              <w:rPr>
                <w:lang w:eastAsia="en-GB"/>
              </w:rPr>
            </w:pPr>
            <w:r w:rsidRPr="00E853A6">
              <w:rPr>
                <w:lang w:eastAsia="en-GB"/>
              </w:rPr>
              <w:t>Total:</w:t>
            </w:r>
          </w:p>
        </w:tc>
        <w:tc>
          <w:tcPr>
            <w:tcW w:w="1643" w:type="dxa"/>
            <w:tcBorders>
              <w:top w:val="single" w:sz="4" w:space="0" w:color="auto"/>
              <w:left w:val="single" w:sz="4" w:space="0" w:color="auto"/>
              <w:bottom w:val="single" w:sz="4" w:space="0" w:color="auto"/>
              <w:right w:val="single" w:sz="4" w:space="0" w:color="auto"/>
            </w:tcBorders>
          </w:tcPr>
          <w:p w14:paraId="1E139A0F" w14:textId="7E1DADAA" w:rsidR="009000FC" w:rsidRPr="00E853A6" w:rsidRDefault="001F70FC" w:rsidP="004525A1">
            <w:pPr>
              <w:pStyle w:val="ElexonTableTextSmall"/>
              <w:jc w:val="center"/>
              <w:rPr>
                <w:lang w:eastAsia="en-GB"/>
              </w:rPr>
            </w:pPr>
            <w:r>
              <w:rPr>
                <w:lang w:eastAsia="en-GB"/>
              </w:rPr>
              <w:t>227,966MWh</w:t>
            </w:r>
          </w:p>
        </w:tc>
        <w:tc>
          <w:tcPr>
            <w:tcW w:w="1643" w:type="dxa"/>
            <w:tcBorders>
              <w:top w:val="single" w:sz="4" w:space="0" w:color="CAC3C5" w:themeColor="text2" w:themeTint="40"/>
              <w:left w:val="single" w:sz="4" w:space="0" w:color="auto"/>
              <w:bottom w:val="nil"/>
              <w:right w:val="nil"/>
            </w:tcBorders>
          </w:tcPr>
          <w:p w14:paraId="710A0391" w14:textId="77777777" w:rsidR="00C14A97" w:rsidRPr="006209D4" w:rsidRDefault="00C14A97" w:rsidP="004525A1">
            <w:pPr>
              <w:pStyle w:val="ElexonTableTextSmall"/>
              <w:jc w:val="center"/>
              <w:rPr>
                <w:rFonts w:ascii="Arial" w:hAnsi="Arial" w:cs="Arial"/>
                <w:color w:val="000000"/>
                <w:sz w:val="16"/>
                <w:szCs w:val="18"/>
              </w:rPr>
            </w:pPr>
          </w:p>
        </w:tc>
      </w:tr>
    </w:tbl>
    <w:p w14:paraId="00EE7151" w14:textId="77777777" w:rsidR="00C14A97" w:rsidRPr="00477EF4" w:rsidRDefault="00C14A97" w:rsidP="00C14A97">
      <w:pPr>
        <w:suppressAutoHyphens/>
        <w:autoSpaceDE w:val="0"/>
        <w:autoSpaceDN w:val="0"/>
        <w:adjustRightInd w:val="0"/>
        <w:spacing w:after="120" w:line="260" w:lineRule="atLeast"/>
        <w:ind w:left="680"/>
        <w:textAlignment w:val="center"/>
        <w:rPr>
          <w:rFonts w:ascii="Arial" w:hAnsi="Arial" w:cs="Arial"/>
          <w:color w:val="000000"/>
          <w:szCs w:val="18"/>
        </w:rPr>
      </w:pPr>
    </w:p>
    <w:p w14:paraId="567DDF08" w14:textId="77777777" w:rsidR="00C14A97" w:rsidRDefault="00C14A97" w:rsidP="00C14A97">
      <w:pPr>
        <w:pStyle w:val="List2"/>
      </w:pPr>
      <w:r>
        <w:t>The following table shows the key changes that have taken place since the last review:</w:t>
      </w:r>
    </w:p>
    <w:tbl>
      <w:tblPr>
        <w:tblStyle w:val="ElexonBasicTable"/>
        <w:tblW w:w="0" w:type="auto"/>
        <w:tblInd w:w="680" w:type="dxa"/>
        <w:tblLook w:val="04A0" w:firstRow="1" w:lastRow="0" w:firstColumn="1" w:lastColumn="0" w:noHBand="0" w:noVBand="1"/>
      </w:tblPr>
      <w:tblGrid>
        <w:gridCol w:w="1859"/>
        <w:gridCol w:w="1895"/>
        <w:gridCol w:w="2048"/>
        <w:gridCol w:w="2059"/>
        <w:gridCol w:w="1995"/>
      </w:tblGrid>
      <w:tr w:rsidR="00C14A97" w14:paraId="1828E739" w14:textId="77777777" w:rsidTr="002248DB">
        <w:trPr>
          <w:cnfStyle w:val="100000000000" w:firstRow="1" w:lastRow="0" w:firstColumn="0" w:lastColumn="0" w:oddVBand="0" w:evenVBand="0" w:oddHBand="0" w:evenHBand="0" w:firstRowFirstColumn="0" w:firstRowLastColumn="0" w:lastRowFirstColumn="0" w:lastRowLastColumn="0"/>
        </w:trPr>
        <w:tc>
          <w:tcPr>
            <w:tcW w:w="1859" w:type="dxa"/>
            <w:tcBorders>
              <w:bottom w:val="single" w:sz="4" w:space="0" w:color="auto"/>
            </w:tcBorders>
          </w:tcPr>
          <w:p w14:paraId="35E20F00" w14:textId="77777777" w:rsidR="00C14A97" w:rsidRPr="006209D4" w:rsidRDefault="00C14A97" w:rsidP="00C57CDD">
            <w:pPr>
              <w:pStyle w:val="List2"/>
              <w:numPr>
                <w:ilvl w:val="0"/>
                <w:numId w:val="0"/>
              </w:numPr>
              <w:jc w:val="center"/>
              <w:rPr>
                <w:color w:val="FFFFFF" w:themeColor="background1"/>
                <w:sz w:val="16"/>
              </w:rPr>
            </w:pPr>
          </w:p>
        </w:tc>
        <w:tc>
          <w:tcPr>
            <w:tcW w:w="1895" w:type="dxa"/>
            <w:tcBorders>
              <w:bottom w:val="single" w:sz="4" w:space="0" w:color="auto"/>
            </w:tcBorders>
          </w:tcPr>
          <w:p w14:paraId="3C6630D1" w14:textId="77777777" w:rsidR="00C14A97" w:rsidRPr="006209D4" w:rsidRDefault="00C14A97" w:rsidP="00C57CDD">
            <w:pPr>
              <w:pStyle w:val="List2"/>
              <w:numPr>
                <w:ilvl w:val="0"/>
                <w:numId w:val="0"/>
              </w:numPr>
              <w:jc w:val="center"/>
              <w:rPr>
                <w:color w:val="FFFFFF" w:themeColor="background1"/>
                <w:sz w:val="16"/>
              </w:rPr>
            </w:pPr>
          </w:p>
        </w:tc>
        <w:tc>
          <w:tcPr>
            <w:tcW w:w="2048" w:type="dxa"/>
            <w:tcBorders>
              <w:bottom w:val="single" w:sz="4" w:space="0" w:color="auto"/>
            </w:tcBorders>
          </w:tcPr>
          <w:p w14:paraId="376B9625" w14:textId="77777777" w:rsidR="00C14A97" w:rsidRPr="006209D4" w:rsidRDefault="00C14A97" w:rsidP="006209D4">
            <w:pPr>
              <w:pStyle w:val="List2"/>
              <w:numPr>
                <w:ilvl w:val="0"/>
                <w:numId w:val="0"/>
              </w:numPr>
              <w:jc w:val="center"/>
              <w:rPr>
                <w:color w:val="FFFFFF" w:themeColor="background1"/>
                <w:sz w:val="16"/>
              </w:rPr>
            </w:pPr>
            <w:r w:rsidRPr="006209D4">
              <w:rPr>
                <w:color w:val="FFFFFF" w:themeColor="background1"/>
                <w:sz w:val="16"/>
              </w:rPr>
              <w:t>HH</w:t>
            </w:r>
            <w:r w:rsidR="006209D4" w:rsidRPr="006209D4">
              <w:rPr>
                <w:color w:val="FFFFFF" w:themeColor="background1"/>
                <w:sz w:val="16"/>
              </w:rPr>
              <w:t xml:space="preserve"> </w:t>
            </w:r>
          </w:p>
        </w:tc>
        <w:tc>
          <w:tcPr>
            <w:tcW w:w="2059" w:type="dxa"/>
            <w:tcBorders>
              <w:bottom w:val="single" w:sz="4" w:space="0" w:color="auto"/>
            </w:tcBorders>
          </w:tcPr>
          <w:p w14:paraId="356BE993" w14:textId="77777777" w:rsidR="00C14A97" w:rsidRPr="006209D4" w:rsidRDefault="00C14A97" w:rsidP="00C57CDD">
            <w:pPr>
              <w:pStyle w:val="List2"/>
              <w:numPr>
                <w:ilvl w:val="0"/>
                <w:numId w:val="0"/>
              </w:numPr>
              <w:jc w:val="center"/>
              <w:rPr>
                <w:color w:val="FFFFFF" w:themeColor="background1"/>
                <w:sz w:val="16"/>
              </w:rPr>
            </w:pPr>
            <w:r w:rsidRPr="006209D4">
              <w:rPr>
                <w:color w:val="FFFFFF" w:themeColor="background1"/>
                <w:sz w:val="16"/>
              </w:rPr>
              <w:t>Sub 100kW</w:t>
            </w:r>
          </w:p>
        </w:tc>
        <w:tc>
          <w:tcPr>
            <w:tcW w:w="1995" w:type="dxa"/>
            <w:tcBorders>
              <w:bottom w:val="single" w:sz="4" w:space="0" w:color="auto"/>
            </w:tcBorders>
          </w:tcPr>
          <w:p w14:paraId="07EC87F8" w14:textId="77777777" w:rsidR="00C14A97" w:rsidRPr="006209D4" w:rsidRDefault="00C14A97" w:rsidP="00C57CDD">
            <w:pPr>
              <w:pStyle w:val="List2"/>
              <w:numPr>
                <w:ilvl w:val="0"/>
                <w:numId w:val="0"/>
              </w:numPr>
              <w:jc w:val="center"/>
              <w:rPr>
                <w:color w:val="FFFFFF" w:themeColor="background1"/>
                <w:sz w:val="16"/>
              </w:rPr>
            </w:pPr>
            <w:r w:rsidRPr="006209D4">
              <w:rPr>
                <w:color w:val="FFFFFF" w:themeColor="background1"/>
                <w:sz w:val="16"/>
              </w:rPr>
              <w:t>NHH</w:t>
            </w:r>
          </w:p>
        </w:tc>
      </w:tr>
      <w:tr w:rsidR="00AA676C" w14:paraId="4C792BED" w14:textId="77777777" w:rsidTr="00AA676C">
        <w:tc>
          <w:tcPr>
            <w:tcW w:w="1859" w:type="dxa"/>
            <w:vMerge w:val="restart"/>
            <w:tcBorders>
              <w:top w:val="single" w:sz="4" w:space="0" w:color="auto"/>
              <w:left w:val="single" w:sz="4" w:space="0" w:color="auto"/>
              <w:right w:val="single" w:sz="4" w:space="0" w:color="auto"/>
            </w:tcBorders>
          </w:tcPr>
          <w:p w14:paraId="743B3D09" w14:textId="77777777" w:rsidR="00AA676C" w:rsidRPr="006209D4" w:rsidRDefault="00AA676C" w:rsidP="004525A1">
            <w:pPr>
              <w:pStyle w:val="ElexonTableTextSmall"/>
              <w:jc w:val="center"/>
            </w:pPr>
            <w:r w:rsidRPr="006209D4">
              <w:t>Industry Average performance</w:t>
            </w:r>
          </w:p>
        </w:tc>
        <w:tc>
          <w:tcPr>
            <w:tcW w:w="1895" w:type="dxa"/>
            <w:tcBorders>
              <w:top w:val="single" w:sz="4" w:space="0" w:color="auto"/>
              <w:left w:val="single" w:sz="4" w:space="0" w:color="auto"/>
              <w:bottom w:val="single" w:sz="4" w:space="0" w:color="auto"/>
              <w:right w:val="single" w:sz="4" w:space="0" w:color="auto"/>
            </w:tcBorders>
          </w:tcPr>
          <w:p w14:paraId="1FA17F7A" w14:textId="77777777" w:rsidR="00AA676C" w:rsidRPr="006209D4" w:rsidRDefault="00AA676C" w:rsidP="004525A1">
            <w:pPr>
              <w:pStyle w:val="ElexonTableTextSmall"/>
              <w:jc w:val="center"/>
            </w:pPr>
            <w:r w:rsidRPr="006209D4">
              <w:t>September 2020</w:t>
            </w:r>
          </w:p>
        </w:tc>
        <w:tc>
          <w:tcPr>
            <w:tcW w:w="2048" w:type="dxa"/>
            <w:tcBorders>
              <w:top w:val="single" w:sz="4" w:space="0" w:color="auto"/>
              <w:left w:val="single" w:sz="4" w:space="0" w:color="auto"/>
              <w:bottom w:val="single" w:sz="4" w:space="0" w:color="auto"/>
              <w:right w:val="single" w:sz="4" w:space="0" w:color="auto"/>
            </w:tcBorders>
          </w:tcPr>
          <w:p w14:paraId="11A432E1" w14:textId="77777777" w:rsidR="00AA676C" w:rsidRPr="006209D4" w:rsidRDefault="00AA676C" w:rsidP="004525A1">
            <w:pPr>
              <w:pStyle w:val="ElexonTableTextSmall"/>
              <w:jc w:val="center"/>
            </w:pPr>
            <w:r w:rsidRPr="006209D4">
              <w:t>97.87 %</w:t>
            </w:r>
            <w:r>
              <w:t xml:space="preserve"> </w:t>
            </w:r>
            <w:r w:rsidRPr="006209D4">
              <w:t>at R1</w:t>
            </w:r>
          </w:p>
        </w:tc>
        <w:tc>
          <w:tcPr>
            <w:tcW w:w="2059" w:type="dxa"/>
            <w:tcBorders>
              <w:top w:val="single" w:sz="4" w:space="0" w:color="auto"/>
              <w:left w:val="single" w:sz="4" w:space="0" w:color="auto"/>
              <w:bottom w:val="single" w:sz="4" w:space="0" w:color="auto"/>
              <w:right w:val="single" w:sz="4" w:space="0" w:color="auto"/>
            </w:tcBorders>
          </w:tcPr>
          <w:p w14:paraId="6340A71F" w14:textId="77777777" w:rsidR="00AA676C" w:rsidRPr="006209D4" w:rsidRDefault="00AA676C" w:rsidP="004525A1">
            <w:pPr>
              <w:pStyle w:val="ElexonTableTextSmall"/>
              <w:jc w:val="center"/>
            </w:pPr>
            <w:r w:rsidRPr="006209D4">
              <w:t>94.23% at R1</w:t>
            </w:r>
          </w:p>
        </w:tc>
        <w:tc>
          <w:tcPr>
            <w:tcW w:w="1995" w:type="dxa"/>
            <w:tcBorders>
              <w:top w:val="single" w:sz="4" w:space="0" w:color="auto"/>
              <w:left w:val="single" w:sz="4" w:space="0" w:color="auto"/>
              <w:bottom w:val="single" w:sz="4" w:space="0" w:color="auto"/>
              <w:right w:val="single" w:sz="4" w:space="0" w:color="auto"/>
            </w:tcBorders>
          </w:tcPr>
          <w:p w14:paraId="425831BE" w14:textId="77777777" w:rsidR="00AA676C" w:rsidRPr="006209D4" w:rsidRDefault="00AA676C" w:rsidP="004525A1">
            <w:pPr>
              <w:pStyle w:val="ElexonTableTextSmall"/>
              <w:jc w:val="center"/>
            </w:pPr>
            <w:r w:rsidRPr="006209D4">
              <w:t>95.98 % at RF</w:t>
            </w:r>
          </w:p>
        </w:tc>
      </w:tr>
      <w:tr w:rsidR="00AA676C" w14:paraId="1F688DB3" w14:textId="77777777" w:rsidTr="00AA676C">
        <w:tc>
          <w:tcPr>
            <w:tcW w:w="1859" w:type="dxa"/>
            <w:vMerge/>
            <w:tcBorders>
              <w:left w:val="single" w:sz="4" w:space="0" w:color="auto"/>
              <w:right w:val="single" w:sz="4" w:space="0" w:color="auto"/>
            </w:tcBorders>
          </w:tcPr>
          <w:p w14:paraId="5F96FE22" w14:textId="77777777" w:rsidR="00AA676C" w:rsidRPr="006209D4" w:rsidRDefault="00AA676C" w:rsidP="004525A1">
            <w:pPr>
              <w:pStyle w:val="ElexonTableTextSmall"/>
              <w:jc w:val="center"/>
            </w:pPr>
          </w:p>
        </w:tc>
        <w:tc>
          <w:tcPr>
            <w:tcW w:w="1895" w:type="dxa"/>
            <w:tcBorders>
              <w:top w:val="single" w:sz="4" w:space="0" w:color="auto"/>
              <w:left w:val="single" w:sz="4" w:space="0" w:color="auto"/>
              <w:bottom w:val="single" w:sz="4" w:space="0" w:color="auto"/>
              <w:right w:val="single" w:sz="4" w:space="0" w:color="auto"/>
            </w:tcBorders>
          </w:tcPr>
          <w:p w14:paraId="3EA052CA" w14:textId="77777777" w:rsidR="00AA676C" w:rsidRPr="006209D4" w:rsidRDefault="00AA676C" w:rsidP="004525A1">
            <w:pPr>
              <w:pStyle w:val="ElexonTableTextSmall"/>
              <w:jc w:val="center"/>
            </w:pPr>
            <w:r w:rsidRPr="006209D4">
              <w:t>February 2021</w:t>
            </w:r>
          </w:p>
        </w:tc>
        <w:tc>
          <w:tcPr>
            <w:tcW w:w="2048" w:type="dxa"/>
            <w:tcBorders>
              <w:top w:val="single" w:sz="4" w:space="0" w:color="auto"/>
              <w:left w:val="single" w:sz="4" w:space="0" w:color="auto"/>
              <w:bottom w:val="single" w:sz="4" w:space="0" w:color="auto"/>
              <w:right w:val="single" w:sz="4" w:space="0" w:color="auto"/>
            </w:tcBorders>
          </w:tcPr>
          <w:p w14:paraId="2794F390" w14:textId="4C953289" w:rsidR="00AA676C" w:rsidRPr="006209D4" w:rsidRDefault="00AA676C" w:rsidP="004525A1">
            <w:pPr>
              <w:pStyle w:val="ElexonTableTextSmall"/>
              <w:jc w:val="center"/>
            </w:pPr>
            <w:r w:rsidRPr="006209D4">
              <w:t>98.02% at R1</w:t>
            </w:r>
          </w:p>
        </w:tc>
        <w:tc>
          <w:tcPr>
            <w:tcW w:w="2059" w:type="dxa"/>
            <w:tcBorders>
              <w:top w:val="single" w:sz="4" w:space="0" w:color="auto"/>
              <w:left w:val="single" w:sz="4" w:space="0" w:color="auto"/>
              <w:bottom w:val="single" w:sz="4" w:space="0" w:color="auto"/>
              <w:right w:val="single" w:sz="4" w:space="0" w:color="auto"/>
            </w:tcBorders>
          </w:tcPr>
          <w:p w14:paraId="1850AF89" w14:textId="77777777" w:rsidR="00AA676C" w:rsidRPr="006209D4" w:rsidRDefault="00AA676C" w:rsidP="004525A1">
            <w:pPr>
              <w:pStyle w:val="ElexonTableTextSmall"/>
              <w:jc w:val="center"/>
            </w:pPr>
            <w:r w:rsidRPr="006209D4">
              <w:t>94.60% at R1</w:t>
            </w:r>
          </w:p>
        </w:tc>
        <w:tc>
          <w:tcPr>
            <w:tcW w:w="1995" w:type="dxa"/>
            <w:tcBorders>
              <w:top w:val="single" w:sz="4" w:space="0" w:color="auto"/>
              <w:left w:val="single" w:sz="4" w:space="0" w:color="auto"/>
              <w:bottom w:val="single" w:sz="4" w:space="0" w:color="auto"/>
              <w:right w:val="single" w:sz="4" w:space="0" w:color="auto"/>
            </w:tcBorders>
          </w:tcPr>
          <w:p w14:paraId="6A6AD489" w14:textId="77777777" w:rsidR="00AA676C" w:rsidRPr="006209D4" w:rsidRDefault="00AA676C" w:rsidP="004525A1">
            <w:pPr>
              <w:pStyle w:val="ElexonTableTextSmall"/>
              <w:jc w:val="center"/>
            </w:pPr>
            <w:r w:rsidRPr="006209D4">
              <w:t>95.01% at RF</w:t>
            </w:r>
          </w:p>
        </w:tc>
      </w:tr>
      <w:tr w:rsidR="00AA676C" w14:paraId="620306DB" w14:textId="77777777" w:rsidTr="00AA676C">
        <w:tc>
          <w:tcPr>
            <w:tcW w:w="1859" w:type="dxa"/>
            <w:vMerge/>
            <w:tcBorders>
              <w:left w:val="single" w:sz="4" w:space="0" w:color="auto"/>
              <w:right w:val="single" w:sz="4" w:space="0" w:color="auto"/>
            </w:tcBorders>
          </w:tcPr>
          <w:p w14:paraId="0910BE28" w14:textId="77777777" w:rsidR="00AA676C" w:rsidRPr="006209D4" w:rsidRDefault="00AA676C" w:rsidP="004525A1">
            <w:pPr>
              <w:pStyle w:val="ElexonTableTextSmall"/>
              <w:jc w:val="center"/>
            </w:pPr>
          </w:p>
        </w:tc>
        <w:tc>
          <w:tcPr>
            <w:tcW w:w="1895" w:type="dxa"/>
            <w:tcBorders>
              <w:top w:val="single" w:sz="4" w:space="0" w:color="auto"/>
              <w:left w:val="single" w:sz="4" w:space="0" w:color="auto"/>
              <w:bottom w:val="single" w:sz="4" w:space="0" w:color="auto"/>
              <w:right w:val="single" w:sz="4" w:space="0" w:color="auto"/>
            </w:tcBorders>
          </w:tcPr>
          <w:p w14:paraId="625BCBDC" w14:textId="77777777" w:rsidR="00AA676C" w:rsidRPr="006209D4" w:rsidRDefault="00AA676C" w:rsidP="004525A1">
            <w:pPr>
              <w:pStyle w:val="ElexonTableTextSmall"/>
              <w:jc w:val="center"/>
            </w:pPr>
            <w:r>
              <w:t>May 2021</w:t>
            </w:r>
          </w:p>
        </w:tc>
        <w:tc>
          <w:tcPr>
            <w:tcW w:w="2048" w:type="dxa"/>
            <w:tcBorders>
              <w:top w:val="single" w:sz="4" w:space="0" w:color="auto"/>
              <w:left w:val="single" w:sz="4" w:space="0" w:color="auto"/>
              <w:bottom w:val="single" w:sz="4" w:space="0" w:color="auto"/>
              <w:right w:val="single" w:sz="4" w:space="0" w:color="auto"/>
            </w:tcBorders>
          </w:tcPr>
          <w:p w14:paraId="76A8B420" w14:textId="77777777" w:rsidR="00AA676C" w:rsidRPr="006209D4" w:rsidRDefault="00AA676C" w:rsidP="004525A1">
            <w:pPr>
              <w:pStyle w:val="ElexonTableTextSmall"/>
              <w:jc w:val="center"/>
            </w:pPr>
            <w:r>
              <w:t>98.08% at R1</w:t>
            </w:r>
          </w:p>
        </w:tc>
        <w:tc>
          <w:tcPr>
            <w:tcW w:w="2059" w:type="dxa"/>
            <w:tcBorders>
              <w:top w:val="single" w:sz="4" w:space="0" w:color="auto"/>
              <w:left w:val="single" w:sz="4" w:space="0" w:color="auto"/>
              <w:bottom w:val="single" w:sz="4" w:space="0" w:color="auto"/>
              <w:right w:val="single" w:sz="4" w:space="0" w:color="auto"/>
            </w:tcBorders>
          </w:tcPr>
          <w:p w14:paraId="41131D78" w14:textId="77777777" w:rsidR="00AA676C" w:rsidRPr="006209D4" w:rsidRDefault="00AA676C" w:rsidP="004525A1">
            <w:pPr>
              <w:pStyle w:val="ElexonTableTextSmall"/>
              <w:jc w:val="center"/>
            </w:pPr>
            <w:r>
              <w:t>94.51% at R1</w:t>
            </w:r>
          </w:p>
        </w:tc>
        <w:tc>
          <w:tcPr>
            <w:tcW w:w="1995" w:type="dxa"/>
            <w:tcBorders>
              <w:top w:val="single" w:sz="4" w:space="0" w:color="auto"/>
              <w:left w:val="single" w:sz="4" w:space="0" w:color="auto"/>
              <w:bottom w:val="single" w:sz="4" w:space="0" w:color="auto"/>
              <w:right w:val="single" w:sz="4" w:space="0" w:color="auto"/>
            </w:tcBorders>
          </w:tcPr>
          <w:p w14:paraId="155E6986" w14:textId="77777777" w:rsidR="00AA676C" w:rsidRPr="006209D4" w:rsidRDefault="00AA676C" w:rsidP="004525A1">
            <w:pPr>
              <w:pStyle w:val="ElexonTableTextSmall"/>
              <w:jc w:val="center"/>
            </w:pPr>
            <w:r>
              <w:t>95.07% at RF</w:t>
            </w:r>
          </w:p>
        </w:tc>
      </w:tr>
      <w:tr w:rsidR="00AE7E8A" w14:paraId="4D327484" w14:textId="77777777" w:rsidTr="00AA676C">
        <w:tc>
          <w:tcPr>
            <w:tcW w:w="1859" w:type="dxa"/>
            <w:vMerge/>
            <w:tcBorders>
              <w:left w:val="single" w:sz="4" w:space="0" w:color="auto"/>
              <w:right w:val="single" w:sz="4" w:space="0" w:color="auto"/>
            </w:tcBorders>
          </w:tcPr>
          <w:p w14:paraId="0112D1A8" w14:textId="77777777" w:rsidR="00AE7E8A" w:rsidRPr="006209D4" w:rsidRDefault="00AE7E8A" w:rsidP="004525A1">
            <w:pPr>
              <w:pStyle w:val="ElexonTableTextSmall"/>
              <w:jc w:val="center"/>
            </w:pPr>
          </w:p>
        </w:tc>
        <w:tc>
          <w:tcPr>
            <w:tcW w:w="1895" w:type="dxa"/>
            <w:tcBorders>
              <w:top w:val="single" w:sz="4" w:space="0" w:color="auto"/>
              <w:left w:val="single" w:sz="4" w:space="0" w:color="auto"/>
              <w:bottom w:val="single" w:sz="4" w:space="0" w:color="auto"/>
              <w:right w:val="single" w:sz="4" w:space="0" w:color="auto"/>
            </w:tcBorders>
          </w:tcPr>
          <w:p w14:paraId="4A01D347" w14:textId="36E42998" w:rsidR="00AE7E8A" w:rsidRDefault="00AE7E8A" w:rsidP="004525A1">
            <w:pPr>
              <w:pStyle w:val="ElexonTableTextSmall"/>
              <w:jc w:val="center"/>
            </w:pPr>
            <w:r>
              <w:t>August 2021</w:t>
            </w:r>
          </w:p>
        </w:tc>
        <w:tc>
          <w:tcPr>
            <w:tcW w:w="2048" w:type="dxa"/>
            <w:tcBorders>
              <w:top w:val="single" w:sz="4" w:space="0" w:color="auto"/>
              <w:left w:val="single" w:sz="4" w:space="0" w:color="auto"/>
              <w:bottom w:val="single" w:sz="4" w:space="0" w:color="auto"/>
              <w:right w:val="single" w:sz="4" w:space="0" w:color="auto"/>
            </w:tcBorders>
          </w:tcPr>
          <w:p w14:paraId="43131BF1" w14:textId="1E72ED85" w:rsidR="00AE7E8A" w:rsidRDefault="00AE7E8A" w:rsidP="004525A1">
            <w:pPr>
              <w:pStyle w:val="ElexonTableTextSmall"/>
              <w:jc w:val="center"/>
            </w:pPr>
            <w:r>
              <w:t>98.38% at R1</w:t>
            </w:r>
          </w:p>
        </w:tc>
        <w:tc>
          <w:tcPr>
            <w:tcW w:w="2059" w:type="dxa"/>
            <w:tcBorders>
              <w:top w:val="single" w:sz="4" w:space="0" w:color="auto"/>
              <w:left w:val="single" w:sz="4" w:space="0" w:color="auto"/>
              <w:bottom w:val="single" w:sz="4" w:space="0" w:color="auto"/>
              <w:right w:val="single" w:sz="4" w:space="0" w:color="auto"/>
            </w:tcBorders>
          </w:tcPr>
          <w:p w14:paraId="4F23C6FD" w14:textId="623485E7" w:rsidR="00AE7E8A" w:rsidRDefault="00AE7E8A" w:rsidP="004525A1">
            <w:pPr>
              <w:pStyle w:val="ElexonTableTextSmall"/>
              <w:jc w:val="center"/>
            </w:pPr>
            <w:r>
              <w:t>95.40% at R1</w:t>
            </w:r>
          </w:p>
        </w:tc>
        <w:tc>
          <w:tcPr>
            <w:tcW w:w="1995" w:type="dxa"/>
            <w:tcBorders>
              <w:top w:val="single" w:sz="4" w:space="0" w:color="auto"/>
              <w:left w:val="single" w:sz="4" w:space="0" w:color="auto"/>
              <w:bottom w:val="single" w:sz="4" w:space="0" w:color="auto"/>
              <w:right w:val="single" w:sz="4" w:space="0" w:color="auto"/>
            </w:tcBorders>
          </w:tcPr>
          <w:p w14:paraId="2A95BAF8" w14:textId="58C11931" w:rsidR="00AE7E8A" w:rsidRDefault="00AE7E8A" w:rsidP="004525A1">
            <w:pPr>
              <w:pStyle w:val="ElexonTableTextSmall"/>
              <w:jc w:val="center"/>
            </w:pPr>
            <w:r>
              <w:t>96.12% at RF</w:t>
            </w:r>
          </w:p>
        </w:tc>
      </w:tr>
      <w:tr w:rsidR="00AA676C" w14:paraId="0BA89006" w14:textId="77777777" w:rsidTr="00AA676C">
        <w:tc>
          <w:tcPr>
            <w:tcW w:w="1859" w:type="dxa"/>
            <w:vMerge/>
            <w:tcBorders>
              <w:left w:val="single" w:sz="4" w:space="0" w:color="auto"/>
              <w:right w:val="single" w:sz="4" w:space="0" w:color="auto"/>
            </w:tcBorders>
          </w:tcPr>
          <w:p w14:paraId="292ADCD9" w14:textId="77777777" w:rsidR="00AA676C" w:rsidRPr="006209D4" w:rsidRDefault="00AA676C" w:rsidP="004525A1">
            <w:pPr>
              <w:pStyle w:val="ElexonTableTextSmall"/>
              <w:jc w:val="center"/>
            </w:pPr>
          </w:p>
        </w:tc>
        <w:tc>
          <w:tcPr>
            <w:tcW w:w="1895" w:type="dxa"/>
            <w:tcBorders>
              <w:top w:val="single" w:sz="4" w:space="0" w:color="auto"/>
              <w:left w:val="single" w:sz="4" w:space="0" w:color="auto"/>
              <w:bottom w:val="single" w:sz="4" w:space="0" w:color="auto"/>
              <w:right w:val="single" w:sz="4" w:space="0" w:color="auto"/>
            </w:tcBorders>
          </w:tcPr>
          <w:p w14:paraId="6C6729C6" w14:textId="27360024" w:rsidR="00AA676C" w:rsidRDefault="00AA676C" w:rsidP="004525A1">
            <w:pPr>
              <w:pStyle w:val="ElexonTableTextSmall"/>
              <w:jc w:val="center"/>
            </w:pPr>
            <w:r>
              <w:t xml:space="preserve">Difference from September 2020 to </w:t>
            </w:r>
            <w:r w:rsidR="00AE7E8A">
              <w:t>August</w:t>
            </w:r>
            <w:r>
              <w:t xml:space="preserve"> 2021</w:t>
            </w:r>
          </w:p>
        </w:tc>
        <w:tc>
          <w:tcPr>
            <w:tcW w:w="2048" w:type="dxa"/>
            <w:tcBorders>
              <w:top w:val="single" w:sz="4" w:space="0" w:color="auto"/>
              <w:left w:val="single" w:sz="4" w:space="0" w:color="auto"/>
              <w:bottom w:val="single" w:sz="4" w:space="0" w:color="auto"/>
              <w:right w:val="single" w:sz="4" w:space="0" w:color="auto"/>
            </w:tcBorders>
          </w:tcPr>
          <w:p w14:paraId="4CBA92EE" w14:textId="184516C8" w:rsidR="00AA676C" w:rsidRPr="008401AB" w:rsidRDefault="00AE7E8A" w:rsidP="004525A1">
            <w:pPr>
              <w:pStyle w:val="ElexonTableTextSmall"/>
              <w:jc w:val="center"/>
              <w:rPr>
                <w:b/>
              </w:rPr>
            </w:pPr>
            <w:r w:rsidRPr="0075442E">
              <w:rPr>
                <w:b/>
                <w:color w:val="00B050"/>
              </w:rPr>
              <w:t>+0.51%</w:t>
            </w:r>
          </w:p>
        </w:tc>
        <w:tc>
          <w:tcPr>
            <w:tcW w:w="2059" w:type="dxa"/>
            <w:tcBorders>
              <w:top w:val="single" w:sz="4" w:space="0" w:color="auto"/>
              <w:left w:val="single" w:sz="4" w:space="0" w:color="auto"/>
              <w:bottom w:val="single" w:sz="4" w:space="0" w:color="auto"/>
              <w:right w:val="single" w:sz="4" w:space="0" w:color="auto"/>
            </w:tcBorders>
          </w:tcPr>
          <w:p w14:paraId="2CA393FF" w14:textId="70244982" w:rsidR="00AA676C" w:rsidRPr="008401AB" w:rsidRDefault="0075442E" w:rsidP="004525A1">
            <w:pPr>
              <w:pStyle w:val="ElexonTableTextSmall"/>
              <w:jc w:val="center"/>
              <w:rPr>
                <w:b/>
              </w:rPr>
            </w:pPr>
            <w:r w:rsidRPr="0075442E">
              <w:rPr>
                <w:b/>
                <w:color w:val="00B050"/>
              </w:rPr>
              <w:t>+1.17%</w:t>
            </w:r>
          </w:p>
        </w:tc>
        <w:tc>
          <w:tcPr>
            <w:tcW w:w="1995" w:type="dxa"/>
            <w:tcBorders>
              <w:top w:val="single" w:sz="4" w:space="0" w:color="auto"/>
              <w:left w:val="single" w:sz="4" w:space="0" w:color="auto"/>
              <w:bottom w:val="single" w:sz="4" w:space="0" w:color="auto"/>
              <w:right w:val="single" w:sz="4" w:space="0" w:color="auto"/>
            </w:tcBorders>
          </w:tcPr>
          <w:p w14:paraId="1A7167D1" w14:textId="38F515A7" w:rsidR="00AA676C" w:rsidRPr="008401AB" w:rsidRDefault="0075442E" w:rsidP="004525A1">
            <w:pPr>
              <w:pStyle w:val="ElexonTableTextSmall"/>
              <w:jc w:val="center"/>
              <w:rPr>
                <w:b/>
              </w:rPr>
            </w:pPr>
            <w:r w:rsidRPr="0075442E">
              <w:rPr>
                <w:b/>
                <w:color w:val="00B050"/>
              </w:rPr>
              <w:t>+0.14%</w:t>
            </w:r>
          </w:p>
        </w:tc>
      </w:tr>
      <w:tr w:rsidR="00AA676C" w14:paraId="64DE4744" w14:textId="77777777" w:rsidTr="00AA676C">
        <w:tc>
          <w:tcPr>
            <w:tcW w:w="1859" w:type="dxa"/>
            <w:vMerge/>
            <w:tcBorders>
              <w:left w:val="single" w:sz="4" w:space="0" w:color="auto"/>
              <w:bottom w:val="single" w:sz="4" w:space="0" w:color="auto"/>
              <w:right w:val="single" w:sz="4" w:space="0" w:color="auto"/>
            </w:tcBorders>
          </w:tcPr>
          <w:p w14:paraId="5CA9FA83" w14:textId="77777777" w:rsidR="00AA676C" w:rsidRPr="006209D4" w:rsidRDefault="00AA676C" w:rsidP="004525A1">
            <w:pPr>
              <w:pStyle w:val="ElexonTableTextSmall"/>
              <w:jc w:val="center"/>
            </w:pPr>
          </w:p>
        </w:tc>
        <w:tc>
          <w:tcPr>
            <w:tcW w:w="1895" w:type="dxa"/>
            <w:tcBorders>
              <w:top w:val="single" w:sz="4" w:space="0" w:color="auto"/>
              <w:left w:val="single" w:sz="4" w:space="0" w:color="auto"/>
              <w:bottom w:val="single" w:sz="4" w:space="0" w:color="auto"/>
              <w:right w:val="single" w:sz="4" w:space="0" w:color="auto"/>
            </w:tcBorders>
          </w:tcPr>
          <w:p w14:paraId="7FFC669A" w14:textId="46536279" w:rsidR="00AA676C" w:rsidRDefault="00AA676C" w:rsidP="004525A1">
            <w:pPr>
              <w:pStyle w:val="ElexonTableTextSmall"/>
              <w:jc w:val="center"/>
            </w:pPr>
            <w:r w:rsidRPr="00AA676C">
              <w:t xml:space="preserve">Difference from </w:t>
            </w:r>
            <w:r w:rsidR="00AE7E8A">
              <w:t>May</w:t>
            </w:r>
            <w:r>
              <w:t xml:space="preserve"> 2021</w:t>
            </w:r>
            <w:r w:rsidRPr="00AA676C">
              <w:t xml:space="preserve"> to </w:t>
            </w:r>
            <w:r w:rsidR="00AE7E8A">
              <w:t>August</w:t>
            </w:r>
            <w:r w:rsidRPr="00AA676C">
              <w:t xml:space="preserve"> 2021</w:t>
            </w:r>
          </w:p>
        </w:tc>
        <w:tc>
          <w:tcPr>
            <w:tcW w:w="2048" w:type="dxa"/>
            <w:tcBorders>
              <w:top w:val="single" w:sz="4" w:space="0" w:color="auto"/>
              <w:left w:val="single" w:sz="4" w:space="0" w:color="auto"/>
              <w:bottom w:val="single" w:sz="4" w:space="0" w:color="auto"/>
              <w:right w:val="single" w:sz="4" w:space="0" w:color="auto"/>
            </w:tcBorders>
          </w:tcPr>
          <w:p w14:paraId="10F91B2F" w14:textId="7BC092BA" w:rsidR="00AA676C" w:rsidRPr="008401AB" w:rsidRDefault="0075442E" w:rsidP="004525A1">
            <w:pPr>
              <w:pStyle w:val="ElexonTableTextSmall"/>
              <w:jc w:val="center"/>
              <w:rPr>
                <w:b/>
                <w:color w:val="00B050"/>
              </w:rPr>
            </w:pPr>
            <w:r>
              <w:rPr>
                <w:b/>
                <w:color w:val="00B050"/>
              </w:rPr>
              <w:t>+0.3%</w:t>
            </w:r>
          </w:p>
        </w:tc>
        <w:tc>
          <w:tcPr>
            <w:tcW w:w="2059" w:type="dxa"/>
            <w:tcBorders>
              <w:top w:val="single" w:sz="4" w:space="0" w:color="auto"/>
              <w:left w:val="single" w:sz="4" w:space="0" w:color="auto"/>
              <w:bottom w:val="single" w:sz="4" w:space="0" w:color="auto"/>
              <w:right w:val="single" w:sz="4" w:space="0" w:color="auto"/>
            </w:tcBorders>
          </w:tcPr>
          <w:p w14:paraId="3F9489A7" w14:textId="4DE46A3E" w:rsidR="00AA676C" w:rsidRPr="008401AB" w:rsidRDefault="0075442E" w:rsidP="004525A1">
            <w:pPr>
              <w:pStyle w:val="ElexonTableTextSmall"/>
              <w:jc w:val="center"/>
              <w:rPr>
                <w:b/>
                <w:color w:val="FF0000"/>
              </w:rPr>
            </w:pPr>
            <w:r w:rsidRPr="0075442E">
              <w:rPr>
                <w:b/>
                <w:color w:val="00B050"/>
              </w:rPr>
              <w:t>+0.89%</w:t>
            </w:r>
          </w:p>
        </w:tc>
        <w:tc>
          <w:tcPr>
            <w:tcW w:w="1995" w:type="dxa"/>
            <w:tcBorders>
              <w:top w:val="single" w:sz="4" w:space="0" w:color="auto"/>
              <w:left w:val="single" w:sz="4" w:space="0" w:color="auto"/>
              <w:bottom w:val="single" w:sz="4" w:space="0" w:color="auto"/>
              <w:right w:val="single" w:sz="4" w:space="0" w:color="auto"/>
            </w:tcBorders>
          </w:tcPr>
          <w:p w14:paraId="4071B29F" w14:textId="37C02888" w:rsidR="00AA676C" w:rsidRDefault="0075442E" w:rsidP="004525A1">
            <w:pPr>
              <w:pStyle w:val="ElexonTableTextSmall"/>
              <w:jc w:val="center"/>
              <w:rPr>
                <w:b/>
                <w:color w:val="FF0000"/>
              </w:rPr>
            </w:pPr>
            <w:r w:rsidRPr="00A62E57">
              <w:rPr>
                <w:b/>
                <w:color w:val="00B050"/>
              </w:rPr>
              <w:t>+</w:t>
            </w:r>
            <w:r w:rsidR="00A62E57" w:rsidRPr="00A62E57">
              <w:rPr>
                <w:b/>
                <w:color w:val="00B050"/>
              </w:rPr>
              <w:t>1.05</w:t>
            </w:r>
            <w:r w:rsidR="007A36B4">
              <w:rPr>
                <w:b/>
                <w:color w:val="00B050"/>
              </w:rPr>
              <w:t>%</w:t>
            </w:r>
          </w:p>
        </w:tc>
      </w:tr>
    </w:tbl>
    <w:p w14:paraId="19542C32" w14:textId="77C04EFB" w:rsidR="00122265" w:rsidRDefault="00122265" w:rsidP="009D64AD">
      <w:pPr>
        <w:pStyle w:val="List2"/>
        <w:numPr>
          <w:ilvl w:val="0"/>
          <w:numId w:val="0"/>
        </w:numPr>
      </w:pPr>
    </w:p>
    <w:p w14:paraId="4D30380E" w14:textId="7DDB9844" w:rsidR="00A228B4" w:rsidRPr="00A228B4" w:rsidRDefault="00A228B4" w:rsidP="00C14A97">
      <w:pPr>
        <w:pStyle w:val="List2"/>
        <w:numPr>
          <w:ilvl w:val="0"/>
          <w:numId w:val="0"/>
        </w:numPr>
        <w:ind w:left="680"/>
        <w:rPr>
          <w:b/>
          <w:u w:val="single"/>
        </w:rPr>
      </w:pPr>
      <w:r w:rsidRPr="00A228B4">
        <w:rPr>
          <w:b/>
          <w:u w:val="single"/>
        </w:rPr>
        <w:t xml:space="preserve">Half Hourly performance considerations for </w:t>
      </w:r>
      <w:r w:rsidR="00817C5A">
        <w:rPr>
          <w:b/>
          <w:u w:val="single"/>
        </w:rPr>
        <w:t>this</w:t>
      </w:r>
      <w:r w:rsidRPr="00A228B4">
        <w:rPr>
          <w:b/>
          <w:u w:val="single"/>
        </w:rPr>
        <w:t xml:space="preserve"> quarter</w:t>
      </w:r>
    </w:p>
    <w:p w14:paraId="4DE34C46" w14:textId="193CF13E" w:rsidR="00826591" w:rsidRDefault="00C14A97" w:rsidP="00166330">
      <w:pPr>
        <w:pStyle w:val="List2"/>
      </w:pPr>
      <w:r>
        <w:t xml:space="preserve">The HH MC C </w:t>
      </w:r>
      <w:r w:rsidR="004A49DE">
        <w:t xml:space="preserve">market </w:t>
      </w:r>
      <w:r>
        <w:t xml:space="preserve">has increased </w:t>
      </w:r>
      <w:r w:rsidR="004A49DE">
        <w:t xml:space="preserve">performance </w:t>
      </w:r>
      <w:r>
        <w:t xml:space="preserve">slightly </w:t>
      </w:r>
      <w:r w:rsidR="005D6952">
        <w:t xml:space="preserve">at R1 </w:t>
      </w:r>
      <w:r>
        <w:t xml:space="preserve">since the </w:t>
      </w:r>
      <w:r w:rsidR="00E55389">
        <w:t>May</w:t>
      </w:r>
      <w:r w:rsidR="00AC3AD0">
        <w:t xml:space="preserve"> </w:t>
      </w:r>
      <w:r w:rsidR="00561A37">
        <w:t>2021</w:t>
      </w:r>
      <w:r w:rsidR="00E55389">
        <w:t xml:space="preserve"> report</w:t>
      </w:r>
      <w:r w:rsidR="007A36B4">
        <w:t>.</w:t>
      </w:r>
      <w:r w:rsidR="00561A37">
        <w:t xml:space="preserve"> </w:t>
      </w:r>
      <w:r w:rsidR="007A36B4">
        <w:t>T</w:t>
      </w:r>
      <w:r w:rsidR="00E55389">
        <w:t xml:space="preserve">he sub 100kW </w:t>
      </w:r>
      <w:r w:rsidR="007A36B4">
        <w:t xml:space="preserve">market has improved performance </w:t>
      </w:r>
      <w:r w:rsidR="00E55389">
        <w:t>significantly</w:t>
      </w:r>
      <w:r w:rsidR="007A36B4">
        <w:t xml:space="preserve"> at R1 over that same timespan</w:t>
      </w:r>
      <w:r>
        <w:t xml:space="preserve">. However, </w:t>
      </w:r>
      <w:r w:rsidR="00AF21EC">
        <w:t>SF performance for Settlement Days from June 2021 has been dropping.</w:t>
      </w:r>
    </w:p>
    <w:p w14:paraId="23F1F572" w14:textId="2E02F1EA" w:rsidR="00F3343A" w:rsidRDefault="00F7472C" w:rsidP="00940F4F">
      <w:pPr>
        <w:pStyle w:val="List2"/>
      </w:pPr>
      <w:r>
        <w:t xml:space="preserve">Over </w:t>
      </w:r>
      <w:r w:rsidR="00817C5A">
        <w:t>th</w:t>
      </w:r>
      <w:r w:rsidR="007A36B4">
        <w:t xml:space="preserve">e next </w:t>
      </w:r>
      <w:r>
        <w:t xml:space="preserve">quarter we </w:t>
      </w:r>
      <w:r w:rsidR="00934925">
        <w:t>are not expecting announcements of further government restrictions</w:t>
      </w:r>
      <w:r w:rsidR="00467DBD">
        <w:t xml:space="preserve"> which would impact the ability for site visits to take place. The total volume of energy</w:t>
      </w:r>
      <w:r w:rsidR="00934925">
        <w:t xml:space="preserve"> will</w:t>
      </w:r>
      <w:r w:rsidR="00467DBD">
        <w:t xml:space="preserve"> also</w:t>
      </w:r>
      <w:r w:rsidR="00934925">
        <w:t xml:space="preserve"> be </w:t>
      </w:r>
      <w:r w:rsidR="00467DBD">
        <w:t xml:space="preserve">relatively </w:t>
      </w:r>
      <w:r w:rsidR="006143B0">
        <w:t xml:space="preserve">low due to the summer season which </w:t>
      </w:r>
      <w:r w:rsidR="00467DBD">
        <w:t>in turn reduces the volume of non-compliant estimation if the performance remains the same</w:t>
      </w:r>
      <w:r w:rsidR="007A36B4">
        <w:t>.</w:t>
      </w:r>
    </w:p>
    <w:p w14:paraId="1461CBFE" w14:textId="786A713E" w:rsidR="00940F4F" w:rsidRDefault="00940F4F" w:rsidP="00940F4F">
      <w:pPr>
        <w:pStyle w:val="List2"/>
      </w:pPr>
      <w:r>
        <w:t xml:space="preserve">However, Suppliers have highlighted that access to rectify faults </w:t>
      </w:r>
      <w:r w:rsidR="00467DBD">
        <w:t>can still be challenging due to self-isolation req</w:t>
      </w:r>
      <w:r w:rsidR="006D1F0A">
        <w:t>uirements and new on-</w:t>
      </w:r>
      <w:r w:rsidR="00467DBD">
        <w:t>site health and safety requirements</w:t>
      </w:r>
      <w:r w:rsidR="006D1F0A">
        <w:t>,</w:t>
      </w:r>
      <w:r w:rsidR="00467DBD">
        <w:t xml:space="preserve"> which can result</w:t>
      </w:r>
      <w:r w:rsidR="00A6718D">
        <w:t xml:space="preserve"> in visits taking longer and impacting the speed at which backlogs can be reduced.</w:t>
      </w:r>
    </w:p>
    <w:p w14:paraId="052DD223" w14:textId="7D4E7F66" w:rsidR="00A6718D" w:rsidRDefault="00A6718D" w:rsidP="00940F4F">
      <w:pPr>
        <w:pStyle w:val="List2"/>
      </w:pPr>
      <w:r>
        <w:t>There is a</w:t>
      </w:r>
      <w:r w:rsidR="00E24FED">
        <w:t xml:space="preserve"> significant issue with the stock levels for CT Meters as a result of the global shortage of semi-conductors as a consequence of the pandemic.  This is likely to considerably impact the fault resolution process and potentially new connections into the Half Hourly market and </w:t>
      </w:r>
      <w:r w:rsidR="000B3D26">
        <w:t xml:space="preserve">may </w:t>
      </w:r>
      <w:r w:rsidR="00E24FED">
        <w:t>have a significant impact on</w:t>
      </w:r>
      <w:r w:rsidR="000B3D26">
        <w:t xml:space="preserve"> </w:t>
      </w:r>
      <w:r w:rsidR="00E24FED">
        <w:t>performance.</w:t>
      </w:r>
    </w:p>
    <w:p w14:paraId="67764DCC" w14:textId="1C6224CD" w:rsidR="000B3D26" w:rsidRDefault="000B3D26" w:rsidP="00940F4F">
      <w:pPr>
        <w:pStyle w:val="List2"/>
      </w:pPr>
      <w:r>
        <w:t>The extent of this issue is not yet clear but the PAB noted at its July meeting that the impact of this issue will vary from Supplier to Supplier and would need to be assessed on a case by case basis rather than built into the performance threshold directly.</w:t>
      </w:r>
    </w:p>
    <w:p w14:paraId="7C2A8424" w14:textId="700743CD" w:rsidR="000B3D26" w:rsidRDefault="000B3D26" w:rsidP="000B3D26">
      <w:pPr>
        <w:pStyle w:val="List2"/>
      </w:pPr>
      <w:r>
        <w:t xml:space="preserve">Instead, impacted </w:t>
      </w:r>
      <w:r w:rsidRPr="000B3D26">
        <w:t>Suppliers already within the process can provide Elexon with evidence and information on this issue as part of their root cause breakdowns in the plans and can keep us updated on progress as the issue develops. Suppliers that are not yet in EFR can highlight that this issue is im</w:t>
      </w:r>
      <w:r>
        <w:t xml:space="preserve">pacting them </w:t>
      </w:r>
      <w:r w:rsidRPr="000B3D26">
        <w:t>and provide details as part of their performance discussions with their Operational Support Managers (OSMs). This can then be considered by Elexon and the PAB as we make decisions regarding EFR.</w:t>
      </w:r>
    </w:p>
    <w:p w14:paraId="2D78F9D4" w14:textId="502EA60B" w:rsidR="00A50A9B" w:rsidRPr="00557C5C" w:rsidRDefault="000D4673" w:rsidP="00557C5C">
      <w:pPr>
        <w:pStyle w:val="List2"/>
        <w:numPr>
          <w:ilvl w:val="0"/>
          <w:numId w:val="0"/>
        </w:numPr>
        <w:ind w:left="680"/>
        <w:rPr>
          <w:b/>
          <w:u w:val="single"/>
        </w:rPr>
      </w:pPr>
      <w:r w:rsidRPr="000D4673">
        <w:rPr>
          <w:b/>
          <w:u w:val="single"/>
        </w:rPr>
        <w:t xml:space="preserve">Non Half Hourly considerations for </w:t>
      </w:r>
      <w:r w:rsidR="00817C5A">
        <w:rPr>
          <w:b/>
          <w:u w:val="single"/>
        </w:rPr>
        <w:t>this</w:t>
      </w:r>
      <w:r w:rsidRPr="000D4673">
        <w:rPr>
          <w:b/>
          <w:u w:val="single"/>
        </w:rPr>
        <w:t xml:space="preserve"> quarter</w:t>
      </w:r>
    </w:p>
    <w:p w14:paraId="1C37BE55" w14:textId="1056BD25" w:rsidR="00817C5A" w:rsidRDefault="004A49DE" w:rsidP="00166330">
      <w:pPr>
        <w:pStyle w:val="List2"/>
      </w:pPr>
      <w:r>
        <w:t xml:space="preserve">The NHH market has increased </w:t>
      </w:r>
      <w:r w:rsidR="006D1F0A">
        <w:t>performance at</w:t>
      </w:r>
      <w:r w:rsidR="00817C5A">
        <w:t xml:space="preserve"> RF significantly</w:t>
      </w:r>
      <w:r>
        <w:t xml:space="preserve"> sin</w:t>
      </w:r>
      <w:r w:rsidR="00817C5A">
        <w:t>ce the May</w:t>
      </w:r>
      <w:r>
        <w:t xml:space="preserve"> 2021 report</w:t>
      </w:r>
      <w:r w:rsidR="00E36C48">
        <w:t>ing</w:t>
      </w:r>
      <w:r>
        <w:t xml:space="preserve"> period</w:t>
      </w:r>
      <w:r w:rsidR="007A36B4">
        <w:t>.</w:t>
      </w:r>
      <w:r w:rsidR="00817C5A">
        <w:t xml:space="preserve"> </w:t>
      </w:r>
      <w:r w:rsidR="00E36C48">
        <w:t xml:space="preserve">The May 2021 reporting period marked </w:t>
      </w:r>
      <w:r w:rsidR="00817C5A">
        <w:t xml:space="preserve">the lowest performance point </w:t>
      </w:r>
      <w:r w:rsidR="00E36C48">
        <w:t xml:space="preserve">(as it covered the period of </w:t>
      </w:r>
      <w:r w:rsidR="00817C5A">
        <w:t>the first lockdown</w:t>
      </w:r>
      <w:r w:rsidR="00E36C48">
        <w:t>).</w:t>
      </w:r>
    </w:p>
    <w:p w14:paraId="151512BC" w14:textId="46D1427D" w:rsidR="002D6073" w:rsidRDefault="009B5D3A" w:rsidP="00166330">
      <w:pPr>
        <w:pStyle w:val="List2"/>
      </w:pPr>
      <w:r>
        <w:lastRenderedPageBreak/>
        <w:t>R2 and R3 performance has increased for the Settl</w:t>
      </w:r>
      <w:r w:rsidR="006D1F0A">
        <w:t xml:space="preserve">ement Days that will form part of </w:t>
      </w:r>
      <w:r w:rsidR="00E01DC4">
        <w:t xml:space="preserve">the RF performance for this quarter </w:t>
      </w:r>
      <w:r w:rsidR="004525A1">
        <w:t>and</w:t>
      </w:r>
      <w:r w:rsidR="00E01DC4">
        <w:t xml:space="preserve"> therefore does </w:t>
      </w:r>
      <w:r w:rsidR="00E62D9E">
        <w:t>not indicate</w:t>
      </w:r>
      <w:r w:rsidR="00E01DC4">
        <w:t xml:space="preserve"> that there are any issues that need to be considered based on the previous runs when determining the thresholds.</w:t>
      </w:r>
      <w:r w:rsidR="006D1F0A">
        <w:t xml:space="preserve"> </w:t>
      </w:r>
    </w:p>
    <w:p w14:paraId="144E9E77" w14:textId="5CBFCF04" w:rsidR="00826591" w:rsidRDefault="006D1F0A" w:rsidP="00166330">
      <w:pPr>
        <w:pStyle w:val="List2"/>
      </w:pPr>
      <w:r>
        <w:t>Whilst some Suppliers are still reporting access issues, many Suppliers are indicating that these are now starting to improve</w:t>
      </w:r>
      <w:r w:rsidR="00E36C48">
        <w:t>, which should lead to further performance improvements</w:t>
      </w:r>
      <w:r>
        <w:t>.</w:t>
      </w:r>
    </w:p>
    <w:p w14:paraId="272203D6" w14:textId="77777777" w:rsidR="00C14A97" w:rsidRDefault="00C14A97" w:rsidP="00C14A97">
      <w:pPr>
        <w:pStyle w:val="List"/>
      </w:pPr>
      <w:r>
        <w:t>Recommendations for the threshold for Focus Suppliers and EFR for the next quarter</w:t>
      </w:r>
    </w:p>
    <w:p w14:paraId="5EFA02F4" w14:textId="77777777" w:rsidR="00C14A97" w:rsidRDefault="00C14A97" w:rsidP="00C14A97">
      <w:pPr>
        <w:pStyle w:val="List2"/>
      </w:pPr>
      <w:r>
        <w:t>Elexon has considered the following points in order to set the thresholds for the next quarter:</w:t>
      </w:r>
    </w:p>
    <w:p w14:paraId="38503F28" w14:textId="77777777" w:rsidR="00C14A97" w:rsidRDefault="00C14A97" w:rsidP="00C14A97">
      <w:pPr>
        <w:pStyle w:val="List2"/>
        <w:numPr>
          <w:ilvl w:val="0"/>
          <w:numId w:val="15"/>
        </w:numPr>
      </w:pPr>
      <w:r>
        <w:t>The current number of Suppliers that fall above a number of different potential thresholds for each market area (below);</w:t>
      </w:r>
    </w:p>
    <w:p w14:paraId="7993A650" w14:textId="77777777" w:rsidR="00C14A97" w:rsidRDefault="00C14A97" w:rsidP="00C14A97">
      <w:pPr>
        <w:pStyle w:val="List2"/>
        <w:numPr>
          <w:ilvl w:val="0"/>
          <w:numId w:val="15"/>
        </w:numPr>
      </w:pPr>
      <w:r>
        <w:t>The relative volume of non-compliant estimation between each of the market areas; and</w:t>
      </w:r>
    </w:p>
    <w:p w14:paraId="30604187" w14:textId="6B074DF2" w:rsidR="00C14A97" w:rsidRDefault="00C14A97" w:rsidP="00C14A97">
      <w:pPr>
        <w:pStyle w:val="List2"/>
        <w:numPr>
          <w:ilvl w:val="0"/>
          <w:numId w:val="15"/>
        </w:numPr>
      </w:pPr>
      <w:r>
        <w:t xml:space="preserve">The </w:t>
      </w:r>
      <w:r w:rsidR="00A6718D">
        <w:t>performance consideration</w:t>
      </w:r>
      <w:r w:rsidR="00303362">
        <w:t>s</w:t>
      </w:r>
      <w:r w:rsidR="00A6718D">
        <w:t xml:space="preserve"> coming</w:t>
      </w:r>
      <w:r>
        <w:t xml:space="preserve"> up in the next three months</w:t>
      </w:r>
      <w:r w:rsidR="00A6718D">
        <w:t xml:space="preserve"> (set out in section three)</w:t>
      </w:r>
      <w:r>
        <w:t>.</w:t>
      </w:r>
    </w:p>
    <w:p w14:paraId="2F011AB5" w14:textId="12C01599" w:rsidR="002D0CFE" w:rsidRDefault="00BA0DB7" w:rsidP="00EF1F06">
      <w:pPr>
        <w:pStyle w:val="List2"/>
      </w:pPr>
      <w:r>
        <w:t>Following engagement from a Supplier, Elexon recommends</w:t>
      </w:r>
      <w:r w:rsidR="00EF1F06">
        <w:t xml:space="preserve"> that when</w:t>
      </w:r>
      <w:r>
        <w:t xml:space="preserve"> the PAB reduces the non-compliant estimation thresholds, </w:t>
      </w:r>
      <w:r w:rsidR="001A5E43">
        <w:t xml:space="preserve">it apply </w:t>
      </w:r>
      <w:r>
        <w:t>the new threshold from the following month’s PAB reporting</w:t>
      </w:r>
      <w:r w:rsidR="001A5E43">
        <w:t>.</w:t>
      </w:r>
      <w:r>
        <w:t xml:space="preserve"> </w:t>
      </w:r>
      <w:r w:rsidR="001A5E43">
        <w:t xml:space="preserve">Elexon will also provide </w:t>
      </w:r>
      <w:r>
        <w:t xml:space="preserve">EFR assessments and recommendations </w:t>
      </w:r>
      <w:r w:rsidR="007437C8">
        <w:t>at that time</w:t>
      </w:r>
      <w:r>
        <w:t>.</w:t>
      </w:r>
      <w:r w:rsidR="007437C8">
        <w:t xml:space="preserve"> This means that the </w:t>
      </w:r>
      <w:r w:rsidR="00EF1F06">
        <w:t xml:space="preserve">PAB </w:t>
      </w:r>
      <w:r w:rsidR="001A5E43">
        <w:t xml:space="preserve">has formally approved the </w:t>
      </w:r>
      <w:r w:rsidR="007437C8">
        <w:t xml:space="preserve">threshold adjustment prior to </w:t>
      </w:r>
      <w:r w:rsidR="001A5E43">
        <w:t xml:space="preserve">Elexon making EFR recommendations </w:t>
      </w:r>
      <w:r w:rsidR="007437C8">
        <w:t>and allow</w:t>
      </w:r>
      <w:r w:rsidR="001A5E43">
        <w:t>s</w:t>
      </w:r>
      <w:r w:rsidR="007437C8">
        <w:t xml:space="preserve"> additional time for</w:t>
      </w:r>
      <w:r w:rsidR="001A5E43">
        <w:t xml:space="preserve"> Suppliers to provide</w:t>
      </w:r>
      <w:r w:rsidR="007437C8">
        <w:t xml:space="preserve"> information </w:t>
      </w:r>
      <w:r w:rsidR="001A5E43">
        <w:t>to Elexon</w:t>
      </w:r>
      <w:r w:rsidR="007437C8">
        <w:t xml:space="preserve">. </w:t>
      </w:r>
      <w:r>
        <w:t xml:space="preserve"> For this </w:t>
      </w:r>
      <w:r w:rsidR="001A5E43">
        <w:t>quarter,</w:t>
      </w:r>
      <w:r>
        <w:t xml:space="preserve"> the reduced threshold </w:t>
      </w:r>
      <w:r w:rsidR="00EF1F06" w:rsidRPr="00EF1F06">
        <w:t>will first apply from September 2021 and in relation to the September PAB reporting which aligns to Settlement Days in June 2021 for Half Hourly R1 performance and June 2020 for NHH RF performance.</w:t>
      </w:r>
    </w:p>
    <w:p w14:paraId="77BE9242" w14:textId="688C5C3A" w:rsidR="008F149E" w:rsidRDefault="008F149E" w:rsidP="000E0EC4">
      <w:pPr>
        <w:pStyle w:val="List2"/>
        <w:numPr>
          <w:ilvl w:val="0"/>
          <w:numId w:val="0"/>
        </w:numPr>
      </w:pPr>
    </w:p>
    <w:p w14:paraId="64FDF359" w14:textId="3A483144" w:rsidR="00C14A97" w:rsidRPr="003C454C" w:rsidRDefault="00C14A97" w:rsidP="00C14A97">
      <w:pPr>
        <w:pStyle w:val="List2"/>
        <w:numPr>
          <w:ilvl w:val="0"/>
          <w:numId w:val="0"/>
        </w:numPr>
        <w:ind w:left="1360" w:hanging="680"/>
        <w:rPr>
          <w:b/>
          <w:u w:val="single"/>
        </w:rPr>
      </w:pPr>
      <w:r w:rsidRPr="003C454C">
        <w:rPr>
          <w:b/>
          <w:u w:val="single"/>
        </w:rPr>
        <w:t>HH MC C</w:t>
      </w:r>
      <w:r>
        <w:rPr>
          <w:b/>
          <w:u w:val="single"/>
        </w:rPr>
        <w:t xml:space="preserve"> – 2</w:t>
      </w:r>
      <w:r w:rsidR="00D0007E">
        <w:rPr>
          <w:b/>
          <w:u w:val="single"/>
        </w:rPr>
        <w:t>6</w:t>
      </w:r>
      <w:r>
        <w:rPr>
          <w:b/>
          <w:u w:val="single"/>
        </w:rPr>
        <w:t>% of all non-compliant estimation</w:t>
      </w:r>
    </w:p>
    <w:p w14:paraId="7D6D8375" w14:textId="77777777" w:rsidR="00C14A97" w:rsidRDefault="00C14A97" w:rsidP="00C14A97">
      <w:pPr>
        <w:pStyle w:val="List2"/>
      </w:pPr>
      <w:r>
        <w:t xml:space="preserve">Elexon considered the effectiveness of the following thresholds for the HH </w:t>
      </w:r>
      <w:r w:rsidR="00122265">
        <w:t xml:space="preserve">MC C </w:t>
      </w:r>
      <w:r>
        <w:t>market:</w:t>
      </w:r>
    </w:p>
    <w:tbl>
      <w:tblPr>
        <w:tblStyle w:val="TableGrid1"/>
        <w:tblW w:w="0" w:type="auto"/>
        <w:tblInd w:w="704" w:type="dxa"/>
        <w:tblLook w:val="04A0" w:firstRow="1" w:lastRow="0" w:firstColumn="1" w:lastColumn="0" w:noHBand="0" w:noVBand="1"/>
      </w:tblPr>
      <w:tblGrid>
        <w:gridCol w:w="2409"/>
        <w:gridCol w:w="2410"/>
        <w:gridCol w:w="2410"/>
        <w:gridCol w:w="2410"/>
      </w:tblGrid>
      <w:tr w:rsidR="00202F6B" w:rsidRPr="00202F6B" w14:paraId="61817FB1" w14:textId="77777777" w:rsidTr="00202F6B">
        <w:trPr>
          <w:tblHeader/>
        </w:trPr>
        <w:tc>
          <w:tcPr>
            <w:tcW w:w="2409" w:type="dxa"/>
            <w:shd w:val="clear" w:color="auto" w:fill="00008B" w:themeFill="text1"/>
          </w:tcPr>
          <w:p w14:paraId="6D590F72" w14:textId="77777777" w:rsidR="00202F6B" w:rsidRPr="00202F6B" w:rsidRDefault="00202F6B" w:rsidP="00202F6B">
            <w:pPr>
              <w:spacing w:after="160" w:line="259" w:lineRule="auto"/>
              <w:jc w:val="center"/>
              <w:rPr>
                <w:rFonts w:ascii="Calibri" w:eastAsia="Calibri" w:hAnsi="Calibri" w:cs="Times New Roman"/>
                <w:b/>
                <w:sz w:val="22"/>
              </w:rPr>
            </w:pPr>
            <w:r w:rsidRPr="00202F6B">
              <w:rPr>
                <w:rFonts w:ascii="Calibri" w:eastAsia="Calibri" w:hAnsi="Calibri" w:cs="Times New Roman"/>
                <w:b/>
                <w:sz w:val="22"/>
              </w:rPr>
              <w:t>Threshold (MWh)</w:t>
            </w:r>
          </w:p>
        </w:tc>
        <w:tc>
          <w:tcPr>
            <w:tcW w:w="2410" w:type="dxa"/>
            <w:shd w:val="clear" w:color="auto" w:fill="00008B" w:themeFill="text1"/>
          </w:tcPr>
          <w:p w14:paraId="0CB270A5" w14:textId="77777777" w:rsidR="00202F6B" w:rsidRPr="00202F6B" w:rsidRDefault="00202F6B" w:rsidP="00202F6B">
            <w:pPr>
              <w:spacing w:after="160" w:line="259" w:lineRule="auto"/>
              <w:jc w:val="center"/>
              <w:rPr>
                <w:rFonts w:ascii="Calibri" w:eastAsia="Calibri" w:hAnsi="Calibri" w:cs="Times New Roman"/>
                <w:b/>
                <w:sz w:val="22"/>
              </w:rPr>
            </w:pPr>
            <w:r w:rsidRPr="00202F6B">
              <w:rPr>
                <w:rFonts w:ascii="Calibri" w:eastAsia="Calibri" w:hAnsi="Calibri" w:cs="Times New Roman"/>
                <w:b/>
                <w:sz w:val="22"/>
              </w:rPr>
              <w:t>No of Suppliers</w:t>
            </w:r>
          </w:p>
        </w:tc>
        <w:tc>
          <w:tcPr>
            <w:tcW w:w="2410" w:type="dxa"/>
            <w:shd w:val="clear" w:color="auto" w:fill="00008B" w:themeFill="text1"/>
          </w:tcPr>
          <w:p w14:paraId="34981088" w14:textId="77777777" w:rsidR="00202F6B" w:rsidRPr="00202F6B" w:rsidRDefault="00202F6B" w:rsidP="00202F6B">
            <w:pPr>
              <w:spacing w:after="160" w:line="259" w:lineRule="auto"/>
              <w:jc w:val="center"/>
              <w:rPr>
                <w:rFonts w:ascii="Calibri" w:eastAsia="Calibri" w:hAnsi="Calibri" w:cs="Times New Roman"/>
                <w:b/>
                <w:sz w:val="22"/>
              </w:rPr>
            </w:pPr>
            <w:r w:rsidRPr="00202F6B">
              <w:rPr>
                <w:rFonts w:ascii="Calibri" w:eastAsia="Calibri" w:hAnsi="Calibri" w:cs="Times New Roman"/>
                <w:b/>
                <w:sz w:val="22"/>
              </w:rPr>
              <w:t>Vol of non-compliant energy</w:t>
            </w:r>
          </w:p>
        </w:tc>
        <w:tc>
          <w:tcPr>
            <w:tcW w:w="2410" w:type="dxa"/>
            <w:shd w:val="clear" w:color="auto" w:fill="00008B" w:themeFill="text1"/>
          </w:tcPr>
          <w:p w14:paraId="48BEF9C9" w14:textId="77777777" w:rsidR="00202F6B" w:rsidRPr="00202F6B" w:rsidRDefault="00202F6B" w:rsidP="00202F6B">
            <w:pPr>
              <w:spacing w:after="160" w:line="259" w:lineRule="auto"/>
              <w:jc w:val="center"/>
              <w:rPr>
                <w:rFonts w:ascii="Calibri" w:eastAsia="Calibri" w:hAnsi="Calibri" w:cs="Times New Roman"/>
                <w:b/>
                <w:sz w:val="22"/>
              </w:rPr>
            </w:pPr>
            <w:r w:rsidRPr="00202F6B">
              <w:rPr>
                <w:rFonts w:ascii="Calibri" w:eastAsia="Calibri" w:hAnsi="Calibri" w:cs="Times New Roman"/>
                <w:b/>
                <w:sz w:val="22"/>
              </w:rPr>
              <w:t>% coverage of non-compliant energy in this market</w:t>
            </w:r>
          </w:p>
        </w:tc>
      </w:tr>
      <w:tr w:rsidR="00202F6B" w:rsidRPr="00202F6B" w14:paraId="05766D6A" w14:textId="77777777" w:rsidTr="003E4170">
        <w:trPr>
          <w:tblHeader/>
        </w:trPr>
        <w:tc>
          <w:tcPr>
            <w:tcW w:w="2409" w:type="dxa"/>
            <w:shd w:val="clear" w:color="auto" w:fill="F2F2F2" w:themeFill="background1" w:themeFillShade="F2"/>
          </w:tcPr>
          <w:p w14:paraId="400C83D1"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1,000</w:t>
            </w:r>
          </w:p>
        </w:tc>
        <w:tc>
          <w:tcPr>
            <w:tcW w:w="2410" w:type="dxa"/>
            <w:shd w:val="clear" w:color="auto" w:fill="F2F2F2" w:themeFill="background1" w:themeFillShade="F2"/>
          </w:tcPr>
          <w:p w14:paraId="3B29AC96" w14:textId="483C93A5" w:rsidR="00202F6B" w:rsidRPr="00202F6B" w:rsidRDefault="006170D7" w:rsidP="00202F6B">
            <w:pPr>
              <w:spacing w:after="160" w:line="259" w:lineRule="auto"/>
              <w:jc w:val="center"/>
              <w:rPr>
                <w:rFonts w:ascii="Calibri" w:eastAsia="Calibri" w:hAnsi="Calibri" w:cs="Times New Roman"/>
                <w:sz w:val="22"/>
              </w:rPr>
            </w:pPr>
            <w:r>
              <w:rPr>
                <w:rFonts w:ascii="Calibri" w:eastAsia="Calibri" w:hAnsi="Calibri" w:cs="Times New Roman"/>
                <w:sz w:val="22"/>
              </w:rPr>
              <w:t>12</w:t>
            </w:r>
          </w:p>
        </w:tc>
        <w:tc>
          <w:tcPr>
            <w:tcW w:w="2410" w:type="dxa"/>
            <w:shd w:val="clear" w:color="auto" w:fill="F2F2F2" w:themeFill="background1" w:themeFillShade="F2"/>
          </w:tcPr>
          <w:p w14:paraId="48CED128" w14:textId="55324C26" w:rsidR="00202F6B" w:rsidRPr="00202F6B" w:rsidRDefault="006170D7" w:rsidP="00202F6B">
            <w:pPr>
              <w:tabs>
                <w:tab w:val="left" w:pos="315"/>
              </w:tabs>
              <w:spacing w:after="160" w:line="259" w:lineRule="auto"/>
              <w:jc w:val="center"/>
              <w:rPr>
                <w:rFonts w:ascii="Calibri" w:eastAsia="Calibri" w:hAnsi="Calibri" w:cs="Times New Roman"/>
                <w:sz w:val="22"/>
              </w:rPr>
            </w:pPr>
            <w:r>
              <w:rPr>
                <w:rFonts w:ascii="Calibri" w:eastAsia="Calibri" w:hAnsi="Calibri" w:cs="Times New Roman"/>
                <w:sz w:val="22"/>
              </w:rPr>
              <w:t>49,508</w:t>
            </w:r>
          </w:p>
        </w:tc>
        <w:tc>
          <w:tcPr>
            <w:tcW w:w="2410" w:type="dxa"/>
            <w:shd w:val="clear" w:color="auto" w:fill="F2F2F2" w:themeFill="background1" w:themeFillShade="F2"/>
          </w:tcPr>
          <w:p w14:paraId="413ABD21" w14:textId="362D1605" w:rsidR="00202F6B" w:rsidRPr="00202F6B" w:rsidRDefault="006170D7" w:rsidP="00E31F7D">
            <w:pPr>
              <w:spacing w:after="160" w:line="259" w:lineRule="auto"/>
              <w:jc w:val="center"/>
              <w:rPr>
                <w:rFonts w:ascii="Calibri" w:eastAsia="Calibri" w:hAnsi="Calibri" w:cs="Times New Roman"/>
                <w:sz w:val="22"/>
              </w:rPr>
            </w:pPr>
            <w:r>
              <w:rPr>
                <w:rFonts w:ascii="Calibri" w:eastAsia="Calibri" w:hAnsi="Calibri" w:cs="Times New Roman"/>
                <w:sz w:val="22"/>
              </w:rPr>
              <w:t>8</w:t>
            </w:r>
            <w:r w:rsidR="00E31F7D">
              <w:rPr>
                <w:rFonts w:ascii="Calibri" w:eastAsia="Calibri" w:hAnsi="Calibri" w:cs="Times New Roman"/>
                <w:sz w:val="22"/>
              </w:rPr>
              <w:t>4</w:t>
            </w:r>
            <w:r>
              <w:rPr>
                <w:rFonts w:ascii="Calibri" w:eastAsia="Calibri" w:hAnsi="Calibri" w:cs="Times New Roman"/>
                <w:sz w:val="22"/>
              </w:rPr>
              <w:t>%</w:t>
            </w:r>
          </w:p>
        </w:tc>
      </w:tr>
      <w:tr w:rsidR="00202F6B" w:rsidRPr="00202F6B" w14:paraId="265DED89" w14:textId="77777777" w:rsidTr="00665415">
        <w:trPr>
          <w:tblHeader/>
        </w:trPr>
        <w:tc>
          <w:tcPr>
            <w:tcW w:w="2409" w:type="dxa"/>
            <w:shd w:val="clear" w:color="auto" w:fill="auto"/>
          </w:tcPr>
          <w:p w14:paraId="2B50277E"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2,000</w:t>
            </w:r>
          </w:p>
        </w:tc>
        <w:tc>
          <w:tcPr>
            <w:tcW w:w="2410" w:type="dxa"/>
            <w:shd w:val="clear" w:color="auto" w:fill="auto"/>
          </w:tcPr>
          <w:p w14:paraId="3D07D827" w14:textId="17E34BA6" w:rsidR="00202F6B" w:rsidRPr="00202F6B" w:rsidRDefault="006170D7" w:rsidP="00202F6B">
            <w:pPr>
              <w:spacing w:after="160" w:line="259" w:lineRule="auto"/>
              <w:jc w:val="center"/>
              <w:rPr>
                <w:rFonts w:ascii="Calibri" w:eastAsia="Calibri" w:hAnsi="Calibri" w:cs="Times New Roman"/>
                <w:sz w:val="22"/>
              </w:rPr>
            </w:pPr>
            <w:r>
              <w:rPr>
                <w:rFonts w:ascii="Calibri" w:eastAsia="Calibri" w:hAnsi="Calibri" w:cs="Times New Roman"/>
                <w:sz w:val="22"/>
              </w:rPr>
              <w:t>7</w:t>
            </w:r>
          </w:p>
        </w:tc>
        <w:tc>
          <w:tcPr>
            <w:tcW w:w="2410" w:type="dxa"/>
            <w:shd w:val="clear" w:color="auto" w:fill="auto"/>
          </w:tcPr>
          <w:p w14:paraId="70FC1FAA" w14:textId="34E10136" w:rsidR="00202F6B" w:rsidRPr="00202F6B" w:rsidRDefault="006170D7" w:rsidP="00202F6B">
            <w:pPr>
              <w:spacing w:after="160" w:line="259" w:lineRule="auto"/>
              <w:jc w:val="center"/>
              <w:rPr>
                <w:rFonts w:ascii="Calibri" w:eastAsia="Calibri" w:hAnsi="Calibri" w:cs="Times New Roman"/>
                <w:sz w:val="22"/>
              </w:rPr>
            </w:pPr>
            <w:r>
              <w:rPr>
                <w:rFonts w:ascii="Calibri" w:eastAsia="Calibri" w:hAnsi="Calibri" w:cs="Times New Roman"/>
                <w:sz w:val="22"/>
              </w:rPr>
              <w:t>42,528</w:t>
            </w:r>
          </w:p>
        </w:tc>
        <w:tc>
          <w:tcPr>
            <w:tcW w:w="2410" w:type="dxa"/>
            <w:shd w:val="clear" w:color="auto" w:fill="auto"/>
          </w:tcPr>
          <w:p w14:paraId="1357B240" w14:textId="3F376D7B" w:rsidR="00202F6B" w:rsidRPr="00202F6B" w:rsidRDefault="006170D7" w:rsidP="00E31F7D">
            <w:pPr>
              <w:spacing w:after="160" w:line="259" w:lineRule="auto"/>
              <w:jc w:val="center"/>
              <w:rPr>
                <w:rFonts w:ascii="Calibri" w:eastAsia="Calibri" w:hAnsi="Calibri" w:cs="Times New Roman"/>
                <w:sz w:val="22"/>
              </w:rPr>
            </w:pPr>
            <w:r>
              <w:rPr>
                <w:rFonts w:ascii="Calibri" w:eastAsia="Calibri" w:hAnsi="Calibri" w:cs="Times New Roman"/>
                <w:sz w:val="22"/>
              </w:rPr>
              <w:t>7</w:t>
            </w:r>
            <w:r w:rsidR="00E31F7D">
              <w:rPr>
                <w:rFonts w:ascii="Calibri" w:eastAsia="Calibri" w:hAnsi="Calibri" w:cs="Times New Roman"/>
                <w:sz w:val="22"/>
              </w:rPr>
              <w:t>2</w:t>
            </w:r>
            <w:r>
              <w:rPr>
                <w:rFonts w:ascii="Calibri" w:eastAsia="Calibri" w:hAnsi="Calibri" w:cs="Times New Roman"/>
                <w:sz w:val="22"/>
              </w:rPr>
              <w:t>%</w:t>
            </w:r>
          </w:p>
        </w:tc>
      </w:tr>
      <w:tr w:rsidR="00202F6B" w:rsidRPr="00202F6B" w14:paraId="3A697013" w14:textId="77777777" w:rsidTr="003E4170">
        <w:trPr>
          <w:tblHeader/>
        </w:trPr>
        <w:tc>
          <w:tcPr>
            <w:tcW w:w="2409" w:type="dxa"/>
            <w:shd w:val="clear" w:color="auto" w:fill="F2F2F2" w:themeFill="background1" w:themeFillShade="F2"/>
          </w:tcPr>
          <w:p w14:paraId="7C6E61A7" w14:textId="77777777" w:rsidR="00202F6B" w:rsidRPr="00202F6B" w:rsidRDefault="00202F6B" w:rsidP="00202F6B">
            <w:pPr>
              <w:spacing w:after="160" w:line="259" w:lineRule="auto"/>
              <w:jc w:val="center"/>
              <w:rPr>
                <w:rFonts w:ascii="Calibri" w:eastAsia="Calibri" w:hAnsi="Calibri" w:cs="Times New Roman"/>
                <w:sz w:val="22"/>
              </w:rPr>
            </w:pPr>
            <w:r w:rsidRPr="00202F6B">
              <w:rPr>
                <w:rFonts w:ascii="Calibri" w:eastAsia="Calibri" w:hAnsi="Calibri" w:cs="Times New Roman"/>
                <w:sz w:val="22"/>
              </w:rPr>
              <w:t>4,000</w:t>
            </w:r>
          </w:p>
        </w:tc>
        <w:tc>
          <w:tcPr>
            <w:tcW w:w="2410" w:type="dxa"/>
            <w:shd w:val="clear" w:color="auto" w:fill="F2F2F2" w:themeFill="background1" w:themeFillShade="F2"/>
          </w:tcPr>
          <w:p w14:paraId="31A54F69" w14:textId="77F54BF9" w:rsidR="00202F6B" w:rsidRPr="00202F6B" w:rsidRDefault="00665415" w:rsidP="00202F6B">
            <w:pPr>
              <w:spacing w:after="160" w:line="259" w:lineRule="auto"/>
              <w:jc w:val="center"/>
              <w:rPr>
                <w:rFonts w:ascii="Calibri" w:eastAsia="Calibri" w:hAnsi="Calibri" w:cs="Times New Roman"/>
                <w:sz w:val="22"/>
              </w:rPr>
            </w:pPr>
            <w:r>
              <w:rPr>
                <w:rFonts w:ascii="Calibri" w:eastAsia="Calibri" w:hAnsi="Calibri" w:cs="Times New Roman"/>
                <w:sz w:val="22"/>
              </w:rPr>
              <w:t>4</w:t>
            </w:r>
          </w:p>
        </w:tc>
        <w:tc>
          <w:tcPr>
            <w:tcW w:w="2410" w:type="dxa"/>
            <w:shd w:val="clear" w:color="auto" w:fill="F2F2F2" w:themeFill="background1" w:themeFillShade="F2"/>
          </w:tcPr>
          <w:p w14:paraId="2DE43FD8" w14:textId="5B055447" w:rsidR="00202F6B" w:rsidRPr="00202F6B" w:rsidRDefault="00665415" w:rsidP="00202F6B">
            <w:pPr>
              <w:spacing w:after="160" w:line="259" w:lineRule="auto"/>
              <w:jc w:val="center"/>
              <w:rPr>
                <w:rFonts w:ascii="Calibri" w:eastAsia="Calibri" w:hAnsi="Calibri" w:cs="Times New Roman"/>
                <w:sz w:val="22"/>
              </w:rPr>
            </w:pPr>
            <w:r>
              <w:rPr>
                <w:rFonts w:ascii="Calibri" w:eastAsia="Calibri" w:hAnsi="Calibri" w:cs="Times New Roman"/>
                <w:sz w:val="22"/>
              </w:rPr>
              <w:t>34,487</w:t>
            </w:r>
          </w:p>
        </w:tc>
        <w:tc>
          <w:tcPr>
            <w:tcW w:w="2410" w:type="dxa"/>
            <w:shd w:val="clear" w:color="auto" w:fill="F2F2F2" w:themeFill="background1" w:themeFillShade="F2"/>
          </w:tcPr>
          <w:p w14:paraId="28720D00" w14:textId="1093A7A6" w:rsidR="00202F6B" w:rsidRPr="00202F6B" w:rsidRDefault="00E31F7D" w:rsidP="00202F6B">
            <w:pPr>
              <w:spacing w:after="160" w:line="259" w:lineRule="auto"/>
              <w:jc w:val="center"/>
              <w:rPr>
                <w:rFonts w:ascii="Calibri" w:eastAsia="Calibri" w:hAnsi="Calibri" w:cs="Times New Roman"/>
                <w:sz w:val="22"/>
              </w:rPr>
            </w:pPr>
            <w:r>
              <w:rPr>
                <w:rFonts w:ascii="Calibri" w:eastAsia="Calibri" w:hAnsi="Calibri" w:cs="Times New Roman"/>
                <w:sz w:val="22"/>
              </w:rPr>
              <w:t>59</w:t>
            </w:r>
            <w:r w:rsidR="00665415">
              <w:rPr>
                <w:rFonts w:ascii="Calibri" w:eastAsia="Calibri" w:hAnsi="Calibri" w:cs="Times New Roman"/>
                <w:sz w:val="22"/>
              </w:rPr>
              <w:t>%</w:t>
            </w:r>
          </w:p>
        </w:tc>
      </w:tr>
      <w:tr w:rsidR="00665415" w:rsidRPr="00202F6B" w14:paraId="12FDEF5A" w14:textId="77777777" w:rsidTr="003E4170">
        <w:trPr>
          <w:tblHeader/>
        </w:trPr>
        <w:tc>
          <w:tcPr>
            <w:tcW w:w="2409" w:type="dxa"/>
            <w:shd w:val="clear" w:color="auto" w:fill="F2F2F2" w:themeFill="background1" w:themeFillShade="F2"/>
          </w:tcPr>
          <w:p w14:paraId="79FD4FC8" w14:textId="77777777" w:rsidR="00665415" w:rsidRPr="00202F6B" w:rsidRDefault="00665415" w:rsidP="00665415">
            <w:pPr>
              <w:spacing w:after="160" w:line="259" w:lineRule="auto"/>
              <w:jc w:val="center"/>
              <w:rPr>
                <w:rFonts w:ascii="Calibri" w:eastAsia="Calibri" w:hAnsi="Calibri" w:cs="Times New Roman"/>
                <w:sz w:val="22"/>
              </w:rPr>
            </w:pPr>
            <w:r w:rsidRPr="00202F6B">
              <w:rPr>
                <w:rFonts w:ascii="Calibri" w:eastAsia="Calibri" w:hAnsi="Calibri" w:cs="Times New Roman"/>
                <w:sz w:val="22"/>
              </w:rPr>
              <w:t>5,000</w:t>
            </w:r>
          </w:p>
        </w:tc>
        <w:tc>
          <w:tcPr>
            <w:tcW w:w="2410" w:type="dxa"/>
            <w:shd w:val="clear" w:color="auto" w:fill="F2F2F2" w:themeFill="background1" w:themeFillShade="F2"/>
          </w:tcPr>
          <w:p w14:paraId="05EAA56B" w14:textId="20905891" w:rsidR="00665415" w:rsidRPr="00202F6B" w:rsidRDefault="00665415" w:rsidP="00665415">
            <w:pPr>
              <w:spacing w:after="160" w:line="259" w:lineRule="auto"/>
              <w:jc w:val="center"/>
              <w:rPr>
                <w:rFonts w:ascii="Calibri" w:eastAsia="Calibri" w:hAnsi="Calibri" w:cs="Times New Roman"/>
                <w:sz w:val="22"/>
              </w:rPr>
            </w:pPr>
            <w:r>
              <w:rPr>
                <w:rFonts w:ascii="Calibri" w:eastAsia="Calibri" w:hAnsi="Calibri" w:cs="Times New Roman"/>
                <w:sz w:val="22"/>
              </w:rPr>
              <w:t>4</w:t>
            </w:r>
          </w:p>
        </w:tc>
        <w:tc>
          <w:tcPr>
            <w:tcW w:w="2410" w:type="dxa"/>
            <w:shd w:val="clear" w:color="auto" w:fill="F2F2F2" w:themeFill="background1" w:themeFillShade="F2"/>
          </w:tcPr>
          <w:p w14:paraId="15D8B3CB" w14:textId="5CA28266" w:rsidR="00665415" w:rsidRPr="00202F6B" w:rsidRDefault="00665415" w:rsidP="00665415">
            <w:pPr>
              <w:spacing w:after="160" w:line="259" w:lineRule="auto"/>
              <w:jc w:val="center"/>
              <w:rPr>
                <w:rFonts w:ascii="Calibri" w:eastAsia="Calibri" w:hAnsi="Calibri" w:cs="Times New Roman"/>
                <w:sz w:val="22"/>
              </w:rPr>
            </w:pPr>
            <w:r>
              <w:rPr>
                <w:rFonts w:ascii="Calibri" w:eastAsia="Calibri" w:hAnsi="Calibri" w:cs="Times New Roman"/>
                <w:sz w:val="22"/>
              </w:rPr>
              <w:t>34,487</w:t>
            </w:r>
          </w:p>
        </w:tc>
        <w:tc>
          <w:tcPr>
            <w:tcW w:w="2410" w:type="dxa"/>
            <w:shd w:val="clear" w:color="auto" w:fill="F2F2F2" w:themeFill="background1" w:themeFillShade="F2"/>
          </w:tcPr>
          <w:p w14:paraId="357635E2" w14:textId="074DCB01" w:rsidR="00665415" w:rsidRPr="00202F6B" w:rsidRDefault="00E31F7D" w:rsidP="00665415">
            <w:pPr>
              <w:spacing w:after="160" w:line="259" w:lineRule="auto"/>
              <w:jc w:val="center"/>
              <w:rPr>
                <w:rFonts w:ascii="Calibri" w:eastAsia="Calibri" w:hAnsi="Calibri" w:cs="Times New Roman"/>
                <w:sz w:val="22"/>
              </w:rPr>
            </w:pPr>
            <w:r>
              <w:rPr>
                <w:rFonts w:ascii="Calibri" w:eastAsia="Calibri" w:hAnsi="Calibri" w:cs="Times New Roman"/>
                <w:sz w:val="22"/>
              </w:rPr>
              <w:t>59</w:t>
            </w:r>
            <w:r w:rsidR="00665415">
              <w:rPr>
                <w:rFonts w:ascii="Calibri" w:eastAsia="Calibri" w:hAnsi="Calibri" w:cs="Times New Roman"/>
                <w:sz w:val="22"/>
              </w:rPr>
              <w:t>%</w:t>
            </w:r>
          </w:p>
        </w:tc>
      </w:tr>
    </w:tbl>
    <w:p w14:paraId="61F8B8BA" w14:textId="77777777" w:rsidR="000E0EC4" w:rsidRDefault="000E0EC4" w:rsidP="000E0EC4">
      <w:pPr>
        <w:pStyle w:val="List"/>
        <w:numPr>
          <w:ilvl w:val="0"/>
          <w:numId w:val="0"/>
        </w:numPr>
        <w:ind w:left="680"/>
      </w:pPr>
    </w:p>
    <w:p w14:paraId="1DD393F6" w14:textId="20960E42" w:rsidR="00C14A97" w:rsidRDefault="00C14A97" w:rsidP="00C14A97">
      <w:pPr>
        <w:pStyle w:val="List2"/>
      </w:pPr>
      <w:r>
        <w:t>Elexon concluded that</w:t>
      </w:r>
      <w:r w:rsidR="00E835D9">
        <w:t xml:space="preserve"> </w:t>
      </w:r>
      <w:r w:rsidR="008B6254">
        <w:t xml:space="preserve">lowering the threshold back to 2,000MWh (as it was prior to the second lockdown) </w:t>
      </w:r>
      <w:r w:rsidR="00CB7891">
        <w:t>and a market coverage of 72</w:t>
      </w:r>
      <w:r>
        <w:t>% of the non-compliant estimation would:</w:t>
      </w:r>
    </w:p>
    <w:p w14:paraId="58DFF66B" w14:textId="77777777" w:rsidR="00C14A97" w:rsidRDefault="00C14A97" w:rsidP="00C14A97">
      <w:pPr>
        <w:pStyle w:val="List2"/>
        <w:numPr>
          <w:ilvl w:val="0"/>
          <w:numId w:val="16"/>
        </w:numPr>
      </w:pPr>
      <w:r>
        <w:t>Cover the majority of non-compliant estimation whilst ensuring the number of focus Suppliers is proportional to the level of impact for that market area; and</w:t>
      </w:r>
    </w:p>
    <w:p w14:paraId="6A96C18B" w14:textId="14D64559" w:rsidR="00C14A97" w:rsidRDefault="00E835D9" w:rsidP="008B6254">
      <w:pPr>
        <w:pStyle w:val="List2"/>
        <w:numPr>
          <w:ilvl w:val="0"/>
          <w:numId w:val="16"/>
        </w:numPr>
      </w:pPr>
      <w:r>
        <w:t xml:space="preserve">Keep the level of market coverage and number of Suppliers under focus at a similar level to that agreed as sensible during the last quarterly review in </w:t>
      </w:r>
      <w:r w:rsidR="00324E91">
        <w:t>May</w:t>
      </w:r>
      <w:r>
        <w:t xml:space="preserve"> 2021</w:t>
      </w:r>
      <w:r w:rsidR="00324E91">
        <w:t>,</w:t>
      </w:r>
      <w:r>
        <w:t xml:space="preserve"> </w:t>
      </w:r>
      <w:r w:rsidR="008B6254">
        <w:t xml:space="preserve">which reflects the fact that the </w:t>
      </w:r>
      <w:r w:rsidR="00324E91">
        <w:t>overall percentage</w:t>
      </w:r>
      <w:r w:rsidR="008B6254">
        <w:t xml:space="preserve"> of non-complaint estimation from Suppliers in this market relative to the other market areas </w:t>
      </w:r>
      <w:r w:rsidR="00324E91">
        <w:t>has not significantly changed.</w:t>
      </w:r>
    </w:p>
    <w:p w14:paraId="228AD914" w14:textId="31A828CF" w:rsidR="001D0426" w:rsidRDefault="001D0426" w:rsidP="004525A1">
      <w:pPr>
        <w:pStyle w:val="List2"/>
      </w:pPr>
      <w:r>
        <w:t>There is currently a Supplier in EFR with volumes under 2,000MWh that has not yet met the EFR exit criteria that adds to further coverage of this market area.</w:t>
      </w:r>
    </w:p>
    <w:p w14:paraId="7B2F20B9" w14:textId="77777777" w:rsidR="001D0426" w:rsidRDefault="001D0426" w:rsidP="001D0426">
      <w:pPr>
        <w:pStyle w:val="List2"/>
        <w:numPr>
          <w:ilvl w:val="0"/>
          <w:numId w:val="0"/>
        </w:numPr>
        <w:ind w:left="1400"/>
      </w:pPr>
    </w:p>
    <w:p w14:paraId="348BDEF8" w14:textId="39549876" w:rsidR="00E63ADF" w:rsidRDefault="00C14A97" w:rsidP="00E63ADF">
      <w:pPr>
        <w:pStyle w:val="List2"/>
        <w:numPr>
          <w:ilvl w:val="0"/>
          <w:numId w:val="0"/>
        </w:numPr>
        <w:ind w:left="1360" w:hanging="680"/>
        <w:rPr>
          <w:b/>
          <w:u w:val="single"/>
        </w:rPr>
      </w:pPr>
      <w:r w:rsidRPr="00BB5DA0">
        <w:rPr>
          <w:b/>
          <w:u w:val="single"/>
        </w:rPr>
        <w:t xml:space="preserve">HH </w:t>
      </w:r>
      <w:r>
        <w:rPr>
          <w:b/>
          <w:u w:val="single"/>
        </w:rPr>
        <w:t xml:space="preserve">Performance </w:t>
      </w:r>
      <w:r w:rsidR="00EC69F3">
        <w:rPr>
          <w:b/>
          <w:u w:val="single"/>
        </w:rPr>
        <w:t>Sub 100kW – 1</w:t>
      </w:r>
      <w:r w:rsidR="00D0007E">
        <w:rPr>
          <w:b/>
          <w:u w:val="single"/>
        </w:rPr>
        <w:t>6</w:t>
      </w:r>
      <w:r w:rsidRPr="00BB5DA0">
        <w:rPr>
          <w:b/>
          <w:u w:val="single"/>
        </w:rPr>
        <w:t>% of all non-compliant estimation</w:t>
      </w:r>
    </w:p>
    <w:p w14:paraId="74F59207" w14:textId="77777777" w:rsidR="00122265" w:rsidRDefault="00122265" w:rsidP="00E63ADF">
      <w:pPr>
        <w:pStyle w:val="List2"/>
        <w:numPr>
          <w:ilvl w:val="0"/>
          <w:numId w:val="0"/>
        </w:numPr>
        <w:ind w:left="1360" w:hanging="680"/>
        <w:rPr>
          <w:b/>
          <w:u w:val="single"/>
        </w:rPr>
      </w:pPr>
    </w:p>
    <w:p w14:paraId="0BF010C1" w14:textId="77777777" w:rsidR="00122265" w:rsidRPr="00122265" w:rsidRDefault="00122265" w:rsidP="00122265">
      <w:pPr>
        <w:pStyle w:val="List2"/>
      </w:pPr>
      <w:r w:rsidRPr="00122265">
        <w:t xml:space="preserve">Elexon considered the effectiveness of the following thresholds for the HH </w:t>
      </w:r>
      <w:r>
        <w:t>Sub 100kW</w:t>
      </w:r>
      <w:r w:rsidRPr="00122265">
        <w:t xml:space="preserve"> market</w:t>
      </w:r>
      <w:r>
        <w:t>:</w:t>
      </w:r>
    </w:p>
    <w:p w14:paraId="13BF797C" w14:textId="77777777" w:rsidR="00E63ADF" w:rsidRDefault="00E63ADF" w:rsidP="00E63ADF">
      <w:pPr>
        <w:pStyle w:val="List2"/>
        <w:numPr>
          <w:ilvl w:val="0"/>
          <w:numId w:val="0"/>
        </w:numPr>
        <w:ind w:left="1360" w:hanging="680"/>
        <w:rPr>
          <w:b/>
          <w:u w:val="single"/>
        </w:rPr>
      </w:pPr>
    </w:p>
    <w:tbl>
      <w:tblPr>
        <w:tblStyle w:val="TableGrid2"/>
        <w:tblW w:w="0" w:type="auto"/>
        <w:tblInd w:w="704" w:type="dxa"/>
        <w:tblLook w:val="04A0" w:firstRow="1" w:lastRow="0" w:firstColumn="1" w:lastColumn="0" w:noHBand="0" w:noVBand="1"/>
      </w:tblPr>
      <w:tblGrid>
        <w:gridCol w:w="2409"/>
        <w:gridCol w:w="2410"/>
        <w:gridCol w:w="2410"/>
        <w:gridCol w:w="2410"/>
      </w:tblGrid>
      <w:tr w:rsidR="00E63ADF" w:rsidRPr="00E63ADF" w14:paraId="3FE5A773" w14:textId="77777777" w:rsidTr="00A3104A">
        <w:trPr>
          <w:trHeight w:val="740"/>
          <w:tblHeader/>
        </w:trPr>
        <w:tc>
          <w:tcPr>
            <w:tcW w:w="2409" w:type="dxa"/>
            <w:shd w:val="clear" w:color="auto" w:fill="00008B" w:themeFill="text1"/>
          </w:tcPr>
          <w:p w14:paraId="33A43475" w14:textId="77777777" w:rsidR="00E63ADF" w:rsidRPr="00E63ADF" w:rsidRDefault="00E63ADF" w:rsidP="00E63ADF">
            <w:pPr>
              <w:spacing w:after="160" w:line="259" w:lineRule="auto"/>
              <w:jc w:val="center"/>
              <w:rPr>
                <w:rFonts w:ascii="Calibri" w:eastAsia="Calibri" w:hAnsi="Calibri" w:cs="Times New Roman"/>
                <w:b/>
                <w:sz w:val="22"/>
              </w:rPr>
            </w:pPr>
            <w:r w:rsidRPr="00E63ADF">
              <w:rPr>
                <w:rFonts w:ascii="Calibri" w:eastAsia="Calibri" w:hAnsi="Calibri" w:cs="Times New Roman"/>
                <w:b/>
                <w:sz w:val="22"/>
              </w:rPr>
              <w:t>Threshold (MWh)</w:t>
            </w:r>
          </w:p>
        </w:tc>
        <w:tc>
          <w:tcPr>
            <w:tcW w:w="2410" w:type="dxa"/>
            <w:shd w:val="clear" w:color="auto" w:fill="00008B" w:themeFill="text1"/>
          </w:tcPr>
          <w:p w14:paraId="3D7D3F00" w14:textId="77777777" w:rsidR="00E63ADF" w:rsidRPr="00E63ADF" w:rsidRDefault="00E63ADF" w:rsidP="00E63ADF">
            <w:pPr>
              <w:spacing w:after="160" w:line="259" w:lineRule="auto"/>
              <w:jc w:val="center"/>
              <w:rPr>
                <w:rFonts w:ascii="Calibri" w:eastAsia="Calibri" w:hAnsi="Calibri" w:cs="Times New Roman"/>
                <w:b/>
                <w:sz w:val="22"/>
              </w:rPr>
            </w:pPr>
            <w:r w:rsidRPr="00E63ADF">
              <w:rPr>
                <w:rFonts w:ascii="Calibri" w:eastAsia="Calibri" w:hAnsi="Calibri" w:cs="Times New Roman"/>
                <w:b/>
                <w:sz w:val="22"/>
              </w:rPr>
              <w:t>No of Suppliers</w:t>
            </w:r>
          </w:p>
        </w:tc>
        <w:tc>
          <w:tcPr>
            <w:tcW w:w="2410" w:type="dxa"/>
            <w:shd w:val="clear" w:color="auto" w:fill="00008B" w:themeFill="text1"/>
          </w:tcPr>
          <w:p w14:paraId="08E6BC51" w14:textId="77777777" w:rsidR="00E63ADF" w:rsidRPr="00E63ADF" w:rsidRDefault="00E63ADF" w:rsidP="00E63ADF">
            <w:pPr>
              <w:spacing w:after="160" w:line="259" w:lineRule="auto"/>
              <w:jc w:val="center"/>
              <w:rPr>
                <w:rFonts w:ascii="Calibri" w:eastAsia="Calibri" w:hAnsi="Calibri" w:cs="Times New Roman"/>
                <w:b/>
                <w:sz w:val="22"/>
              </w:rPr>
            </w:pPr>
            <w:r w:rsidRPr="00E63ADF">
              <w:rPr>
                <w:rFonts w:ascii="Calibri" w:eastAsia="Calibri" w:hAnsi="Calibri" w:cs="Times New Roman"/>
                <w:b/>
                <w:sz w:val="22"/>
              </w:rPr>
              <w:t>Vol of non-compliant energy</w:t>
            </w:r>
          </w:p>
        </w:tc>
        <w:tc>
          <w:tcPr>
            <w:tcW w:w="2410" w:type="dxa"/>
            <w:shd w:val="clear" w:color="auto" w:fill="00008B" w:themeFill="text1"/>
          </w:tcPr>
          <w:p w14:paraId="16D336AF" w14:textId="77777777" w:rsidR="00E63ADF" w:rsidRPr="00E63ADF" w:rsidRDefault="00E63ADF" w:rsidP="00E63ADF">
            <w:pPr>
              <w:spacing w:after="160" w:line="259" w:lineRule="auto"/>
              <w:jc w:val="center"/>
              <w:rPr>
                <w:rFonts w:ascii="Calibri" w:eastAsia="Calibri" w:hAnsi="Calibri" w:cs="Times New Roman"/>
                <w:b/>
                <w:sz w:val="22"/>
              </w:rPr>
            </w:pPr>
            <w:r w:rsidRPr="00E63ADF">
              <w:rPr>
                <w:rFonts w:ascii="Calibri" w:eastAsia="Calibri" w:hAnsi="Calibri" w:cs="Times New Roman"/>
                <w:b/>
                <w:sz w:val="22"/>
              </w:rPr>
              <w:t>% coverage of non-compliant energy in this market</w:t>
            </w:r>
          </w:p>
        </w:tc>
      </w:tr>
      <w:tr w:rsidR="00E63ADF" w:rsidRPr="00E63ADF" w14:paraId="16364995" w14:textId="77777777" w:rsidTr="003E4170">
        <w:trPr>
          <w:trHeight w:val="344"/>
          <w:tblHeader/>
        </w:trPr>
        <w:tc>
          <w:tcPr>
            <w:tcW w:w="2409" w:type="dxa"/>
            <w:shd w:val="clear" w:color="auto" w:fill="F2F2F2" w:themeFill="background1" w:themeFillShade="F2"/>
          </w:tcPr>
          <w:p w14:paraId="6855B261"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1,000</w:t>
            </w:r>
          </w:p>
        </w:tc>
        <w:tc>
          <w:tcPr>
            <w:tcW w:w="2410" w:type="dxa"/>
            <w:shd w:val="clear" w:color="auto" w:fill="F2F2F2" w:themeFill="background1" w:themeFillShade="F2"/>
          </w:tcPr>
          <w:p w14:paraId="3AA917A5" w14:textId="73E2636B" w:rsidR="00E63ADF" w:rsidRPr="00E63ADF" w:rsidRDefault="00D86D2F" w:rsidP="00E63ADF">
            <w:pPr>
              <w:spacing w:after="160" w:line="259" w:lineRule="auto"/>
              <w:jc w:val="center"/>
              <w:rPr>
                <w:rFonts w:ascii="Calibri" w:eastAsia="Calibri" w:hAnsi="Calibri" w:cs="Times New Roman"/>
                <w:sz w:val="22"/>
              </w:rPr>
            </w:pPr>
            <w:r>
              <w:rPr>
                <w:rFonts w:ascii="Calibri" w:eastAsia="Calibri" w:hAnsi="Calibri" w:cs="Times New Roman"/>
                <w:sz w:val="22"/>
              </w:rPr>
              <w:t>10</w:t>
            </w:r>
          </w:p>
        </w:tc>
        <w:tc>
          <w:tcPr>
            <w:tcW w:w="2410" w:type="dxa"/>
            <w:shd w:val="clear" w:color="auto" w:fill="F2F2F2" w:themeFill="background1" w:themeFillShade="F2"/>
          </w:tcPr>
          <w:p w14:paraId="03FCD7B5" w14:textId="39BBA71E" w:rsidR="00E63ADF" w:rsidRPr="00E63ADF" w:rsidRDefault="00D86D2F" w:rsidP="00E63ADF">
            <w:pPr>
              <w:tabs>
                <w:tab w:val="left" w:pos="315"/>
              </w:tabs>
              <w:spacing w:after="160" w:line="259" w:lineRule="auto"/>
              <w:jc w:val="center"/>
              <w:rPr>
                <w:rFonts w:ascii="Calibri" w:eastAsia="Calibri" w:hAnsi="Calibri" w:cs="Times New Roman"/>
                <w:sz w:val="22"/>
              </w:rPr>
            </w:pPr>
            <w:r>
              <w:rPr>
                <w:rFonts w:ascii="Calibri" w:eastAsia="Calibri" w:hAnsi="Calibri" w:cs="Times New Roman"/>
                <w:sz w:val="22"/>
              </w:rPr>
              <w:t>26,739MWh</w:t>
            </w:r>
          </w:p>
        </w:tc>
        <w:tc>
          <w:tcPr>
            <w:tcW w:w="2410" w:type="dxa"/>
            <w:shd w:val="clear" w:color="auto" w:fill="F2F2F2" w:themeFill="background1" w:themeFillShade="F2"/>
          </w:tcPr>
          <w:p w14:paraId="15EBE82A" w14:textId="44935057" w:rsidR="00E63ADF" w:rsidRPr="00E63ADF" w:rsidRDefault="00D86D2F" w:rsidP="00E63ADF">
            <w:pPr>
              <w:spacing w:after="160" w:line="259" w:lineRule="auto"/>
              <w:jc w:val="center"/>
              <w:rPr>
                <w:rFonts w:ascii="Calibri" w:eastAsia="Calibri" w:hAnsi="Calibri" w:cs="Times New Roman"/>
                <w:sz w:val="22"/>
              </w:rPr>
            </w:pPr>
            <w:r>
              <w:rPr>
                <w:rFonts w:ascii="Calibri" w:eastAsia="Calibri" w:hAnsi="Calibri" w:cs="Times New Roman"/>
                <w:sz w:val="22"/>
              </w:rPr>
              <w:t>75%</w:t>
            </w:r>
          </w:p>
        </w:tc>
      </w:tr>
      <w:tr w:rsidR="00E63ADF" w:rsidRPr="00E63ADF" w14:paraId="58836F7F" w14:textId="77777777" w:rsidTr="003E4170">
        <w:trPr>
          <w:trHeight w:val="322"/>
          <w:tblHeader/>
        </w:trPr>
        <w:tc>
          <w:tcPr>
            <w:tcW w:w="2409" w:type="dxa"/>
            <w:shd w:val="clear" w:color="auto" w:fill="auto"/>
          </w:tcPr>
          <w:p w14:paraId="3BB1A70E"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2,000</w:t>
            </w:r>
          </w:p>
        </w:tc>
        <w:tc>
          <w:tcPr>
            <w:tcW w:w="2410" w:type="dxa"/>
            <w:shd w:val="clear" w:color="auto" w:fill="auto"/>
          </w:tcPr>
          <w:p w14:paraId="29629A55" w14:textId="0A67A657" w:rsidR="00E63ADF" w:rsidRPr="00E63ADF" w:rsidRDefault="00D86D2F" w:rsidP="00E63ADF">
            <w:pPr>
              <w:spacing w:after="160" w:line="259" w:lineRule="auto"/>
              <w:jc w:val="center"/>
              <w:rPr>
                <w:rFonts w:ascii="Calibri" w:eastAsia="Calibri" w:hAnsi="Calibri" w:cs="Times New Roman"/>
                <w:sz w:val="22"/>
              </w:rPr>
            </w:pPr>
            <w:r>
              <w:rPr>
                <w:rFonts w:ascii="Calibri" w:eastAsia="Calibri" w:hAnsi="Calibri" w:cs="Times New Roman"/>
                <w:sz w:val="22"/>
              </w:rPr>
              <w:t>5</w:t>
            </w:r>
          </w:p>
        </w:tc>
        <w:tc>
          <w:tcPr>
            <w:tcW w:w="2410" w:type="dxa"/>
            <w:shd w:val="clear" w:color="auto" w:fill="auto"/>
          </w:tcPr>
          <w:p w14:paraId="46C764FA" w14:textId="29525018" w:rsidR="00E63ADF" w:rsidRPr="00E63ADF" w:rsidRDefault="00D86D2F" w:rsidP="00E63ADF">
            <w:pPr>
              <w:spacing w:after="160" w:line="259" w:lineRule="auto"/>
              <w:jc w:val="center"/>
              <w:rPr>
                <w:rFonts w:ascii="Calibri" w:eastAsia="Calibri" w:hAnsi="Calibri" w:cs="Times New Roman"/>
                <w:sz w:val="22"/>
              </w:rPr>
            </w:pPr>
            <w:r>
              <w:rPr>
                <w:rFonts w:ascii="Calibri" w:eastAsia="Calibri" w:hAnsi="Calibri" w:cs="Times New Roman"/>
                <w:sz w:val="22"/>
              </w:rPr>
              <w:t>19,759MWh</w:t>
            </w:r>
          </w:p>
        </w:tc>
        <w:tc>
          <w:tcPr>
            <w:tcW w:w="2410" w:type="dxa"/>
            <w:shd w:val="clear" w:color="auto" w:fill="auto"/>
          </w:tcPr>
          <w:p w14:paraId="6A79AA34" w14:textId="321DA1B9" w:rsidR="00E63ADF" w:rsidRPr="00E63ADF" w:rsidRDefault="00C17519" w:rsidP="00E63ADF">
            <w:pPr>
              <w:spacing w:after="160" w:line="259" w:lineRule="auto"/>
              <w:jc w:val="center"/>
              <w:rPr>
                <w:rFonts w:ascii="Calibri" w:eastAsia="Calibri" w:hAnsi="Calibri" w:cs="Times New Roman"/>
                <w:sz w:val="22"/>
              </w:rPr>
            </w:pPr>
            <w:r>
              <w:rPr>
                <w:rFonts w:ascii="Calibri" w:eastAsia="Calibri" w:hAnsi="Calibri" w:cs="Times New Roman"/>
                <w:sz w:val="22"/>
              </w:rPr>
              <w:t>55%</w:t>
            </w:r>
          </w:p>
        </w:tc>
      </w:tr>
      <w:tr w:rsidR="00E63ADF" w:rsidRPr="00E63ADF" w14:paraId="3349F82E" w14:textId="77777777" w:rsidTr="003E4170">
        <w:trPr>
          <w:trHeight w:val="272"/>
          <w:tblHeader/>
        </w:trPr>
        <w:tc>
          <w:tcPr>
            <w:tcW w:w="2409" w:type="dxa"/>
            <w:shd w:val="clear" w:color="auto" w:fill="F2F2F2" w:themeFill="background1" w:themeFillShade="F2"/>
          </w:tcPr>
          <w:p w14:paraId="45593679"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3,000</w:t>
            </w:r>
          </w:p>
        </w:tc>
        <w:tc>
          <w:tcPr>
            <w:tcW w:w="2410" w:type="dxa"/>
            <w:shd w:val="clear" w:color="auto" w:fill="F2F2F2" w:themeFill="background1" w:themeFillShade="F2"/>
          </w:tcPr>
          <w:p w14:paraId="0A8BA9E9" w14:textId="3036C9E5" w:rsidR="00E63ADF" w:rsidRPr="00E63ADF" w:rsidRDefault="00C17519" w:rsidP="00E63ADF">
            <w:pPr>
              <w:spacing w:after="160" w:line="259" w:lineRule="auto"/>
              <w:jc w:val="center"/>
              <w:rPr>
                <w:rFonts w:ascii="Calibri" w:eastAsia="Calibri" w:hAnsi="Calibri" w:cs="Times New Roman"/>
                <w:sz w:val="22"/>
              </w:rPr>
            </w:pPr>
            <w:r>
              <w:rPr>
                <w:rFonts w:ascii="Calibri" w:eastAsia="Calibri" w:hAnsi="Calibri" w:cs="Times New Roman"/>
                <w:sz w:val="22"/>
              </w:rPr>
              <w:t>3</w:t>
            </w:r>
          </w:p>
        </w:tc>
        <w:tc>
          <w:tcPr>
            <w:tcW w:w="2410" w:type="dxa"/>
            <w:shd w:val="clear" w:color="auto" w:fill="F2F2F2" w:themeFill="background1" w:themeFillShade="F2"/>
          </w:tcPr>
          <w:p w14:paraId="2B01FCFA" w14:textId="308DA667" w:rsidR="00E63ADF" w:rsidRPr="00E63ADF" w:rsidRDefault="00C17519" w:rsidP="00E63ADF">
            <w:pPr>
              <w:spacing w:after="160" w:line="259" w:lineRule="auto"/>
              <w:jc w:val="center"/>
              <w:rPr>
                <w:rFonts w:ascii="Calibri" w:eastAsia="Calibri" w:hAnsi="Calibri" w:cs="Times New Roman"/>
                <w:sz w:val="22"/>
              </w:rPr>
            </w:pPr>
            <w:r>
              <w:rPr>
                <w:rFonts w:ascii="Calibri" w:eastAsia="Calibri" w:hAnsi="Calibri" w:cs="Times New Roman"/>
                <w:sz w:val="22"/>
              </w:rPr>
              <w:t>13,725MWh</w:t>
            </w:r>
          </w:p>
        </w:tc>
        <w:tc>
          <w:tcPr>
            <w:tcW w:w="2410" w:type="dxa"/>
            <w:shd w:val="clear" w:color="auto" w:fill="F2F2F2" w:themeFill="background1" w:themeFillShade="F2"/>
          </w:tcPr>
          <w:p w14:paraId="0652D88B" w14:textId="5A47A4F9" w:rsidR="00E63ADF" w:rsidRPr="00E63ADF" w:rsidRDefault="00C17519" w:rsidP="00E63ADF">
            <w:pPr>
              <w:spacing w:after="160" w:line="259" w:lineRule="auto"/>
              <w:jc w:val="center"/>
              <w:rPr>
                <w:rFonts w:ascii="Calibri" w:eastAsia="Calibri" w:hAnsi="Calibri" w:cs="Times New Roman"/>
                <w:sz w:val="22"/>
              </w:rPr>
            </w:pPr>
            <w:r>
              <w:rPr>
                <w:rFonts w:ascii="Calibri" w:eastAsia="Calibri" w:hAnsi="Calibri" w:cs="Times New Roman"/>
                <w:sz w:val="22"/>
              </w:rPr>
              <w:t>39%</w:t>
            </w:r>
          </w:p>
        </w:tc>
      </w:tr>
      <w:tr w:rsidR="00E63ADF" w:rsidRPr="00E63ADF" w14:paraId="7B8B9C53" w14:textId="77777777" w:rsidTr="003E4170">
        <w:trPr>
          <w:trHeight w:val="393"/>
          <w:tblHeader/>
        </w:trPr>
        <w:tc>
          <w:tcPr>
            <w:tcW w:w="2409" w:type="dxa"/>
            <w:shd w:val="clear" w:color="auto" w:fill="F2F2F2" w:themeFill="background1" w:themeFillShade="F2"/>
          </w:tcPr>
          <w:p w14:paraId="37C2D294" w14:textId="77777777" w:rsidR="00E63ADF" w:rsidRPr="00E63ADF" w:rsidRDefault="00E63ADF" w:rsidP="00E63ADF">
            <w:pPr>
              <w:spacing w:after="160" w:line="259" w:lineRule="auto"/>
              <w:jc w:val="center"/>
              <w:rPr>
                <w:rFonts w:ascii="Calibri" w:eastAsia="Calibri" w:hAnsi="Calibri" w:cs="Times New Roman"/>
                <w:sz w:val="22"/>
              </w:rPr>
            </w:pPr>
            <w:r w:rsidRPr="00E63ADF">
              <w:rPr>
                <w:rFonts w:ascii="Calibri" w:eastAsia="Calibri" w:hAnsi="Calibri" w:cs="Times New Roman"/>
                <w:sz w:val="22"/>
              </w:rPr>
              <w:t>4,000</w:t>
            </w:r>
          </w:p>
        </w:tc>
        <w:tc>
          <w:tcPr>
            <w:tcW w:w="2410" w:type="dxa"/>
            <w:shd w:val="clear" w:color="auto" w:fill="F2F2F2" w:themeFill="background1" w:themeFillShade="F2"/>
          </w:tcPr>
          <w:p w14:paraId="481557C0" w14:textId="4DFCE15E" w:rsidR="00E63ADF" w:rsidRPr="00E63ADF" w:rsidRDefault="00C17519" w:rsidP="00E63ADF">
            <w:pPr>
              <w:spacing w:after="160" w:line="259" w:lineRule="auto"/>
              <w:jc w:val="center"/>
              <w:rPr>
                <w:rFonts w:ascii="Calibri" w:eastAsia="Calibri" w:hAnsi="Calibri" w:cs="Times New Roman"/>
                <w:sz w:val="22"/>
              </w:rPr>
            </w:pPr>
            <w:r>
              <w:rPr>
                <w:rFonts w:ascii="Calibri" w:eastAsia="Calibri" w:hAnsi="Calibri" w:cs="Times New Roman"/>
                <w:sz w:val="22"/>
              </w:rPr>
              <w:t>1</w:t>
            </w:r>
          </w:p>
        </w:tc>
        <w:tc>
          <w:tcPr>
            <w:tcW w:w="2410" w:type="dxa"/>
            <w:shd w:val="clear" w:color="auto" w:fill="F2F2F2" w:themeFill="background1" w:themeFillShade="F2"/>
          </w:tcPr>
          <w:p w14:paraId="75D42E5F" w14:textId="120E698A" w:rsidR="00E63ADF" w:rsidRPr="00E63ADF" w:rsidRDefault="00C17519" w:rsidP="00E63ADF">
            <w:pPr>
              <w:spacing w:after="160" w:line="259" w:lineRule="auto"/>
              <w:jc w:val="center"/>
              <w:rPr>
                <w:rFonts w:ascii="Calibri" w:eastAsia="Calibri" w:hAnsi="Calibri" w:cs="Times New Roman"/>
                <w:sz w:val="22"/>
              </w:rPr>
            </w:pPr>
            <w:r>
              <w:rPr>
                <w:rFonts w:ascii="Calibri" w:eastAsia="Calibri" w:hAnsi="Calibri" w:cs="Times New Roman"/>
                <w:sz w:val="22"/>
              </w:rPr>
              <w:t>5,977MWh</w:t>
            </w:r>
          </w:p>
        </w:tc>
        <w:tc>
          <w:tcPr>
            <w:tcW w:w="2410" w:type="dxa"/>
            <w:shd w:val="clear" w:color="auto" w:fill="F2F2F2" w:themeFill="background1" w:themeFillShade="F2"/>
          </w:tcPr>
          <w:p w14:paraId="6803F99B" w14:textId="4E3424DA" w:rsidR="00E63ADF" w:rsidRPr="00E63ADF" w:rsidRDefault="003E4170" w:rsidP="00E63ADF">
            <w:pPr>
              <w:spacing w:after="160" w:line="259" w:lineRule="auto"/>
              <w:jc w:val="center"/>
              <w:rPr>
                <w:rFonts w:ascii="Calibri" w:eastAsia="Calibri" w:hAnsi="Calibri" w:cs="Times New Roman"/>
                <w:sz w:val="22"/>
              </w:rPr>
            </w:pPr>
            <w:r>
              <w:rPr>
                <w:rFonts w:ascii="Calibri" w:eastAsia="Calibri" w:hAnsi="Calibri" w:cs="Times New Roman"/>
                <w:sz w:val="22"/>
              </w:rPr>
              <w:t>17%</w:t>
            </w:r>
          </w:p>
        </w:tc>
      </w:tr>
    </w:tbl>
    <w:p w14:paraId="46A2233C" w14:textId="77777777" w:rsidR="00E63ADF" w:rsidRDefault="00E63ADF" w:rsidP="00E63ADF">
      <w:pPr>
        <w:pStyle w:val="List2"/>
        <w:numPr>
          <w:ilvl w:val="0"/>
          <w:numId w:val="0"/>
        </w:numPr>
        <w:ind w:left="1360" w:hanging="680"/>
        <w:rPr>
          <w:b/>
          <w:u w:val="single"/>
        </w:rPr>
      </w:pPr>
    </w:p>
    <w:p w14:paraId="552E99A7" w14:textId="77777777" w:rsidR="00E63ADF" w:rsidRDefault="00E63ADF" w:rsidP="00A3104A">
      <w:pPr>
        <w:pStyle w:val="List2"/>
        <w:numPr>
          <w:ilvl w:val="0"/>
          <w:numId w:val="0"/>
        </w:numPr>
        <w:rPr>
          <w:b/>
          <w:u w:val="single"/>
        </w:rPr>
      </w:pPr>
    </w:p>
    <w:p w14:paraId="1E5DB574" w14:textId="112C8EE0" w:rsidR="00324E91" w:rsidRDefault="00324E91" w:rsidP="00324E91">
      <w:pPr>
        <w:pStyle w:val="List2"/>
      </w:pPr>
      <w:r>
        <w:t>Elexon concluded that lowering the threshold back to 2,000MWh (as it was prior to the second lockdown) and a market coverage of 55% of the non-compliant estimation would:</w:t>
      </w:r>
    </w:p>
    <w:p w14:paraId="05747C00" w14:textId="49644B5A" w:rsidR="004543E4" w:rsidRDefault="004543E4" w:rsidP="004543E4">
      <w:pPr>
        <w:pStyle w:val="List2"/>
        <w:numPr>
          <w:ilvl w:val="0"/>
          <w:numId w:val="16"/>
        </w:numPr>
      </w:pPr>
      <w:r>
        <w:t>Cover the majority of non-compliant estimation whilst ensuring the number of focus Suppliers is proportional to the level of impact for that market area; and</w:t>
      </w:r>
    </w:p>
    <w:p w14:paraId="6EF0FE0C" w14:textId="1DD6738F" w:rsidR="00324E91" w:rsidRDefault="00324E91" w:rsidP="00324E91">
      <w:pPr>
        <w:pStyle w:val="List2"/>
        <w:numPr>
          <w:ilvl w:val="0"/>
          <w:numId w:val="16"/>
        </w:numPr>
      </w:pPr>
      <w:r>
        <w:t>Increase the</w:t>
      </w:r>
      <w:r w:rsidR="004543E4">
        <w:t xml:space="preserve"> level of market coverage and number of Suppliers under focus </w:t>
      </w:r>
      <w:r w:rsidR="00421E45">
        <w:t>for the levels at the</w:t>
      </w:r>
      <w:r>
        <w:t xml:space="preserve"> quarterly review in May 2021, which reflects the fact that the overall percentage of non-complaint estimation from Suppliers in this market relative to the other market areas has </w:t>
      </w:r>
      <w:r w:rsidR="00421E45">
        <w:t>increased since the last quarter</w:t>
      </w:r>
      <w:r>
        <w:t>.</w:t>
      </w:r>
    </w:p>
    <w:p w14:paraId="1B94D0E9" w14:textId="4931DFC6" w:rsidR="00C14A97" w:rsidRDefault="00C14A97" w:rsidP="00421E45">
      <w:pPr>
        <w:pStyle w:val="List2"/>
        <w:numPr>
          <w:ilvl w:val="0"/>
          <w:numId w:val="0"/>
        </w:numPr>
        <w:ind w:left="1040"/>
      </w:pPr>
    </w:p>
    <w:p w14:paraId="371F4280" w14:textId="44D0F41A" w:rsidR="00C14A97" w:rsidRDefault="00C14A97" w:rsidP="00C14A97">
      <w:pPr>
        <w:pStyle w:val="List2"/>
        <w:numPr>
          <w:ilvl w:val="0"/>
          <w:numId w:val="0"/>
        </w:numPr>
        <w:ind w:left="680"/>
        <w:rPr>
          <w:b/>
          <w:u w:val="single"/>
        </w:rPr>
      </w:pPr>
      <w:r w:rsidRPr="00A56C23">
        <w:rPr>
          <w:b/>
          <w:u w:val="single"/>
        </w:rPr>
        <w:t xml:space="preserve">NHH Performance – </w:t>
      </w:r>
      <w:r w:rsidR="00EC69F3">
        <w:rPr>
          <w:b/>
          <w:u w:val="single"/>
        </w:rPr>
        <w:t>5</w:t>
      </w:r>
      <w:r w:rsidR="006D1F0A">
        <w:rPr>
          <w:b/>
          <w:u w:val="single"/>
        </w:rPr>
        <w:t>8</w:t>
      </w:r>
      <w:r w:rsidRPr="00A56C23">
        <w:rPr>
          <w:b/>
          <w:u w:val="single"/>
        </w:rPr>
        <w:t>% of all non-compliant estimation</w:t>
      </w:r>
    </w:p>
    <w:p w14:paraId="454709C2" w14:textId="77777777" w:rsidR="00122265" w:rsidRDefault="00122265" w:rsidP="00C14A97">
      <w:pPr>
        <w:pStyle w:val="List2"/>
        <w:numPr>
          <w:ilvl w:val="0"/>
          <w:numId w:val="0"/>
        </w:numPr>
        <w:ind w:left="680"/>
        <w:rPr>
          <w:b/>
          <w:u w:val="single"/>
        </w:rPr>
      </w:pPr>
    </w:p>
    <w:p w14:paraId="514E2879" w14:textId="77777777" w:rsidR="00122265" w:rsidRPr="00122265" w:rsidRDefault="00122265" w:rsidP="00122265">
      <w:pPr>
        <w:pStyle w:val="List2"/>
      </w:pPr>
      <w:r w:rsidRPr="00122265">
        <w:t xml:space="preserve">Elexon considered the effectiveness of the following thresholds for the </w:t>
      </w:r>
      <w:r>
        <w:t>NHH</w:t>
      </w:r>
      <w:r w:rsidRPr="00122265">
        <w:t xml:space="preserve"> market</w:t>
      </w:r>
      <w:r>
        <w:t>:</w:t>
      </w:r>
    </w:p>
    <w:p w14:paraId="3E73915C" w14:textId="77777777" w:rsidR="00122265" w:rsidRDefault="00122265" w:rsidP="00C14A97">
      <w:pPr>
        <w:pStyle w:val="List2"/>
        <w:numPr>
          <w:ilvl w:val="0"/>
          <w:numId w:val="0"/>
        </w:numPr>
        <w:ind w:left="680"/>
        <w:rPr>
          <w:b/>
          <w:u w:val="single"/>
        </w:rPr>
      </w:pPr>
    </w:p>
    <w:tbl>
      <w:tblPr>
        <w:tblStyle w:val="TableGrid3"/>
        <w:tblW w:w="0" w:type="auto"/>
        <w:tblInd w:w="421" w:type="dxa"/>
        <w:tblLook w:val="04A0" w:firstRow="1" w:lastRow="0" w:firstColumn="1" w:lastColumn="0" w:noHBand="0" w:noVBand="1"/>
      </w:tblPr>
      <w:tblGrid>
        <w:gridCol w:w="2374"/>
        <w:gridCol w:w="2374"/>
        <w:gridCol w:w="2374"/>
        <w:gridCol w:w="2375"/>
      </w:tblGrid>
      <w:tr w:rsidR="002C3D06" w:rsidRPr="002C3D06" w14:paraId="709BCA94" w14:textId="77777777" w:rsidTr="00537423">
        <w:tc>
          <w:tcPr>
            <w:tcW w:w="2374" w:type="dxa"/>
            <w:shd w:val="clear" w:color="auto" w:fill="00008B" w:themeFill="text1"/>
          </w:tcPr>
          <w:p w14:paraId="729C435F" w14:textId="77777777" w:rsidR="002C3D06" w:rsidRPr="002C3D06" w:rsidRDefault="002C3D06" w:rsidP="002C3D06">
            <w:pPr>
              <w:spacing w:after="0" w:line="240" w:lineRule="auto"/>
              <w:jc w:val="center"/>
              <w:rPr>
                <w:rFonts w:ascii="Calibri" w:eastAsia="Calibri" w:hAnsi="Calibri" w:cs="Times New Roman"/>
                <w:b/>
                <w:sz w:val="22"/>
              </w:rPr>
            </w:pPr>
            <w:r w:rsidRPr="002C3D06">
              <w:rPr>
                <w:rFonts w:ascii="Calibri" w:eastAsia="Calibri" w:hAnsi="Calibri" w:cs="Times New Roman"/>
                <w:b/>
                <w:sz w:val="22"/>
              </w:rPr>
              <w:t>Threshold (MWh)</w:t>
            </w:r>
          </w:p>
        </w:tc>
        <w:tc>
          <w:tcPr>
            <w:tcW w:w="2374" w:type="dxa"/>
            <w:shd w:val="clear" w:color="auto" w:fill="00008B" w:themeFill="text1"/>
          </w:tcPr>
          <w:p w14:paraId="6FD18241" w14:textId="77777777" w:rsidR="002C3D06" w:rsidRPr="002C3D06" w:rsidRDefault="002C3D06" w:rsidP="002C3D06">
            <w:pPr>
              <w:spacing w:after="0" w:line="240" w:lineRule="auto"/>
              <w:jc w:val="center"/>
              <w:rPr>
                <w:rFonts w:ascii="Calibri" w:eastAsia="Calibri" w:hAnsi="Calibri" w:cs="Times New Roman"/>
                <w:b/>
                <w:sz w:val="22"/>
              </w:rPr>
            </w:pPr>
            <w:r w:rsidRPr="002C3D06">
              <w:rPr>
                <w:rFonts w:ascii="Calibri" w:eastAsia="Calibri" w:hAnsi="Calibri" w:cs="Times New Roman"/>
                <w:b/>
                <w:sz w:val="22"/>
              </w:rPr>
              <w:t>No of Suppliers</w:t>
            </w:r>
          </w:p>
        </w:tc>
        <w:tc>
          <w:tcPr>
            <w:tcW w:w="2374" w:type="dxa"/>
            <w:shd w:val="clear" w:color="auto" w:fill="00008B" w:themeFill="text1"/>
          </w:tcPr>
          <w:p w14:paraId="537EE36F" w14:textId="77777777" w:rsidR="002C3D06" w:rsidRPr="002C3D06" w:rsidRDefault="002C3D06" w:rsidP="002C3D06">
            <w:pPr>
              <w:spacing w:after="0" w:line="240" w:lineRule="auto"/>
              <w:jc w:val="center"/>
              <w:rPr>
                <w:rFonts w:ascii="Calibri" w:eastAsia="Calibri" w:hAnsi="Calibri" w:cs="Times New Roman"/>
                <w:b/>
                <w:sz w:val="22"/>
              </w:rPr>
            </w:pPr>
            <w:r w:rsidRPr="002C3D06">
              <w:rPr>
                <w:rFonts w:ascii="Calibri" w:eastAsia="Calibri" w:hAnsi="Calibri" w:cs="Times New Roman"/>
                <w:b/>
                <w:sz w:val="22"/>
              </w:rPr>
              <w:t>Vol of non-compliant energy</w:t>
            </w:r>
          </w:p>
        </w:tc>
        <w:tc>
          <w:tcPr>
            <w:tcW w:w="2375" w:type="dxa"/>
            <w:shd w:val="clear" w:color="auto" w:fill="00008B" w:themeFill="text1"/>
          </w:tcPr>
          <w:p w14:paraId="45E801D9" w14:textId="77777777" w:rsidR="002C3D06" w:rsidRPr="002C3D06" w:rsidRDefault="002C3D06" w:rsidP="002C3D06">
            <w:pPr>
              <w:spacing w:after="0" w:line="240" w:lineRule="auto"/>
              <w:jc w:val="center"/>
              <w:rPr>
                <w:rFonts w:ascii="Calibri" w:eastAsia="Calibri" w:hAnsi="Calibri" w:cs="Times New Roman"/>
                <w:b/>
                <w:sz w:val="22"/>
              </w:rPr>
            </w:pPr>
            <w:r w:rsidRPr="002C3D06">
              <w:rPr>
                <w:rFonts w:ascii="Calibri" w:eastAsia="Calibri" w:hAnsi="Calibri" w:cs="Times New Roman"/>
                <w:b/>
                <w:sz w:val="22"/>
              </w:rPr>
              <w:t>% coverage of non-compliant energy in this market</w:t>
            </w:r>
          </w:p>
        </w:tc>
      </w:tr>
      <w:tr w:rsidR="003E4170" w:rsidRPr="002C3D06" w14:paraId="738367A8" w14:textId="77777777" w:rsidTr="00D0007E">
        <w:tc>
          <w:tcPr>
            <w:tcW w:w="2374" w:type="dxa"/>
            <w:shd w:val="clear" w:color="auto" w:fill="F2F2F2" w:themeFill="background1" w:themeFillShade="F2"/>
          </w:tcPr>
          <w:p w14:paraId="4AA7494A" w14:textId="16E6D18C" w:rsidR="003E4170" w:rsidRPr="002C3D06" w:rsidRDefault="003E4170" w:rsidP="002C3D06">
            <w:pPr>
              <w:spacing w:after="0" w:line="240" w:lineRule="auto"/>
              <w:jc w:val="center"/>
              <w:rPr>
                <w:rFonts w:ascii="Calibri" w:eastAsia="Calibri" w:hAnsi="Calibri" w:cs="Times New Roman"/>
                <w:sz w:val="22"/>
              </w:rPr>
            </w:pPr>
            <w:r>
              <w:rPr>
                <w:rFonts w:ascii="Calibri" w:eastAsia="Calibri" w:hAnsi="Calibri" w:cs="Times New Roman"/>
                <w:sz w:val="22"/>
              </w:rPr>
              <w:t>1,000</w:t>
            </w:r>
          </w:p>
        </w:tc>
        <w:tc>
          <w:tcPr>
            <w:tcW w:w="2374" w:type="dxa"/>
            <w:shd w:val="clear" w:color="auto" w:fill="F2F2F2" w:themeFill="background1" w:themeFillShade="F2"/>
          </w:tcPr>
          <w:p w14:paraId="0EB366BD" w14:textId="170982F0" w:rsidR="003E4170" w:rsidRPr="002C3D06" w:rsidRDefault="003E4170" w:rsidP="002C3D06">
            <w:pPr>
              <w:spacing w:after="0" w:line="240" w:lineRule="auto"/>
              <w:jc w:val="center"/>
              <w:rPr>
                <w:rFonts w:ascii="Calibri" w:eastAsia="Calibri" w:hAnsi="Calibri" w:cs="Times New Roman"/>
                <w:sz w:val="22"/>
              </w:rPr>
            </w:pPr>
            <w:r>
              <w:rPr>
                <w:rFonts w:ascii="Calibri" w:eastAsia="Calibri" w:hAnsi="Calibri" w:cs="Times New Roman"/>
                <w:sz w:val="22"/>
              </w:rPr>
              <w:t>17</w:t>
            </w:r>
          </w:p>
        </w:tc>
        <w:tc>
          <w:tcPr>
            <w:tcW w:w="2374" w:type="dxa"/>
            <w:shd w:val="clear" w:color="auto" w:fill="F2F2F2" w:themeFill="background1" w:themeFillShade="F2"/>
          </w:tcPr>
          <w:p w14:paraId="137925BF" w14:textId="1BF2AAE6" w:rsidR="003E4170" w:rsidRPr="002C3D06" w:rsidRDefault="003E4170" w:rsidP="002C3D06">
            <w:pPr>
              <w:tabs>
                <w:tab w:val="left" w:pos="315"/>
              </w:tabs>
              <w:spacing w:after="0" w:line="240" w:lineRule="auto"/>
              <w:jc w:val="center"/>
              <w:rPr>
                <w:rFonts w:ascii="Calibri" w:eastAsia="Calibri" w:hAnsi="Calibri" w:cs="Times New Roman"/>
                <w:sz w:val="22"/>
              </w:rPr>
            </w:pPr>
            <w:r>
              <w:rPr>
                <w:rFonts w:ascii="Calibri" w:eastAsia="Calibri" w:hAnsi="Calibri" w:cs="Times New Roman"/>
                <w:sz w:val="22"/>
              </w:rPr>
              <w:t>117,396</w:t>
            </w:r>
          </w:p>
        </w:tc>
        <w:tc>
          <w:tcPr>
            <w:tcW w:w="2375" w:type="dxa"/>
            <w:shd w:val="clear" w:color="auto" w:fill="F2F2F2" w:themeFill="background1" w:themeFillShade="F2"/>
          </w:tcPr>
          <w:p w14:paraId="29A9D5FF" w14:textId="602CAF53" w:rsidR="003E4170" w:rsidRPr="002C3D06" w:rsidRDefault="00E31F7D" w:rsidP="002C3D06">
            <w:pPr>
              <w:spacing w:after="0" w:line="240" w:lineRule="auto"/>
              <w:jc w:val="center"/>
              <w:rPr>
                <w:rFonts w:ascii="Calibri" w:eastAsia="Calibri" w:hAnsi="Calibri" w:cs="Times New Roman"/>
                <w:sz w:val="22"/>
              </w:rPr>
            </w:pPr>
            <w:r>
              <w:rPr>
                <w:rFonts w:ascii="Calibri" w:eastAsia="Calibri" w:hAnsi="Calibri" w:cs="Times New Roman"/>
                <w:sz w:val="22"/>
              </w:rPr>
              <w:t>88</w:t>
            </w:r>
            <w:r w:rsidR="00994687">
              <w:rPr>
                <w:rFonts w:ascii="Calibri" w:eastAsia="Calibri" w:hAnsi="Calibri" w:cs="Times New Roman"/>
                <w:sz w:val="22"/>
              </w:rPr>
              <w:t>%</w:t>
            </w:r>
          </w:p>
        </w:tc>
      </w:tr>
      <w:tr w:rsidR="002C3D06" w:rsidRPr="002C3D06" w14:paraId="010D55D4" w14:textId="77777777" w:rsidTr="003E4170">
        <w:tc>
          <w:tcPr>
            <w:tcW w:w="2374" w:type="dxa"/>
            <w:shd w:val="clear" w:color="auto" w:fill="FFFFFF" w:themeFill="background1"/>
          </w:tcPr>
          <w:p w14:paraId="23B78D6C" w14:textId="77777777" w:rsidR="002C3D06" w:rsidRPr="002C3D06" w:rsidRDefault="002C3D06" w:rsidP="002C3D06">
            <w:pPr>
              <w:spacing w:after="0" w:line="240" w:lineRule="auto"/>
              <w:jc w:val="center"/>
              <w:rPr>
                <w:rFonts w:ascii="Calibri" w:eastAsia="Calibri" w:hAnsi="Calibri" w:cs="Times New Roman"/>
                <w:sz w:val="22"/>
              </w:rPr>
            </w:pPr>
            <w:r w:rsidRPr="002C3D06">
              <w:rPr>
                <w:rFonts w:ascii="Calibri" w:eastAsia="Calibri" w:hAnsi="Calibri" w:cs="Times New Roman"/>
                <w:sz w:val="22"/>
              </w:rPr>
              <w:t>2,000</w:t>
            </w:r>
          </w:p>
        </w:tc>
        <w:tc>
          <w:tcPr>
            <w:tcW w:w="2374" w:type="dxa"/>
            <w:shd w:val="clear" w:color="auto" w:fill="FFFFFF" w:themeFill="background1"/>
          </w:tcPr>
          <w:p w14:paraId="53B9333D" w14:textId="3A6C3019" w:rsidR="002C3D06" w:rsidRPr="002C3D06" w:rsidRDefault="00994687" w:rsidP="002C3D06">
            <w:pPr>
              <w:spacing w:after="0" w:line="240" w:lineRule="auto"/>
              <w:jc w:val="center"/>
              <w:rPr>
                <w:rFonts w:ascii="Calibri" w:eastAsia="Calibri" w:hAnsi="Calibri" w:cs="Times New Roman"/>
                <w:sz w:val="22"/>
              </w:rPr>
            </w:pPr>
            <w:r>
              <w:rPr>
                <w:rFonts w:ascii="Calibri" w:eastAsia="Calibri" w:hAnsi="Calibri" w:cs="Times New Roman"/>
                <w:sz w:val="22"/>
              </w:rPr>
              <w:t>12</w:t>
            </w:r>
          </w:p>
        </w:tc>
        <w:tc>
          <w:tcPr>
            <w:tcW w:w="2374" w:type="dxa"/>
            <w:shd w:val="clear" w:color="auto" w:fill="FFFFFF" w:themeFill="background1"/>
          </w:tcPr>
          <w:p w14:paraId="02EF7E2F" w14:textId="7B18791B" w:rsidR="002C3D06" w:rsidRPr="002C3D06" w:rsidRDefault="00994687" w:rsidP="002C3D06">
            <w:pPr>
              <w:tabs>
                <w:tab w:val="left" w:pos="315"/>
              </w:tabs>
              <w:spacing w:after="0" w:line="240" w:lineRule="auto"/>
              <w:jc w:val="center"/>
              <w:rPr>
                <w:rFonts w:ascii="Calibri" w:eastAsia="Calibri" w:hAnsi="Calibri" w:cs="Times New Roman"/>
                <w:sz w:val="22"/>
              </w:rPr>
            </w:pPr>
            <w:r>
              <w:rPr>
                <w:rFonts w:ascii="Calibri" w:eastAsia="Calibri" w:hAnsi="Calibri" w:cs="Times New Roman"/>
                <w:sz w:val="22"/>
              </w:rPr>
              <w:t>110, 179</w:t>
            </w:r>
          </w:p>
        </w:tc>
        <w:tc>
          <w:tcPr>
            <w:tcW w:w="2375" w:type="dxa"/>
            <w:shd w:val="clear" w:color="auto" w:fill="FFFFFF" w:themeFill="background1"/>
          </w:tcPr>
          <w:p w14:paraId="38C88E71" w14:textId="28F84DC1" w:rsidR="002C3D06" w:rsidRPr="002C3D06" w:rsidRDefault="00E31F7D" w:rsidP="00E31F7D">
            <w:pPr>
              <w:spacing w:after="0" w:line="240" w:lineRule="auto"/>
              <w:jc w:val="center"/>
              <w:rPr>
                <w:rFonts w:ascii="Calibri" w:eastAsia="Calibri" w:hAnsi="Calibri" w:cs="Times New Roman"/>
                <w:sz w:val="22"/>
              </w:rPr>
            </w:pPr>
            <w:r>
              <w:rPr>
                <w:rFonts w:ascii="Calibri" w:eastAsia="Calibri" w:hAnsi="Calibri" w:cs="Times New Roman"/>
                <w:sz w:val="22"/>
              </w:rPr>
              <w:t>82</w:t>
            </w:r>
            <w:r w:rsidR="00813F96">
              <w:rPr>
                <w:rFonts w:ascii="Calibri" w:eastAsia="Calibri" w:hAnsi="Calibri" w:cs="Times New Roman"/>
                <w:sz w:val="22"/>
              </w:rPr>
              <w:t>%</w:t>
            </w:r>
          </w:p>
        </w:tc>
      </w:tr>
      <w:tr w:rsidR="002C3D06" w:rsidRPr="002C3D06" w14:paraId="0A9301BE" w14:textId="77777777" w:rsidTr="00D0007E">
        <w:tc>
          <w:tcPr>
            <w:tcW w:w="2374" w:type="dxa"/>
            <w:shd w:val="clear" w:color="auto" w:fill="F2F2F2" w:themeFill="background1" w:themeFillShade="F2"/>
          </w:tcPr>
          <w:p w14:paraId="77A26926" w14:textId="473FDF86" w:rsidR="002C3D06" w:rsidRPr="002C3D06" w:rsidRDefault="003E4170" w:rsidP="002C3D06">
            <w:pPr>
              <w:spacing w:after="0" w:line="240" w:lineRule="auto"/>
              <w:jc w:val="center"/>
              <w:rPr>
                <w:rFonts w:ascii="Calibri" w:eastAsia="Calibri" w:hAnsi="Calibri" w:cs="Times New Roman"/>
                <w:sz w:val="22"/>
              </w:rPr>
            </w:pPr>
            <w:r>
              <w:rPr>
                <w:rFonts w:ascii="Calibri" w:eastAsia="Calibri" w:hAnsi="Calibri" w:cs="Times New Roman"/>
                <w:sz w:val="22"/>
              </w:rPr>
              <w:t>3</w:t>
            </w:r>
            <w:r w:rsidR="002C3D06" w:rsidRPr="002C3D06">
              <w:rPr>
                <w:rFonts w:ascii="Calibri" w:eastAsia="Calibri" w:hAnsi="Calibri" w:cs="Times New Roman"/>
                <w:sz w:val="22"/>
              </w:rPr>
              <w:t>,000</w:t>
            </w:r>
          </w:p>
        </w:tc>
        <w:tc>
          <w:tcPr>
            <w:tcW w:w="2374" w:type="dxa"/>
            <w:shd w:val="clear" w:color="auto" w:fill="F2F2F2" w:themeFill="background1" w:themeFillShade="F2"/>
          </w:tcPr>
          <w:p w14:paraId="2CA8CD6B" w14:textId="415C0D26" w:rsidR="002C3D06" w:rsidRPr="002C3D06" w:rsidRDefault="00D0007E" w:rsidP="002C3D06">
            <w:pPr>
              <w:spacing w:after="0" w:line="240" w:lineRule="auto"/>
              <w:jc w:val="center"/>
              <w:rPr>
                <w:rFonts w:ascii="Calibri" w:eastAsia="Calibri" w:hAnsi="Calibri" w:cs="Times New Roman"/>
                <w:sz w:val="22"/>
              </w:rPr>
            </w:pPr>
            <w:r>
              <w:rPr>
                <w:rFonts w:ascii="Calibri" w:eastAsia="Calibri" w:hAnsi="Calibri" w:cs="Times New Roman"/>
                <w:sz w:val="22"/>
              </w:rPr>
              <w:t>7</w:t>
            </w:r>
          </w:p>
        </w:tc>
        <w:tc>
          <w:tcPr>
            <w:tcW w:w="2374" w:type="dxa"/>
            <w:shd w:val="clear" w:color="auto" w:fill="F2F2F2" w:themeFill="background1" w:themeFillShade="F2"/>
          </w:tcPr>
          <w:p w14:paraId="62DD5590" w14:textId="54FE82D5" w:rsidR="002C3D06" w:rsidRPr="002C3D06" w:rsidRDefault="00D0007E" w:rsidP="002C3D06">
            <w:pPr>
              <w:spacing w:after="0" w:line="240" w:lineRule="auto"/>
              <w:jc w:val="center"/>
              <w:rPr>
                <w:rFonts w:ascii="Calibri" w:eastAsia="Calibri" w:hAnsi="Calibri" w:cs="Times New Roman"/>
                <w:sz w:val="22"/>
              </w:rPr>
            </w:pPr>
            <w:r>
              <w:rPr>
                <w:rFonts w:ascii="Calibri" w:eastAsia="Calibri" w:hAnsi="Calibri" w:cs="Times New Roman"/>
                <w:sz w:val="22"/>
              </w:rPr>
              <w:t>97,579</w:t>
            </w:r>
          </w:p>
        </w:tc>
        <w:tc>
          <w:tcPr>
            <w:tcW w:w="2375" w:type="dxa"/>
            <w:shd w:val="clear" w:color="auto" w:fill="F2F2F2" w:themeFill="background1" w:themeFillShade="F2"/>
          </w:tcPr>
          <w:p w14:paraId="60287164" w14:textId="6BF31C44" w:rsidR="002C3D06" w:rsidRPr="002C3D06" w:rsidRDefault="00D0007E" w:rsidP="002C3D06">
            <w:pPr>
              <w:spacing w:after="0" w:line="240" w:lineRule="auto"/>
              <w:jc w:val="center"/>
              <w:rPr>
                <w:rFonts w:ascii="Calibri" w:eastAsia="Calibri" w:hAnsi="Calibri" w:cs="Times New Roman"/>
                <w:sz w:val="22"/>
              </w:rPr>
            </w:pPr>
            <w:r>
              <w:rPr>
                <w:rFonts w:ascii="Calibri" w:eastAsia="Calibri" w:hAnsi="Calibri" w:cs="Times New Roman"/>
                <w:sz w:val="22"/>
              </w:rPr>
              <w:t>73%</w:t>
            </w:r>
          </w:p>
        </w:tc>
      </w:tr>
    </w:tbl>
    <w:p w14:paraId="659441A5" w14:textId="77777777" w:rsidR="00A3104A" w:rsidRDefault="00A3104A" w:rsidP="00C14A97">
      <w:pPr>
        <w:pStyle w:val="List2"/>
        <w:numPr>
          <w:ilvl w:val="0"/>
          <w:numId w:val="0"/>
        </w:numPr>
        <w:ind w:left="680"/>
        <w:rPr>
          <w:b/>
          <w:u w:val="single"/>
        </w:rPr>
      </w:pPr>
    </w:p>
    <w:p w14:paraId="578F126B" w14:textId="7A474137" w:rsidR="00421E45" w:rsidRDefault="00421E45" w:rsidP="00421E45">
      <w:pPr>
        <w:pStyle w:val="List2"/>
      </w:pPr>
      <w:r>
        <w:t>Elexon concluded that lowering the threshold back to 2,000MWh (as it was prior to the second lockdown) and a market coverage of 82% of the non-compliant estimation for Suppliers under the standard would:</w:t>
      </w:r>
    </w:p>
    <w:p w14:paraId="44C723A0" w14:textId="3159DE35" w:rsidR="00C14A97" w:rsidRDefault="00C14A97" w:rsidP="00C14A97">
      <w:pPr>
        <w:pStyle w:val="List2"/>
        <w:numPr>
          <w:ilvl w:val="0"/>
          <w:numId w:val="16"/>
        </w:numPr>
      </w:pPr>
      <w:r>
        <w:t xml:space="preserve">Cover the majority of non-compliant estimation whilst ensuring the number of focus Suppliers is at a manageable </w:t>
      </w:r>
      <w:r w:rsidR="00C274F9">
        <w:t xml:space="preserve">level sufficient </w:t>
      </w:r>
      <w:r>
        <w:t>to maintain sufficient focus</w:t>
      </w:r>
      <w:r w:rsidR="00106827">
        <w:t>;</w:t>
      </w:r>
      <w:r>
        <w:t xml:space="preserve"> and</w:t>
      </w:r>
    </w:p>
    <w:p w14:paraId="022F8285" w14:textId="32EF7301" w:rsidR="00C274F9" w:rsidRDefault="00C274F9" w:rsidP="00C274F9">
      <w:pPr>
        <w:pStyle w:val="List2"/>
        <w:numPr>
          <w:ilvl w:val="0"/>
          <w:numId w:val="16"/>
        </w:numPr>
      </w:pPr>
      <w:r>
        <w:t>The slight decrease in market coverage this quarter also reflects the fact that the overall percentage of non-complaint estimation from Suppliers in this market relative to the other market areas has decreased since the last quarter.</w:t>
      </w:r>
    </w:p>
    <w:p w14:paraId="271BC8A1" w14:textId="63874116" w:rsidR="003767E2" w:rsidRDefault="003767E2" w:rsidP="00C274F9">
      <w:pPr>
        <w:pStyle w:val="List2"/>
        <w:numPr>
          <w:ilvl w:val="0"/>
          <w:numId w:val="16"/>
        </w:numPr>
      </w:pPr>
      <w:r>
        <w:t xml:space="preserve">There are currently two Suppliers in EFR with volumes under 2,000MWh that have not yet met the EFR exit criteria that add to </w:t>
      </w:r>
      <w:r w:rsidR="008615A4">
        <w:t>further coverage of this market area.</w:t>
      </w:r>
    </w:p>
    <w:p w14:paraId="56D8C261" w14:textId="62D544FF" w:rsidR="00E35D65" w:rsidRPr="00E35D65" w:rsidRDefault="00E35D65" w:rsidP="00E35D65">
      <w:pPr>
        <w:pStyle w:val="List2"/>
        <w:numPr>
          <w:ilvl w:val="0"/>
          <w:numId w:val="0"/>
        </w:numPr>
        <w:ind w:left="680"/>
        <w:rPr>
          <w:b/>
          <w:u w:val="single"/>
        </w:rPr>
      </w:pPr>
      <w:r w:rsidRPr="00E35D65">
        <w:rPr>
          <w:b/>
          <w:u w:val="single"/>
        </w:rPr>
        <w:t>Requirements for EFR plans.</w:t>
      </w:r>
    </w:p>
    <w:p w14:paraId="02CB8030" w14:textId="2C90A0BA" w:rsidR="00E35D65" w:rsidRDefault="00E35D65" w:rsidP="00E35D65">
      <w:pPr>
        <w:pStyle w:val="List2"/>
      </w:pPr>
      <w:r>
        <w:t>Since the pandemic</w:t>
      </w:r>
      <w:r w:rsidR="004F5847">
        <w:t>,</w:t>
      </w:r>
      <w:r>
        <w:t xml:space="preserve"> performance forecasts have not been mandatory as the PAB understood that forecasting would be challenging whilst restrictions were in place and without an understanding of likely response and access rates. Suppliers are now likely to have a better understanding of the response and resolution rates. Therefore, Elexon recommends that, in line with the expectations set in May, Suppliers in EFR should now </w:t>
      </w:r>
      <w:r>
        <w:lastRenderedPageBreak/>
        <w:t>submit an end of quarter performance target, which they update for the following pe</w:t>
      </w:r>
      <w:r w:rsidR="00477624">
        <w:t>riod at the end of each quarter</w:t>
      </w:r>
      <w:r w:rsidR="004F5847">
        <w:t>.</w:t>
      </w:r>
      <w:r w:rsidR="00477624">
        <w:t xml:space="preserve"> Suppliers can provide longer-term forecasts if they prefer.</w:t>
      </w:r>
    </w:p>
    <w:p w14:paraId="26AE79A8" w14:textId="484A37CA" w:rsidR="005A3954" w:rsidRDefault="00E35D65" w:rsidP="00E35D65">
      <w:pPr>
        <w:pStyle w:val="List2"/>
      </w:pPr>
      <w:r>
        <w:t xml:space="preserve">Given that we can expect some </w:t>
      </w:r>
      <w:r w:rsidR="004F5847">
        <w:t xml:space="preserve">continued </w:t>
      </w:r>
      <w:r>
        <w:t xml:space="preserve">uncertainty and volatility because of the pandemic and recovery from it for some time to come, Elexon </w:t>
      </w:r>
      <w:r w:rsidR="00477624">
        <w:t>does not</w:t>
      </w:r>
      <w:r>
        <w:t xml:space="preserve"> recommend that PAB escalation take place if Suppliers miss these performance targets and, instead, Elexon will provide the reasons for the missed targets and any lessons from it in the risk report. The PAB will apply its escalation process however, if there is a lack of co-operation within the EFR process or if </w:t>
      </w:r>
      <w:r w:rsidR="004F5847">
        <w:t xml:space="preserve">the PAB believes </w:t>
      </w:r>
      <w:r>
        <w:t xml:space="preserve">a Supplier </w:t>
      </w:r>
      <w:r w:rsidR="004F5847">
        <w:t xml:space="preserve">is not </w:t>
      </w:r>
      <w:r>
        <w:t>undertaking a reasonable level of action to improve its performance.</w:t>
      </w:r>
    </w:p>
    <w:p w14:paraId="0E7DF548" w14:textId="77777777" w:rsidR="00C14A97" w:rsidRPr="006209D4" w:rsidRDefault="00C14A97" w:rsidP="006209D4">
      <w:pPr>
        <w:pStyle w:val="List"/>
      </w:pPr>
      <w:r w:rsidRPr="003014F0">
        <w:t>Review of EFR exit requirement and EFR exit recommendation</w:t>
      </w:r>
    </w:p>
    <w:p w14:paraId="11377711" w14:textId="77777777" w:rsidR="00C14A97" w:rsidRDefault="00C14A97" w:rsidP="00C14A97">
      <w:pPr>
        <w:pStyle w:val="List2"/>
      </w:pPr>
      <w:r>
        <w:t>In October 2020, the PAB agreed that Suppliers were no longer required to maintain a performance average above the relevant standard for three months to exit EFR and agreed that that an EFR exit threshold for performance standards issues would be set and reviewed on a quarterly basis.</w:t>
      </w:r>
    </w:p>
    <w:p w14:paraId="17DF8B97" w14:textId="1F3934D6" w:rsidR="00C14A97" w:rsidRDefault="00C14A97" w:rsidP="00C14A97">
      <w:pPr>
        <w:pStyle w:val="List2"/>
      </w:pPr>
      <w:r>
        <w:t>This threshold was initially set so that Suppliers with a volume of below 1000MWh of non-compliant energy would be able to exit EFR so that Elexon and the PAB’s focus could remain on the Suppliers wit</w:t>
      </w:r>
      <w:r w:rsidR="002C3D06">
        <w:t>h the largest Settlement impact</w:t>
      </w:r>
      <w:r w:rsidR="00B80934">
        <w:t>.</w:t>
      </w:r>
      <w:r w:rsidR="002C3D06">
        <w:t xml:space="preserve"> </w:t>
      </w:r>
      <w:r w:rsidR="00B80934">
        <w:t>T</w:t>
      </w:r>
      <w:r w:rsidR="002C3D06">
        <w:t xml:space="preserve">he PAB agreed this exit threshold should remain in place in February </w:t>
      </w:r>
      <w:r w:rsidR="001D0426">
        <w:t xml:space="preserve">and May </w:t>
      </w:r>
      <w:r w:rsidR="002C3D06">
        <w:t>2021.</w:t>
      </w:r>
    </w:p>
    <w:p w14:paraId="288BF0AB" w14:textId="7F09E0C6" w:rsidR="00106827" w:rsidRDefault="00106827" w:rsidP="001D0426">
      <w:pPr>
        <w:pStyle w:val="List2"/>
      </w:pPr>
      <w:r>
        <w:t>Elexon does not recommend changing the EFR exit criteria for th</w:t>
      </w:r>
      <w:r w:rsidR="001D0426">
        <w:t>is</w:t>
      </w:r>
      <w:r>
        <w:t xml:space="preserve"> quarter.</w:t>
      </w:r>
    </w:p>
    <w:p w14:paraId="1B9CA3D2" w14:textId="6399C157" w:rsidR="00106827" w:rsidRDefault="00D04A69" w:rsidP="00537423">
      <w:pPr>
        <w:pStyle w:val="List"/>
      </w:pPr>
      <w:r>
        <w:t xml:space="preserve">Likely changes as a result of the next threshold review in </w:t>
      </w:r>
      <w:r w:rsidR="006A4F36">
        <w:t>November</w:t>
      </w:r>
      <w:r>
        <w:t xml:space="preserve"> 2021</w:t>
      </w:r>
    </w:p>
    <w:p w14:paraId="63455EA4" w14:textId="7489D58C" w:rsidR="00106827" w:rsidRDefault="0022253E" w:rsidP="00106827">
      <w:pPr>
        <w:pStyle w:val="List2"/>
      </w:pPr>
      <w:r>
        <w:t xml:space="preserve">The </w:t>
      </w:r>
      <w:r w:rsidR="00F176DF">
        <w:t>assessment</w:t>
      </w:r>
      <w:r w:rsidR="0079404E">
        <w:t xml:space="preserve"> of the </w:t>
      </w:r>
      <w:r>
        <w:t xml:space="preserve">threshold review in </w:t>
      </w:r>
      <w:r w:rsidR="006A4F36">
        <w:t>November</w:t>
      </w:r>
      <w:r>
        <w:t xml:space="preserve"> will </w:t>
      </w:r>
      <w:r w:rsidR="0079172F">
        <w:t xml:space="preserve">consider analysis </w:t>
      </w:r>
      <w:r w:rsidR="0079404E">
        <w:t xml:space="preserve">for the </w:t>
      </w:r>
      <w:r>
        <w:t xml:space="preserve">Settlement Days </w:t>
      </w:r>
      <w:r w:rsidR="0079172F">
        <w:t xml:space="preserve">in </w:t>
      </w:r>
      <w:r w:rsidR="0079404E">
        <w:t xml:space="preserve">August 2021 at </w:t>
      </w:r>
      <w:r w:rsidR="0079172F">
        <w:t xml:space="preserve">R1 for HH and August </w:t>
      </w:r>
      <w:r w:rsidR="0079404E">
        <w:t>2020 for NHH.</w:t>
      </w:r>
    </w:p>
    <w:p w14:paraId="0D212E11" w14:textId="19F4B9C4" w:rsidR="0079404E" w:rsidRDefault="00984F69" w:rsidP="00106827">
      <w:pPr>
        <w:pStyle w:val="List2"/>
      </w:pPr>
      <w:r>
        <w:t xml:space="preserve">At the time of writing, we </w:t>
      </w:r>
      <w:r w:rsidR="0094176B">
        <w:t>are not expecting any further restrictions to be applied during that period</w:t>
      </w:r>
      <w:r w:rsidR="00B80934">
        <w:t>.</w:t>
      </w:r>
      <w:r w:rsidR="0094176B">
        <w:t xml:space="preserve"> </w:t>
      </w:r>
      <w:r w:rsidR="00B80934">
        <w:t>T</w:t>
      </w:r>
      <w:r>
        <w:t xml:space="preserve">his period is before </w:t>
      </w:r>
      <w:r w:rsidR="00B80934">
        <w:t xml:space="preserve">we would expect to see </w:t>
      </w:r>
      <w:r w:rsidR="0094176B">
        <w:t xml:space="preserve">significantly increased total volumes </w:t>
      </w:r>
      <w:r w:rsidR="00B80934">
        <w:t>(</w:t>
      </w:r>
      <w:r w:rsidR="0094176B">
        <w:t>as a result of the winter season</w:t>
      </w:r>
      <w:r w:rsidR="00B80934">
        <w:t>),</w:t>
      </w:r>
      <w:r w:rsidR="0094176B">
        <w:t xml:space="preserve"> </w:t>
      </w:r>
      <w:r>
        <w:t xml:space="preserve">which in turn </w:t>
      </w:r>
      <w:r w:rsidR="00B80934">
        <w:t xml:space="preserve">could be expected to </w:t>
      </w:r>
      <w:r>
        <w:t>lead to higher volumes of non-compliant estimation for Suppliers under the standard.</w:t>
      </w:r>
    </w:p>
    <w:p w14:paraId="17613A11" w14:textId="478C9223" w:rsidR="00984F69" w:rsidRDefault="00984F69" w:rsidP="00201345">
      <w:pPr>
        <w:pStyle w:val="List2"/>
      </w:pPr>
      <w:r>
        <w:t xml:space="preserve">Therefore, Elexon is likely to recommend a further gradual reduction of the threshold across all </w:t>
      </w:r>
      <w:r w:rsidR="00201345">
        <w:t>market areas</w:t>
      </w:r>
      <w:r>
        <w:t xml:space="preserve"> in October, potentially to </w:t>
      </w:r>
      <w:r w:rsidR="00201345">
        <w:t>1,500MWh</w:t>
      </w:r>
      <w:r w:rsidR="00B80934">
        <w:t xml:space="preserve">. Alongside this, Elexon is also likely to recommend </w:t>
      </w:r>
      <w:r w:rsidR="00201345">
        <w:t xml:space="preserve">a consequential reduction to the EFR exit criteria, potentially to as low as 700MWh. </w:t>
      </w:r>
    </w:p>
    <w:p w14:paraId="737FD7E9" w14:textId="369514A8" w:rsidR="00F176DF" w:rsidRDefault="00F176DF" w:rsidP="00201345">
      <w:pPr>
        <w:pStyle w:val="List2"/>
      </w:pPr>
      <w:r>
        <w:t>As set out in section 4.2, if the PAB does agree a further threshold reduction and a reduction to the exit criteria, this will be applied from the following month’</w:t>
      </w:r>
      <w:r w:rsidR="0054445F">
        <w:t xml:space="preserve">s PAB </w:t>
      </w:r>
      <w:r w:rsidR="0054445F" w:rsidRPr="00EF1F06">
        <w:t xml:space="preserve">reporting </w:t>
      </w:r>
      <w:r w:rsidR="0079172F">
        <w:t xml:space="preserve">in December </w:t>
      </w:r>
      <w:r w:rsidR="0054445F" w:rsidRPr="00EF1F06">
        <w:t xml:space="preserve">which aligns to Settlement Days in </w:t>
      </w:r>
      <w:r w:rsidR="0054445F">
        <w:t>September</w:t>
      </w:r>
      <w:r w:rsidR="0054445F" w:rsidRPr="00EF1F06">
        <w:t xml:space="preserve"> 2021 for Half Hourly R1 performance and </w:t>
      </w:r>
      <w:r w:rsidR="0054445F">
        <w:t>September</w:t>
      </w:r>
      <w:r w:rsidR="0054445F" w:rsidRPr="00EF1F06">
        <w:t xml:space="preserve"> 2020 for NHH RF performance.</w:t>
      </w:r>
    </w:p>
    <w:p w14:paraId="52D0454C" w14:textId="72523DF4" w:rsidR="00537423" w:rsidRDefault="00537423" w:rsidP="00537423">
      <w:pPr>
        <w:pStyle w:val="List"/>
      </w:pPr>
      <w:r>
        <w:t xml:space="preserve">EFR </w:t>
      </w:r>
      <w:r w:rsidR="00BB4905">
        <w:t xml:space="preserve">Considerations </w:t>
      </w:r>
      <w:bookmarkStart w:id="1" w:name="_GoBack"/>
      <w:bookmarkEnd w:id="1"/>
    </w:p>
    <w:p w14:paraId="1AFF4B74" w14:textId="29B77376" w:rsidR="00537423" w:rsidRDefault="00BB4905" w:rsidP="003625EB">
      <w:pPr>
        <w:pStyle w:val="List2"/>
      </w:pPr>
      <w:r>
        <w:t xml:space="preserve">All </w:t>
      </w:r>
      <w:r w:rsidR="00FA3849">
        <w:t xml:space="preserve">but one </w:t>
      </w:r>
      <w:r>
        <w:t xml:space="preserve">of the Suppliers </w:t>
      </w:r>
      <w:r w:rsidR="0022253E">
        <w:t xml:space="preserve">with a </w:t>
      </w:r>
      <w:r w:rsidR="00AF7061">
        <w:t>non-compliant estimation volume above 2,000MWh</w:t>
      </w:r>
      <w:r w:rsidR="003A7052">
        <w:t xml:space="preserve"> </w:t>
      </w:r>
      <w:r>
        <w:t xml:space="preserve">within the HH MC C market </w:t>
      </w:r>
      <w:r w:rsidR="003916AD">
        <w:t>have EFR applied</w:t>
      </w:r>
      <w:r>
        <w:t>.</w:t>
      </w:r>
      <w:r w:rsidR="00FA3849" w:rsidRPr="00FA3849">
        <w:t xml:space="preserve"> </w:t>
      </w:r>
      <w:r w:rsidR="00FA3849" w:rsidRPr="003916AD">
        <w:t>El</w:t>
      </w:r>
      <w:r w:rsidR="00FA3849">
        <w:t>exon has provided an update on this Supplier within the Party Performance</w:t>
      </w:r>
      <w:r w:rsidR="00FA3849" w:rsidRPr="003A7052">
        <w:t xml:space="preserve"> section of the Confidential Risk</w:t>
      </w:r>
      <w:r w:rsidR="00FA3849">
        <w:t xml:space="preserve"> Report. </w:t>
      </w:r>
      <w:r>
        <w:t xml:space="preserve"> </w:t>
      </w:r>
      <w:r w:rsidR="00AF7061">
        <w:t>Since the last performance review update</w:t>
      </w:r>
      <w:r w:rsidR="00FA3849">
        <w:t>,</w:t>
      </w:r>
      <w:r w:rsidR="003A7052">
        <w:t xml:space="preserve"> one Supplier has exited EFR.</w:t>
      </w:r>
    </w:p>
    <w:p w14:paraId="6D475AD2" w14:textId="7210BFD8" w:rsidR="00FA3849" w:rsidRPr="00FA3849" w:rsidRDefault="00FA3849" w:rsidP="00FA3849">
      <w:pPr>
        <w:pStyle w:val="List2"/>
      </w:pPr>
      <w:r>
        <w:t>Three</w:t>
      </w:r>
      <w:r w:rsidR="003916AD">
        <w:t xml:space="preserve"> </w:t>
      </w:r>
      <w:r w:rsidRPr="00FA3849">
        <w:t xml:space="preserve">Suppliers with a non-compliant estimation volume above 2,000MWh </w:t>
      </w:r>
      <w:r w:rsidR="003916AD">
        <w:t xml:space="preserve">within the HH Sub 100kW market </w:t>
      </w:r>
      <w:r w:rsidR="00631D1B">
        <w:t xml:space="preserve">currently </w:t>
      </w:r>
      <w:r w:rsidR="003916AD">
        <w:t>have EFR applied.</w:t>
      </w:r>
      <w:r w:rsidR="003916AD" w:rsidRPr="003916AD">
        <w:t xml:space="preserve"> </w:t>
      </w:r>
      <w:r w:rsidRPr="003916AD">
        <w:t>El</w:t>
      </w:r>
      <w:r>
        <w:t xml:space="preserve">exon </w:t>
      </w:r>
      <w:r w:rsidR="0054445F">
        <w:t>will provide an EFR assessment for the</w:t>
      </w:r>
      <w:r>
        <w:t xml:space="preserve"> two Suppliers that do not yet have EFR applied within the Party Performance</w:t>
      </w:r>
      <w:r w:rsidRPr="003A7052">
        <w:t xml:space="preserve"> section of the Confidential Risk</w:t>
      </w:r>
      <w:r>
        <w:t xml:space="preserve"> Report</w:t>
      </w:r>
      <w:r w:rsidR="0054445F">
        <w:t xml:space="preserve"> in September</w:t>
      </w:r>
      <w:r>
        <w:t xml:space="preserve">. </w:t>
      </w:r>
      <w:r w:rsidRPr="00FA3849">
        <w:t>Since the last performance review update</w:t>
      </w:r>
      <w:r>
        <w:t>,</w:t>
      </w:r>
      <w:r w:rsidRPr="00FA3849">
        <w:t xml:space="preserve"> one Supplier has exited EFR.</w:t>
      </w:r>
    </w:p>
    <w:p w14:paraId="03F6DF2F" w14:textId="0D087E45" w:rsidR="00C73E79" w:rsidRDefault="003916AD" w:rsidP="006D0E3A">
      <w:pPr>
        <w:pStyle w:val="List2"/>
      </w:pPr>
      <w:r w:rsidRPr="003916AD">
        <w:t>All but</w:t>
      </w:r>
      <w:r>
        <w:t xml:space="preserve"> </w:t>
      </w:r>
      <w:r w:rsidR="003A7052">
        <w:t>one</w:t>
      </w:r>
      <w:r>
        <w:t xml:space="preserve"> </w:t>
      </w:r>
      <w:r w:rsidRPr="003916AD">
        <w:t xml:space="preserve">of the focus Suppliers within the </w:t>
      </w:r>
      <w:r>
        <w:t xml:space="preserve">NHH </w:t>
      </w:r>
      <w:r w:rsidRPr="003916AD">
        <w:t>market have EFR applied. El</w:t>
      </w:r>
      <w:r w:rsidR="003A7052">
        <w:t xml:space="preserve">exon </w:t>
      </w:r>
      <w:r w:rsidR="0054445F">
        <w:t>will provide</w:t>
      </w:r>
      <w:r w:rsidR="003A7052">
        <w:t xml:space="preserve"> an update </w:t>
      </w:r>
      <w:r w:rsidR="0054445F">
        <w:t xml:space="preserve">and EFR assessment for </w:t>
      </w:r>
      <w:r w:rsidR="003A7052">
        <w:t>this Supplier within the Party Performance</w:t>
      </w:r>
      <w:r w:rsidR="003A7052" w:rsidRPr="003A7052">
        <w:t xml:space="preserve"> section of the Confidential Risk</w:t>
      </w:r>
      <w:r w:rsidR="003A7052">
        <w:t xml:space="preserve"> Report</w:t>
      </w:r>
      <w:r w:rsidR="0054445F">
        <w:t xml:space="preserve"> in September</w:t>
      </w:r>
      <w:r w:rsidR="003A7052">
        <w:t>. In the period from June to Augu</w:t>
      </w:r>
      <w:r w:rsidR="00B54300">
        <w:t>st</w:t>
      </w:r>
      <w:r w:rsidR="00611793">
        <w:t>,</w:t>
      </w:r>
      <w:r w:rsidR="00B54300">
        <w:t xml:space="preserve"> one Supplier has exited EFR.</w:t>
      </w:r>
    </w:p>
    <w:p w14:paraId="5B5013BC" w14:textId="77777777" w:rsidR="00404821" w:rsidRDefault="00404821" w:rsidP="00404821">
      <w:pPr>
        <w:pStyle w:val="List"/>
      </w:pPr>
      <w:r>
        <w:t>Recommendations</w:t>
      </w:r>
    </w:p>
    <w:p w14:paraId="2A11F8D4" w14:textId="77777777" w:rsidR="00404821" w:rsidRDefault="00404821" w:rsidP="00404821">
      <w:pPr>
        <w:pStyle w:val="List2"/>
      </w:pPr>
      <w:r>
        <w:t>Elexon recommends that the PAB:</w:t>
      </w:r>
    </w:p>
    <w:p w14:paraId="0E839537" w14:textId="0DCF9220" w:rsidR="00404821" w:rsidRDefault="00940651" w:rsidP="0032566C">
      <w:pPr>
        <w:pStyle w:val="List4"/>
      </w:pPr>
      <w:r w:rsidRPr="00940651">
        <w:rPr>
          <w:b/>
        </w:rPr>
        <w:t>N</w:t>
      </w:r>
      <w:r w:rsidR="00611793">
        <w:rPr>
          <w:b/>
        </w:rPr>
        <w:t>OTE</w:t>
      </w:r>
      <w:r>
        <w:t xml:space="preserve"> the contents of the paper;</w:t>
      </w:r>
    </w:p>
    <w:p w14:paraId="69001B4C" w14:textId="27060F35" w:rsidR="00940651" w:rsidRDefault="00940651" w:rsidP="0061309B">
      <w:pPr>
        <w:pStyle w:val="List4"/>
      </w:pPr>
      <w:r w:rsidRPr="0061309B">
        <w:rPr>
          <w:b/>
        </w:rPr>
        <w:t>A</w:t>
      </w:r>
      <w:r w:rsidR="00611793" w:rsidRPr="0061309B">
        <w:rPr>
          <w:b/>
        </w:rPr>
        <w:t>GREE</w:t>
      </w:r>
      <w:r w:rsidRPr="0061309B">
        <w:rPr>
          <w:b/>
        </w:rPr>
        <w:t xml:space="preserve"> </w:t>
      </w:r>
      <w:r w:rsidR="00A748E7">
        <w:t xml:space="preserve">that </w:t>
      </w:r>
      <w:r w:rsidR="000F4927">
        <w:t>a 2</w:t>
      </w:r>
      <w:r w:rsidR="00A748E7">
        <w:t>,000MW</w:t>
      </w:r>
      <w:r>
        <w:t xml:space="preserve">h threshold for the focus Suppliers in the HHMC C, HH Sub 100kW and NHH market </w:t>
      </w:r>
      <w:r w:rsidR="000F4927">
        <w:t xml:space="preserve">is </w:t>
      </w:r>
      <w:r w:rsidR="006A4F36">
        <w:t>applied</w:t>
      </w:r>
      <w:r w:rsidR="00BD424D">
        <w:t xml:space="preserve"> </w:t>
      </w:r>
      <w:r w:rsidR="0054445F" w:rsidRPr="00C03336">
        <w:t xml:space="preserve">coming into effect in </w:t>
      </w:r>
      <w:r w:rsidR="00611793">
        <w:t xml:space="preserve">the </w:t>
      </w:r>
      <w:r w:rsidR="0054445F" w:rsidRPr="00C03336">
        <w:t xml:space="preserve">September 2021 </w:t>
      </w:r>
      <w:r w:rsidR="00611793">
        <w:t>PAB reporting period</w:t>
      </w:r>
      <w:r w:rsidR="0061309B" w:rsidRPr="0061309B">
        <w:t xml:space="preserve"> </w:t>
      </w:r>
      <w:r w:rsidR="0061309B">
        <w:t xml:space="preserve">(for </w:t>
      </w:r>
      <w:r w:rsidR="0061309B" w:rsidRPr="0061309B">
        <w:t xml:space="preserve">Settlement Dates </w:t>
      </w:r>
      <w:r w:rsidR="0061309B">
        <w:t xml:space="preserve">June to July 2021 </w:t>
      </w:r>
      <w:r w:rsidR="0061309B" w:rsidRPr="0061309B">
        <w:t xml:space="preserve">for HH R1, and </w:t>
      </w:r>
      <w:r w:rsidR="0061309B">
        <w:t>June to July 2020</w:t>
      </w:r>
      <w:r w:rsidR="0061309B" w:rsidRPr="0061309B">
        <w:t xml:space="preserve"> for NHH RF</w:t>
      </w:r>
      <w:r w:rsidR="0061309B">
        <w:t>);</w:t>
      </w:r>
    </w:p>
    <w:p w14:paraId="037A9B6B" w14:textId="400BE7F8" w:rsidR="00DB23DD" w:rsidRPr="00DB23DD" w:rsidRDefault="00DB23DD" w:rsidP="0032566C">
      <w:pPr>
        <w:pStyle w:val="List4"/>
      </w:pPr>
      <w:r>
        <w:rPr>
          <w:b/>
        </w:rPr>
        <w:lastRenderedPageBreak/>
        <w:t>A</w:t>
      </w:r>
      <w:r w:rsidR="00611793">
        <w:rPr>
          <w:b/>
        </w:rPr>
        <w:t>GREE</w:t>
      </w:r>
      <w:r>
        <w:rPr>
          <w:b/>
        </w:rPr>
        <w:t xml:space="preserve"> </w:t>
      </w:r>
      <w:r w:rsidRPr="00DB23DD">
        <w:t>that Suppliers in EFR will now be required to provide quarterly performance targets</w:t>
      </w:r>
      <w:r>
        <w:t>; and</w:t>
      </w:r>
    </w:p>
    <w:p w14:paraId="37433AD6" w14:textId="657D0A41" w:rsidR="00D90E88" w:rsidRPr="00940651" w:rsidRDefault="00D90E88" w:rsidP="0032566C">
      <w:pPr>
        <w:pStyle w:val="List4"/>
        <w:rPr>
          <w:b/>
        </w:rPr>
      </w:pPr>
      <w:r>
        <w:rPr>
          <w:b/>
        </w:rPr>
        <w:t>A</w:t>
      </w:r>
      <w:r w:rsidR="00611793">
        <w:rPr>
          <w:b/>
        </w:rPr>
        <w:t>GREE</w:t>
      </w:r>
      <w:r>
        <w:rPr>
          <w:b/>
        </w:rPr>
        <w:t xml:space="preserve"> </w:t>
      </w:r>
      <w:r w:rsidRPr="00637A4E">
        <w:t xml:space="preserve">the </w:t>
      </w:r>
      <w:r w:rsidR="00637A4E" w:rsidRPr="00637A4E">
        <w:t xml:space="preserve">likely changes to the </w:t>
      </w:r>
      <w:r w:rsidR="006143B0">
        <w:t>thresholds</w:t>
      </w:r>
      <w:r w:rsidR="00637A4E" w:rsidRPr="00637A4E">
        <w:t xml:space="preserve"> at the next review in </w:t>
      </w:r>
      <w:r w:rsidR="00C03336">
        <w:t>November</w:t>
      </w:r>
      <w:r w:rsidR="006143B0">
        <w:t xml:space="preserve"> </w:t>
      </w:r>
      <w:r w:rsidR="00637A4E" w:rsidRPr="00637A4E">
        <w:t xml:space="preserve">whilst noting that </w:t>
      </w:r>
      <w:r w:rsidR="00637A4E">
        <w:t>Elexon will confirm</w:t>
      </w:r>
      <w:r w:rsidR="00637A4E" w:rsidRPr="00637A4E">
        <w:t xml:space="preserve"> or amended </w:t>
      </w:r>
      <w:r w:rsidR="00637A4E">
        <w:t xml:space="preserve">these indicative approaches </w:t>
      </w:r>
      <w:r w:rsidR="00637A4E" w:rsidRPr="00637A4E">
        <w:t xml:space="preserve">in </w:t>
      </w:r>
      <w:r w:rsidR="00C03336">
        <w:t>November</w:t>
      </w:r>
      <w:r w:rsidR="00637A4E" w:rsidRPr="00637A4E">
        <w:t>.</w:t>
      </w:r>
    </w:p>
    <w:p w14:paraId="2934F7D0" w14:textId="77777777" w:rsidR="003625EB" w:rsidRPr="003625EB" w:rsidRDefault="003625EB" w:rsidP="003625EB">
      <w:pPr>
        <w:pStyle w:val="List"/>
        <w:numPr>
          <w:ilvl w:val="0"/>
          <w:numId w:val="0"/>
        </w:numPr>
        <w:ind w:left="680"/>
      </w:pPr>
    </w:p>
    <w:p w14:paraId="7013B8C2" w14:textId="77777777" w:rsidR="00C14A97" w:rsidRPr="00881961" w:rsidRDefault="00C14A97" w:rsidP="00C14A97">
      <w:pPr>
        <w:pStyle w:val="ElexonBody"/>
      </w:pPr>
      <w:r w:rsidRPr="00881961">
        <w:t>For more information, please contact:</w:t>
      </w:r>
    </w:p>
    <w:p w14:paraId="3FA3CE48" w14:textId="77777777" w:rsidR="00C14A97" w:rsidRDefault="00C14A97" w:rsidP="00C14A97">
      <w:pPr>
        <w:pStyle w:val="ElexonBody"/>
      </w:pPr>
      <w:r>
        <w:t>Anna Millar, Risk and Technique Analyst</w:t>
      </w:r>
    </w:p>
    <w:p w14:paraId="0A2D77E7" w14:textId="77777777" w:rsidR="00C14A97" w:rsidRDefault="00C14A97" w:rsidP="00C14A97">
      <w:pPr>
        <w:pStyle w:val="ElexonBody"/>
      </w:pPr>
      <w:r>
        <w:t>anna.millar@elexon.co.uk</w:t>
      </w:r>
    </w:p>
    <w:p w14:paraId="0D5D80EF" w14:textId="77777777" w:rsidR="00C14A97" w:rsidRPr="00881961" w:rsidRDefault="00C14A97" w:rsidP="00C14A97">
      <w:pPr>
        <w:pStyle w:val="ElexonBody"/>
      </w:pPr>
      <w:r>
        <w:t>020 7380 4368</w:t>
      </w:r>
    </w:p>
    <w:p w14:paraId="57280426" w14:textId="77777777" w:rsidR="001620B8" w:rsidRPr="00881961" w:rsidRDefault="001620B8" w:rsidP="00C14A97">
      <w:pPr>
        <w:pStyle w:val="List"/>
        <w:numPr>
          <w:ilvl w:val="0"/>
          <w:numId w:val="0"/>
        </w:numPr>
        <w:ind w:left="680"/>
      </w:pPr>
    </w:p>
    <w:sectPr w:rsidR="001620B8" w:rsidRPr="00881961" w:rsidSect="008345BA">
      <w:footerReference w:type="default" r:id="rId9"/>
      <w:headerReference w:type="first" r:id="rId10"/>
      <w:footerReference w:type="first" r:id="rId11"/>
      <w:pgSz w:w="11906" w:h="16838" w:code="9"/>
      <w:pgMar w:top="680" w:right="680" w:bottom="992" w:left="680" w:header="567" w:footer="44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E9F8A7" w14:textId="77777777" w:rsidR="00AA676C" w:rsidRDefault="00AA676C" w:rsidP="007F1A2A">
      <w:pPr>
        <w:spacing w:after="0" w:line="240" w:lineRule="auto"/>
      </w:pPr>
      <w:r>
        <w:separator/>
      </w:r>
    </w:p>
  </w:endnote>
  <w:endnote w:type="continuationSeparator" w:id="0">
    <w:p w14:paraId="07BD5B97" w14:textId="77777777" w:rsidR="00AA676C" w:rsidRDefault="00AA676C" w:rsidP="007F1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834BC" w14:textId="0C0F463A" w:rsidR="00AA676C" w:rsidRPr="00AC33B2" w:rsidRDefault="00AA676C" w:rsidP="00AC33B2">
    <w:pPr>
      <w:pStyle w:val="Footer"/>
      <w:tabs>
        <w:tab w:val="clear" w:pos="9360"/>
        <w:tab w:val="right" w:pos="10490"/>
      </w:tabs>
    </w:pPr>
    <w:r w:rsidRPr="00AC33B2">
      <w:t>@ Elexon 202</w:t>
    </w:r>
    <w:r>
      <w:t>1</w:t>
    </w:r>
    <w:r w:rsidRPr="00AC33B2">
      <w:tab/>
    </w:r>
    <w:r w:rsidRPr="00AC33B2">
      <w:tab/>
    </w:r>
    <w:sdt>
      <w:sdtPr>
        <w:id w:val="-98183867"/>
        <w:docPartObj>
          <w:docPartGallery w:val="Page Numbers (Bottom of Page)"/>
          <w:docPartUnique/>
        </w:docPartObj>
      </w:sdtPr>
      <w:sdtEndPr/>
      <w:sdtContent>
        <w:sdt>
          <w:sdtPr>
            <w:id w:val="-1705238520"/>
            <w:docPartObj>
              <w:docPartGallery w:val="Page Numbers (Top of Page)"/>
              <w:docPartUnique/>
            </w:docPartObj>
          </w:sdtPr>
          <w:sdtEndPr/>
          <w:sdtContent>
            <w:r w:rsidRPr="00AC33B2">
              <w:t xml:space="preserve">Page </w:t>
            </w:r>
            <w:r w:rsidRPr="00AC33B2">
              <w:rPr>
                <w:sz w:val="24"/>
                <w:szCs w:val="24"/>
              </w:rPr>
              <w:fldChar w:fldCharType="begin"/>
            </w:r>
            <w:r w:rsidRPr="00AC33B2">
              <w:instrText xml:space="preserve"> PAGE </w:instrText>
            </w:r>
            <w:r w:rsidRPr="00AC33B2">
              <w:rPr>
                <w:sz w:val="24"/>
                <w:szCs w:val="24"/>
              </w:rPr>
              <w:fldChar w:fldCharType="separate"/>
            </w:r>
            <w:r w:rsidR="0061309B">
              <w:rPr>
                <w:noProof/>
              </w:rPr>
              <w:t>2</w:t>
            </w:r>
            <w:r w:rsidRPr="00AC33B2">
              <w:rPr>
                <w:sz w:val="24"/>
                <w:szCs w:val="24"/>
              </w:rPr>
              <w:fldChar w:fldCharType="end"/>
            </w:r>
            <w:r w:rsidRPr="00AC33B2">
              <w:t xml:space="preserve"> of </w:t>
            </w:r>
            <w:r>
              <w:fldChar w:fldCharType="begin"/>
            </w:r>
            <w:r>
              <w:instrText xml:space="preserve"> NUMPAGES  </w:instrText>
            </w:r>
            <w:r>
              <w:fldChar w:fldCharType="separate"/>
            </w:r>
            <w:r w:rsidR="0061309B">
              <w:rPr>
                <w:noProof/>
              </w:rPr>
              <w:t>8</w:t>
            </w:r>
            <w:r>
              <w:rPr>
                <w:noProof/>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8494500"/>
      <w:docPartObj>
        <w:docPartGallery w:val="Page Numbers (Bottom of Page)"/>
        <w:docPartUnique/>
      </w:docPartObj>
    </w:sdtPr>
    <w:sdtEndPr/>
    <w:sdtContent>
      <w:sdt>
        <w:sdtPr>
          <w:id w:val="-1769616900"/>
          <w:docPartObj>
            <w:docPartGallery w:val="Page Numbers (Top of Page)"/>
            <w:docPartUnique/>
          </w:docPartObj>
        </w:sdtPr>
        <w:sdtEndPr/>
        <w:sdtContent>
          <w:p w14:paraId="5795E323" w14:textId="1A2FF6D8" w:rsidR="00AA676C" w:rsidRPr="008345BA" w:rsidRDefault="00AA676C" w:rsidP="008345BA">
            <w:pPr>
              <w:pStyle w:val="Footer"/>
              <w:tabs>
                <w:tab w:val="clear" w:pos="9360"/>
                <w:tab w:val="right" w:pos="10490"/>
              </w:tabs>
            </w:pPr>
            <w:r>
              <w:t>© Elexon 2021</w:t>
            </w:r>
            <w:r>
              <w:tab/>
            </w:r>
            <w:r>
              <w:tab/>
            </w:r>
            <w:r w:rsidRPr="008345BA">
              <w:t xml:space="preserve">Page </w:t>
            </w:r>
            <w:r w:rsidRPr="008345BA">
              <w:fldChar w:fldCharType="begin"/>
            </w:r>
            <w:r w:rsidRPr="008345BA">
              <w:instrText xml:space="preserve"> PAGE </w:instrText>
            </w:r>
            <w:r w:rsidRPr="008345BA">
              <w:fldChar w:fldCharType="separate"/>
            </w:r>
            <w:r w:rsidR="0061309B">
              <w:rPr>
                <w:noProof/>
              </w:rPr>
              <w:t>1</w:t>
            </w:r>
            <w:r w:rsidRPr="008345BA">
              <w:fldChar w:fldCharType="end"/>
            </w:r>
            <w:r w:rsidRPr="008345BA">
              <w:t xml:space="preserve"> of </w:t>
            </w:r>
            <w:r>
              <w:fldChar w:fldCharType="begin"/>
            </w:r>
            <w:r>
              <w:instrText xml:space="preserve"> NUMPAGES  </w:instrText>
            </w:r>
            <w:r>
              <w:fldChar w:fldCharType="separate"/>
            </w:r>
            <w:r w:rsidR="0061309B">
              <w:rPr>
                <w:noProof/>
              </w:rPr>
              <w:t>8</w:t>
            </w:r>
            <w: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49E5F5" w14:textId="77777777" w:rsidR="00AA676C" w:rsidRDefault="00AA676C" w:rsidP="007F1A2A">
      <w:pPr>
        <w:spacing w:after="0" w:line="240" w:lineRule="auto"/>
      </w:pPr>
      <w:r>
        <w:separator/>
      </w:r>
    </w:p>
  </w:footnote>
  <w:footnote w:type="continuationSeparator" w:id="0">
    <w:p w14:paraId="13F7D4E7" w14:textId="77777777" w:rsidR="00AA676C" w:rsidRDefault="00AA676C" w:rsidP="007F1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44EB3" w14:textId="77777777" w:rsidR="00AA676C" w:rsidRDefault="00AA676C">
    <w:pPr>
      <w:pStyle w:val="Header"/>
      <w:rPr>
        <w:noProof/>
      </w:rPr>
    </w:pPr>
  </w:p>
  <w:p w14:paraId="1D0BD7EF" w14:textId="77777777" w:rsidR="00AA676C" w:rsidRDefault="00AA676C">
    <w:pPr>
      <w:pStyle w:val="Header"/>
      <w:rPr>
        <w:noProof/>
      </w:rPr>
    </w:pPr>
  </w:p>
  <w:p w14:paraId="6A67BA6C" w14:textId="77777777" w:rsidR="00AA676C" w:rsidRDefault="00AA676C">
    <w:pPr>
      <w:pStyle w:val="Header"/>
      <w:rPr>
        <w:noProof/>
      </w:rPr>
    </w:pPr>
  </w:p>
  <w:p w14:paraId="2867AFD5" w14:textId="77777777" w:rsidR="00AA676C" w:rsidRDefault="00AA676C">
    <w:pPr>
      <w:pStyle w:val="Header"/>
      <w:rPr>
        <w:noProof/>
      </w:rPr>
    </w:pPr>
    <w:r>
      <w:rPr>
        <w:noProof/>
        <w:lang w:eastAsia="en-GB"/>
      </w:rPr>
      <mc:AlternateContent>
        <mc:Choice Requires="wps">
          <w:drawing>
            <wp:anchor distT="0" distB="0" distL="114300" distR="114300" simplePos="0" relativeHeight="251648000" behindDoc="1" locked="0" layoutInCell="1" allowOverlap="1" wp14:anchorId="1C89F1C7" wp14:editId="730D2EF0">
              <wp:simplePos x="0" y="0"/>
              <wp:positionH relativeFrom="column">
                <wp:posOffset>-431800</wp:posOffset>
              </wp:positionH>
              <wp:positionV relativeFrom="paragraph">
                <wp:posOffset>-1251585</wp:posOffset>
              </wp:positionV>
              <wp:extent cx="7563557" cy="1256691"/>
              <wp:effectExtent l="0" t="0" r="0" b="635"/>
              <wp:wrapNone/>
              <wp:docPr id="16" name="Freeform: Shape 16"/>
              <wp:cNvGraphicFramePr/>
              <a:graphic xmlns:a="http://schemas.openxmlformats.org/drawingml/2006/main">
                <a:graphicData uri="http://schemas.microsoft.com/office/word/2010/wordprocessingShape">
                  <wps:wsp>
                    <wps:cNvSpPr/>
                    <wps:spPr>
                      <a:xfrm>
                        <a:off x="0" y="0"/>
                        <a:ext cx="7563557" cy="1256691"/>
                      </a:xfrm>
                      <a:custGeom>
                        <a:avLst/>
                        <a:gdLst>
                          <a:gd name="connsiteX0" fmla="*/ 0 w 7563232"/>
                          <a:gd name="connsiteY0" fmla="*/ 0 h 1256531"/>
                          <a:gd name="connsiteX1" fmla="*/ 7563233 w 7563232"/>
                          <a:gd name="connsiteY1" fmla="*/ 0 h 1256531"/>
                          <a:gd name="connsiteX2" fmla="*/ 7563233 w 7563232"/>
                          <a:gd name="connsiteY2" fmla="*/ 1256531 h 1256531"/>
                          <a:gd name="connsiteX3" fmla="*/ 0 w 7563232"/>
                          <a:gd name="connsiteY3" fmla="*/ 1256531 h 1256531"/>
                        </a:gdLst>
                        <a:ahLst/>
                        <a:cxnLst>
                          <a:cxn ang="0">
                            <a:pos x="connsiteX0" y="connsiteY0"/>
                          </a:cxn>
                          <a:cxn ang="0">
                            <a:pos x="connsiteX1" y="connsiteY1"/>
                          </a:cxn>
                          <a:cxn ang="0">
                            <a:pos x="connsiteX2" y="connsiteY2"/>
                          </a:cxn>
                          <a:cxn ang="0">
                            <a:pos x="connsiteX3" y="connsiteY3"/>
                          </a:cxn>
                        </a:cxnLst>
                        <a:rect l="l" t="t" r="r" b="b"/>
                        <a:pathLst>
                          <a:path w="7563232" h="1256531">
                            <a:moveTo>
                              <a:pt x="0" y="0"/>
                            </a:moveTo>
                            <a:lnTo>
                              <a:pt x="7563233" y="0"/>
                            </a:lnTo>
                            <a:lnTo>
                              <a:pt x="7563233" y="1256531"/>
                            </a:lnTo>
                            <a:lnTo>
                              <a:pt x="0" y="1256531"/>
                            </a:lnTo>
                            <a:close/>
                          </a:path>
                        </a:pathLst>
                      </a:custGeom>
                      <a:solidFill>
                        <a:schemeClr val="bg1"/>
                      </a:solidFill>
                      <a:ln w="1269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AB660C" id="Freeform: Shape 16" o:spid="_x0000_s1026" style="position:absolute;margin-left:-34pt;margin-top:-98.55pt;width:595.55pt;height:98.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7563232,1256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" path="m,l7563233,r,1256531l,1256531,,xe" fillcolor="white [3212]" stroked="f" strokeweight=".35264mm">
              <v:stroke joinstyle="miter"/>
              <v:path arrowok="t" o:connecttype="custom" o:connectlocs="0,0;7563558,0;7563558,1256691;0,1256691" o:connectangles="0,0,0,0"/>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BCEB09C" wp14:editId="235A4197">
              <wp:simplePos x="0" y="0"/>
              <wp:positionH relativeFrom="page">
                <wp:align>center</wp:align>
              </wp:positionH>
              <wp:positionV relativeFrom="page">
                <wp:posOffset>431800</wp:posOffset>
              </wp:positionV>
              <wp:extent cx="1616400" cy="219600"/>
              <wp:effectExtent l="0" t="0" r="3175" b="9525"/>
              <wp:wrapNone/>
              <wp:docPr id="32" name="Graphic 1"/>
              <wp:cNvGraphicFramePr/>
              <a:graphic xmlns:a="http://schemas.openxmlformats.org/drawingml/2006/main">
                <a:graphicData uri="http://schemas.microsoft.com/office/word/2010/wordprocessingShape">
                  <wps:wsp>
                    <wps:cNvSpPr/>
                    <wps:spPr>
                      <a:xfrm>
                        <a:off x="0" y="0"/>
                        <a:ext cx="1616400" cy="219600"/>
                      </a:xfrm>
                      <a:custGeom>
                        <a:avLst/>
                        <a:gdLst>
                          <a:gd name="connsiteX0" fmla="*/ 386715 w 5021580"/>
                          <a:gd name="connsiteY0" fmla="*/ 9525 h 681989"/>
                          <a:gd name="connsiteX1" fmla="*/ 386715 w 5021580"/>
                          <a:gd name="connsiteY1" fmla="*/ 84773 h 681989"/>
                          <a:gd name="connsiteX2" fmla="*/ 78105 w 5021580"/>
                          <a:gd name="connsiteY2" fmla="*/ 84773 h 681989"/>
                          <a:gd name="connsiteX3" fmla="*/ 78105 w 5021580"/>
                          <a:gd name="connsiteY3" fmla="*/ 296228 h 681989"/>
                          <a:gd name="connsiteX4" fmla="*/ 354330 w 5021580"/>
                          <a:gd name="connsiteY4" fmla="*/ 296228 h 681989"/>
                          <a:gd name="connsiteX5" fmla="*/ 354330 w 5021580"/>
                          <a:gd name="connsiteY5" fmla="*/ 371475 h 681989"/>
                          <a:gd name="connsiteX6" fmla="*/ 78105 w 5021580"/>
                          <a:gd name="connsiteY6" fmla="*/ 371475 h 681989"/>
                          <a:gd name="connsiteX7" fmla="*/ 78105 w 5021580"/>
                          <a:gd name="connsiteY7" fmla="*/ 597218 h 681989"/>
                          <a:gd name="connsiteX8" fmla="*/ 386715 w 5021580"/>
                          <a:gd name="connsiteY8" fmla="*/ 597218 h 681989"/>
                          <a:gd name="connsiteX9" fmla="*/ 386715 w 5021580"/>
                          <a:gd name="connsiteY9" fmla="*/ 672465 h 681989"/>
                          <a:gd name="connsiteX10" fmla="*/ 0 w 5021580"/>
                          <a:gd name="connsiteY10" fmla="*/ 672465 h 681989"/>
                          <a:gd name="connsiteX11" fmla="*/ 0 w 5021580"/>
                          <a:gd name="connsiteY11" fmla="*/ 9525 h 681989"/>
                          <a:gd name="connsiteX12" fmla="*/ 386715 w 5021580"/>
                          <a:gd name="connsiteY12" fmla="*/ 9525 h 681989"/>
                          <a:gd name="connsiteX13" fmla="*/ 845820 w 5021580"/>
                          <a:gd name="connsiteY13" fmla="*/ 9525 h 681989"/>
                          <a:gd name="connsiteX14" fmla="*/ 845820 w 5021580"/>
                          <a:gd name="connsiteY14" fmla="*/ 672465 h 681989"/>
                          <a:gd name="connsiteX15" fmla="*/ 1255395 w 5021580"/>
                          <a:gd name="connsiteY15" fmla="*/ 672465 h 681989"/>
                          <a:gd name="connsiteX16" fmla="*/ 1255395 w 5021580"/>
                          <a:gd name="connsiteY16" fmla="*/ 597218 h 681989"/>
                          <a:gd name="connsiteX17" fmla="*/ 923925 w 5021580"/>
                          <a:gd name="connsiteY17" fmla="*/ 597218 h 681989"/>
                          <a:gd name="connsiteX18" fmla="*/ 923925 w 5021580"/>
                          <a:gd name="connsiteY18" fmla="*/ 9525 h 681989"/>
                          <a:gd name="connsiteX19" fmla="*/ 845820 w 5021580"/>
                          <a:gd name="connsiteY19" fmla="*/ 9525 h 681989"/>
                          <a:gd name="connsiteX20" fmla="*/ 4942523 w 5021580"/>
                          <a:gd name="connsiteY20" fmla="*/ 526733 h 681989"/>
                          <a:gd name="connsiteX21" fmla="*/ 4581525 w 5021580"/>
                          <a:gd name="connsiteY21" fmla="*/ 9525 h 681989"/>
                          <a:gd name="connsiteX22" fmla="*/ 4509135 w 5021580"/>
                          <a:gd name="connsiteY22" fmla="*/ 9525 h 681989"/>
                          <a:gd name="connsiteX23" fmla="*/ 4509135 w 5021580"/>
                          <a:gd name="connsiteY23" fmla="*/ 672465 h 681989"/>
                          <a:gd name="connsiteX24" fmla="*/ 4587240 w 5021580"/>
                          <a:gd name="connsiteY24" fmla="*/ 672465 h 681989"/>
                          <a:gd name="connsiteX25" fmla="*/ 4587240 w 5021580"/>
                          <a:gd name="connsiteY25" fmla="*/ 156210 h 681989"/>
                          <a:gd name="connsiteX26" fmla="*/ 4950143 w 5021580"/>
                          <a:gd name="connsiteY26" fmla="*/ 672465 h 681989"/>
                          <a:gd name="connsiteX27" fmla="*/ 5021580 w 5021580"/>
                          <a:gd name="connsiteY27" fmla="*/ 672465 h 681989"/>
                          <a:gd name="connsiteX28" fmla="*/ 5021580 w 5021580"/>
                          <a:gd name="connsiteY28" fmla="*/ 9525 h 681989"/>
                          <a:gd name="connsiteX29" fmla="*/ 4942523 w 5021580"/>
                          <a:gd name="connsiteY29" fmla="*/ 9525 h 681989"/>
                          <a:gd name="connsiteX30" fmla="*/ 4942523 w 5021580"/>
                          <a:gd name="connsiteY30" fmla="*/ 526733 h 681989"/>
                          <a:gd name="connsiteX31" fmla="*/ 2067878 w 5021580"/>
                          <a:gd name="connsiteY31" fmla="*/ 672465 h 681989"/>
                          <a:gd name="connsiteX32" fmla="*/ 2067878 w 5021580"/>
                          <a:gd name="connsiteY32" fmla="*/ 597218 h 681989"/>
                          <a:gd name="connsiteX33" fmla="*/ 1759268 w 5021580"/>
                          <a:gd name="connsiteY33" fmla="*/ 597218 h 681989"/>
                          <a:gd name="connsiteX34" fmla="*/ 1759268 w 5021580"/>
                          <a:gd name="connsiteY34" fmla="*/ 371475 h 681989"/>
                          <a:gd name="connsiteX35" fmla="*/ 2035493 w 5021580"/>
                          <a:gd name="connsiteY35" fmla="*/ 371475 h 681989"/>
                          <a:gd name="connsiteX36" fmla="*/ 2035493 w 5021580"/>
                          <a:gd name="connsiteY36" fmla="*/ 296228 h 681989"/>
                          <a:gd name="connsiteX37" fmla="*/ 1759268 w 5021580"/>
                          <a:gd name="connsiteY37" fmla="*/ 296228 h 681989"/>
                          <a:gd name="connsiteX38" fmla="*/ 1759268 w 5021580"/>
                          <a:gd name="connsiteY38" fmla="*/ 84773 h 681989"/>
                          <a:gd name="connsiteX39" fmla="*/ 2067878 w 5021580"/>
                          <a:gd name="connsiteY39" fmla="*/ 84773 h 681989"/>
                          <a:gd name="connsiteX40" fmla="*/ 2067878 w 5021580"/>
                          <a:gd name="connsiteY40" fmla="*/ 9525 h 681989"/>
                          <a:gd name="connsiteX41" fmla="*/ 1681163 w 5021580"/>
                          <a:gd name="connsiteY41" fmla="*/ 9525 h 681989"/>
                          <a:gd name="connsiteX42" fmla="*/ 1681163 w 5021580"/>
                          <a:gd name="connsiteY42" fmla="*/ 672465 h 681989"/>
                          <a:gd name="connsiteX43" fmla="*/ 2067878 w 5021580"/>
                          <a:gd name="connsiteY43" fmla="*/ 672465 h 681989"/>
                          <a:gd name="connsiteX44" fmla="*/ 3488055 w 5021580"/>
                          <a:gd name="connsiteY44" fmla="*/ 339090 h 681989"/>
                          <a:gd name="connsiteX45" fmla="*/ 3741420 w 5021580"/>
                          <a:gd name="connsiteY45" fmla="*/ 605790 h 681989"/>
                          <a:gd name="connsiteX46" fmla="*/ 3994785 w 5021580"/>
                          <a:gd name="connsiteY46" fmla="*/ 339090 h 681989"/>
                          <a:gd name="connsiteX47" fmla="*/ 3741420 w 5021580"/>
                          <a:gd name="connsiteY47" fmla="*/ 76200 h 681989"/>
                          <a:gd name="connsiteX48" fmla="*/ 3488055 w 5021580"/>
                          <a:gd name="connsiteY48" fmla="*/ 339090 h 681989"/>
                          <a:gd name="connsiteX49" fmla="*/ 3741420 w 5021580"/>
                          <a:gd name="connsiteY49" fmla="*/ 681990 h 681989"/>
                          <a:gd name="connsiteX50" fmla="*/ 3407093 w 5021580"/>
                          <a:gd name="connsiteY50" fmla="*/ 339090 h 681989"/>
                          <a:gd name="connsiteX51" fmla="*/ 3741420 w 5021580"/>
                          <a:gd name="connsiteY51" fmla="*/ 0 h 681989"/>
                          <a:gd name="connsiteX52" fmla="*/ 4075748 w 5021580"/>
                          <a:gd name="connsiteY52" fmla="*/ 339090 h 681989"/>
                          <a:gd name="connsiteX53" fmla="*/ 3741420 w 5021580"/>
                          <a:gd name="connsiteY53" fmla="*/ 681990 h 681989"/>
                          <a:gd name="connsiteX54" fmla="*/ 2605088 w 5021580"/>
                          <a:gd name="connsiteY54" fmla="*/ 673418 h 681989"/>
                          <a:gd name="connsiteX55" fmla="*/ 3045143 w 5021580"/>
                          <a:gd name="connsiteY55" fmla="*/ 9525 h 681989"/>
                          <a:gd name="connsiteX56" fmla="*/ 2951798 w 5021580"/>
                          <a:gd name="connsiteY56" fmla="*/ 9525 h 681989"/>
                          <a:gd name="connsiteX57" fmla="*/ 2510790 w 5021580"/>
                          <a:gd name="connsiteY57" fmla="*/ 673418 h 681989"/>
                          <a:gd name="connsiteX58" fmla="*/ 2605088 w 5021580"/>
                          <a:gd name="connsiteY58" fmla="*/ 673418 h 681989"/>
                          <a:gd name="connsiteX59" fmla="*/ 2511743 w 5021580"/>
                          <a:gd name="connsiteY59" fmla="*/ 9525 h 681989"/>
                          <a:gd name="connsiteX60" fmla="*/ 2685098 w 5021580"/>
                          <a:gd name="connsiteY60" fmla="*/ 271463 h 681989"/>
                          <a:gd name="connsiteX61" fmla="*/ 2731770 w 5021580"/>
                          <a:gd name="connsiteY61" fmla="*/ 200978 h 681989"/>
                          <a:gd name="connsiteX62" fmla="*/ 2605088 w 5021580"/>
                          <a:gd name="connsiteY62" fmla="*/ 9525 h 681989"/>
                          <a:gd name="connsiteX63" fmla="*/ 2511743 w 5021580"/>
                          <a:gd name="connsiteY63" fmla="*/ 9525 h 681989"/>
                          <a:gd name="connsiteX64" fmla="*/ 2951798 w 5021580"/>
                          <a:gd name="connsiteY64" fmla="*/ 673418 h 681989"/>
                          <a:gd name="connsiteX65" fmla="*/ 3045143 w 5021580"/>
                          <a:gd name="connsiteY65" fmla="*/ 673418 h 681989"/>
                          <a:gd name="connsiteX66" fmla="*/ 2871788 w 5021580"/>
                          <a:gd name="connsiteY66" fmla="*/ 411480 h 681989"/>
                          <a:gd name="connsiteX67" fmla="*/ 2825115 w 5021580"/>
                          <a:gd name="connsiteY67" fmla="*/ 481965 h 681989"/>
                          <a:gd name="connsiteX68" fmla="*/ 2951798 w 5021580"/>
                          <a:gd name="connsiteY68" fmla="*/ 673418 h 68198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Lst>
                        <a:rect l="l" t="t" r="r" b="b"/>
                        <a:pathLst>
                          <a:path w="5021580" h="681989">
                            <a:moveTo>
                              <a:pt x="386715" y="9525"/>
                            </a:moveTo>
                            <a:lnTo>
                              <a:pt x="386715" y="84773"/>
                            </a:lnTo>
                            <a:lnTo>
                              <a:pt x="78105" y="84773"/>
                            </a:lnTo>
                            <a:lnTo>
                              <a:pt x="78105" y="296228"/>
                            </a:lnTo>
                            <a:lnTo>
                              <a:pt x="354330" y="296228"/>
                            </a:lnTo>
                            <a:lnTo>
                              <a:pt x="354330" y="371475"/>
                            </a:lnTo>
                            <a:lnTo>
                              <a:pt x="78105" y="371475"/>
                            </a:lnTo>
                            <a:lnTo>
                              <a:pt x="78105" y="597218"/>
                            </a:lnTo>
                            <a:lnTo>
                              <a:pt x="386715" y="597218"/>
                            </a:lnTo>
                            <a:lnTo>
                              <a:pt x="386715" y="672465"/>
                            </a:lnTo>
                            <a:lnTo>
                              <a:pt x="0" y="672465"/>
                            </a:lnTo>
                            <a:lnTo>
                              <a:pt x="0" y="9525"/>
                            </a:lnTo>
                            <a:lnTo>
                              <a:pt x="386715" y="9525"/>
                            </a:lnTo>
                            <a:close/>
                            <a:moveTo>
                              <a:pt x="845820" y="9525"/>
                            </a:moveTo>
                            <a:lnTo>
                              <a:pt x="845820" y="672465"/>
                            </a:lnTo>
                            <a:lnTo>
                              <a:pt x="1255395" y="672465"/>
                            </a:lnTo>
                            <a:lnTo>
                              <a:pt x="1255395" y="597218"/>
                            </a:lnTo>
                            <a:lnTo>
                              <a:pt x="923925" y="597218"/>
                            </a:lnTo>
                            <a:lnTo>
                              <a:pt x="923925" y="9525"/>
                            </a:lnTo>
                            <a:lnTo>
                              <a:pt x="845820" y="9525"/>
                            </a:lnTo>
                            <a:close/>
                            <a:moveTo>
                              <a:pt x="4942523" y="526733"/>
                            </a:moveTo>
                            <a:lnTo>
                              <a:pt x="4581525" y="9525"/>
                            </a:lnTo>
                            <a:lnTo>
                              <a:pt x="4509135" y="9525"/>
                            </a:lnTo>
                            <a:lnTo>
                              <a:pt x="4509135" y="672465"/>
                            </a:lnTo>
                            <a:lnTo>
                              <a:pt x="4587240" y="672465"/>
                            </a:lnTo>
                            <a:lnTo>
                              <a:pt x="4587240" y="156210"/>
                            </a:lnTo>
                            <a:lnTo>
                              <a:pt x="4950143" y="672465"/>
                            </a:lnTo>
                            <a:lnTo>
                              <a:pt x="5021580" y="672465"/>
                            </a:lnTo>
                            <a:lnTo>
                              <a:pt x="5021580" y="9525"/>
                            </a:lnTo>
                            <a:lnTo>
                              <a:pt x="4942523" y="9525"/>
                            </a:lnTo>
                            <a:lnTo>
                              <a:pt x="4942523" y="526733"/>
                            </a:lnTo>
                            <a:close/>
                            <a:moveTo>
                              <a:pt x="2067878" y="672465"/>
                            </a:moveTo>
                            <a:lnTo>
                              <a:pt x="2067878" y="597218"/>
                            </a:lnTo>
                            <a:lnTo>
                              <a:pt x="1759268" y="597218"/>
                            </a:lnTo>
                            <a:lnTo>
                              <a:pt x="1759268" y="371475"/>
                            </a:lnTo>
                            <a:lnTo>
                              <a:pt x="2035493" y="371475"/>
                            </a:lnTo>
                            <a:lnTo>
                              <a:pt x="2035493" y="296228"/>
                            </a:lnTo>
                            <a:lnTo>
                              <a:pt x="1759268" y="296228"/>
                            </a:lnTo>
                            <a:lnTo>
                              <a:pt x="1759268" y="84773"/>
                            </a:lnTo>
                            <a:lnTo>
                              <a:pt x="2067878" y="84773"/>
                            </a:lnTo>
                            <a:lnTo>
                              <a:pt x="2067878" y="9525"/>
                            </a:lnTo>
                            <a:lnTo>
                              <a:pt x="1681163" y="9525"/>
                            </a:lnTo>
                            <a:lnTo>
                              <a:pt x="1681163" y="672465"/>
                            </a:lnTo>
                            <a:lnTo>
                              <a:pt x="2067878" y="672465"/>
                            </a:lnTo>
                            <a:close/>
                            <a:moveTo>
                              <a:pt x="3488055" y="339090"/>
                            </a:moveTo>
                            <a:cubicBezTo>
                              <a:pt x="3488055" y="488633"/>
                              <a:pt x="3599498" y="605790"/>
                              <a:pt x="3741420" y="605790"/>
                            </a:cubicBezTo>
                            <a:cubicBezTo>
                              <a:pt x="3883343" y="605790"/>
                              <a:pt x="3994785" y="488633"/>
                              <a:pt x="3994785" y="339090"/>
                            </a:cubicBezTo>
                            <a:cubicBezTo>
                              <a:pt x="3994785" y="191453"/>
                              <a:pt x="3883343" y="76200"/>
                              <a:pt x="3741420" y="76200"/>
                            </a:cubicBezTo>
                            <a:cubicBezTo>
                              <a:pt x="3599498" y="76200"/>
                              <a:pt x="3488055" y="191453"/>
                              <a:pt x="3488055" y="339090"/>
                            </a:cubicBezTo>
                            <a:close/>
                            <a:moveTo>
                              <a:pt x="3741420" y="681990"/>
                            </a:moveTo>
                            <a:cubicBezTo>
                              <a:pt x="3553778" y="681990"/>
                              <a:pt x="3407093" y="531495"/>
                              <a:pt x="3407093" y="339090"/>
                            </a:cubicBezTo>
                            <a:cubicBezTo>
                              <a:pt x="3407093" y="148590"/>
                              <a:pt x="3553778" y="0"/>
                              <a:pt x="3741420" y="0"/>
                            </a:cubicBezTo>
                            <a:cubicBezTo>
                              <a:pt x="3929063" y="0"/>
                              <a:pt x="4075748" y="148590"/>
                              <a:pt x="4075748" y="339090"/>
                            </a:cubicBezTo>
                            <a:cubicBezTo>
                              <a:pt x="4075748" y="531495"/>
                              <a:pt x="3929063" y="681990"/>
                              <a:pt x="3741420" y="681990"/>
                            </a:cubicBezTo>
                            <a:close/>
                            <a:moveTo>
                              <a:pt x="2605088" y="673418"/>
                            </a:moveTo>
                            <a:lnTo>
                              <a:pt x="3045143" y="9525"/>
                            </a:lnTo>
                            <a:lnTo>
                              <a:pt x="2951798" y="9525"/>
                            </a:lnTo>
                            <a:lnTo>
                              <a:pt x="2510790" y="673418"/>
                            </a:lnTo>
                            <a:lnTo>
                              <a:pt x="2605088" y="673418"/>
                            </a:lnTo>
                            <a:close/>
                            <a:moveTo>
                              <a:pt x="2511743" y="9525"/>
                            </a:moveTo>
                            <a:lnTo>
                              <a:pt x="2685098" y="271463"/>
                            </a:lnTo>
                            <a:lnTo>
                              <a:pt x="2731770" y="200978"/>
                            </a:lnTo>
                            <a:lnTo>
                              <a:pt x="2605088" y="9525"/>
                            </a:lnTo>
                            <a:lnTo>
                              <a:pt x="2511743" y="9525"/>
                            </a:lnTo>
                            <a:close/>
                            <a:moveTo>
                              <a:pt x="2951798" y="673418"/>
                            </a:moveTo>
                            <a:lnTo>
                              <a:pt x="3045143" y="673418"/>
                            </a:lnTo>
                            <a:lnTo>
                              <a:pt x="2871788" y="411480"/>
                            </a:lnTo>
                            <a:lnTo>
                              <a:pt x="2825115" y="481965"/>
                            </a:lnTo>
                            <a:lnTo>
                              <a:pt x="2951798" y="673418"/>
                            </a:lnTo>
                            <a:close/>
                          </a:path>
                        </a:pathLst>
                      </a:custGeom>
                      <a:solidFill>
                        <a:schemeClr val="tx1"/>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087F2D" id="Graphic 1" o:spid="_x0000_s1026" style="position:absolute;margin-left:0;margin-top:34pt;width:127.3pt;height:17.3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coordsize="5021580,681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" path="m386715,9525r,75248l78105,84773r,211455l354330,296228r,75247l78105,371475r,225743l386715,597218r,75247l,672465,,9525r386715,xm845820,9525r,662940l1255395,672465r,-75247l923925,597218r,-587693l845820,9525xm4942523,526733l4581525,9525r-72390,l4509135,672465r78105,l4587240,156210r362903,516255l5021580,672465r,-662940l4942523,9525r,517208xm2067878,672465r,-75247l1759268,597218r,-225743l2035493,371475r,-75247l1759268,296228r,-211455l2067878,84773r,-75248l1681163,9525r,662940l2067878,672465xm3488055,339090v,149543,111443,266700,253365,266700c3883343,605790,3994785,488633,3994785,339090v,-147637,-111442,-262890,-253365,-262890c3599498,76200,3488055,191453,3488055,339090xm3741420,681990v-187642,,-334327,-150495,-334327,-342900c3407093,148590,3553778,,3741420,v187643,,334328,148590,334328,339090c4075748,531495,3929063,681990,3741420,681990xm2605088,673418l3045143,9525r-93345,l2510790,673418r94298,xm2511743,9525r173355,261938l2731770,200978,2605088,9525r-93345,xm2951798,673418r93345,l2871788,411480r-46673,70485l2951798,673418xe" fillcolor="#00008b [3213]" stroked="f">
              <v:stroke joinstyle="miter"/>
              <v:path arrowok="t" o:connecttype="custom" o:connectlocs="124480,3067;124480,27297;25141,27297;25141,95385;114056,95385;114056,119615;25141,119615;25141,192304;124480,192304;124480,216533;0,216533;0,3067;124480,3067;272262,3067;272262,216533;404100,216533;404100,192304;297403,192304;297403,3067;272262,3067;1590952,169608;1474750,3067;1451449,3067;1451449,216533;1476590,216533;1476590,50300;1593405,216533;1616400,216533;1616400,3067;1590952,3067;1590952,169608;665631,216533;665631,192304;566292,192304;566292,119615;655206,119615;655206,95385;566292,95385;566292,27297;665631,27297;665631,3067;541151,3067;541151,216533;665631,216533;1122773,109187;1204328,195064;1285884,109187;1204328,24536;1122773,109187;1204328,219600;1096712,109187;1204328,0;1311945,109187;1204328,219600;838554,216840;980203,3067;950156,3067;808200,216840;838554,216840;808507,3067;864308,87411;879331,64715;838554,3067;808507,3067;950156,216840;980203,216840;924402,132496;909378,155192;950156,216840" o:connectangles="0,0,0,0,0,0,0,0,0,0,0,0,0,0,0,0,0,0,0,0,0,0,0,0,0,0,0,0,0,0,0,0,0,0,0,0,0,0,0,0,0,0,0,0,0,0,0,0,0,0,0,0,0,0,0,0,0,0,0,0,0,0,0,0,0,0,0,0,0"/>
              <w10:wrap anchorx="page" anchory="page"/>
            </v:shape>
          </w:pict>
        </mc:Fallback>
      </mc:AlternateContent>
    </w:r>
  </w:p>
  <w:p w14:paraId="2CD135C1" w14:textId="77777777" w:rsidR="00AA676C" w:rsidRDefault="00AA676C">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3C4042"/>
    <w:lvl w:ilvl="0">
      <w:start w:val="1"/>
      <w:numFmt w:val="decimal"/>
      <w:pStyle w:val="ListNumber"/>
      <w:lvlText w:val="%1."/>
      <w:lvlJc w:val="left"/>
      <w:pPr>
        <w:tabs>
          <w:tab w:val="num" w:pos="360"/>
        </w:tabs>
        <w:ind w:left="360" w:hanging="360"/>
      </w:pPr>
    </w:lvl>
  </w:abstractNum>
  <w:abstractNum w:abstractNumId="1" w15:restartNumberingAfterBreak="0">
    <w:nsid w:val="05C50DF1"/>
    <w:multiLevelType w:val="multilevel"/>
    <w:tmpl w:val="6CFC974A"/>
    <w:styleLink w:val="Elexonnumber"/>
    <w:lvl w:ilvl="0">
      <w:start w:val="1"/>
      <w:numFmt w:val="decimal"/>
      <w:lvlText w:val="%1."/>
      <w:lvlJc w:val="left"/>
      <w:pPr>
        <w:ind w:left="567" w:hanging="567"/>
      </w:pPr>
      <w:rPr>
        <w:rFonts w:asciiTheme="majorHAnsi" w:hAnsiTheme="majorHAnsi" w:hint="default"/>
        <w:b/>
        <w:i w:val="0"/>
        <w:color w:val="00008B" w:themeColor="text1"/>
        <w:sz w:val="20"/>
      </w:rPr>
    </w:lvl>
    <w:lvl w:ilvl="1">
      <w:start w:val="1"/>
      <w:numFmt w:val="decimal"/>
      <w:lvlText w:val="%1.%2"/>
      <w:lvlJc w:val="left"/>
      <w:pPr>
        <w:ind w:left="567" w:hanging="567"/>
      </w:pPr>
      <w:rPr>
        <w:rFonts w:asciiTheme="majorHAnsi" w:hAnsiTheme="majorHAnsi" w:hint="default"/>
        <w:b w:val="0"/>
        <w:i w:val="0"/>
        <w:sz w:val="20"/>
      </w:rPr>
    </w:lvl>
    <w:lvl w:ilvl="2">
      <w:start w:val="1"/>
      <w:numFmt w:val="decimal"/>
      <w:lvlText w:val="%1.%2.%3"/>
      <w:lvlJc w:val="left"/>
      <w:pPr>
        <w:ind w:left="567" w:hanging="567"/>
      </w:pPr>
      <w:rPr>
        <w:rFonts w:asciiTheme="majorHAnsi" w:hAnsiTheme="majorHAnsi" w:hint="default"/>
        <w:b w:val="0"/>
        <w:i w:val="0"/>
        <w:sz w:val="20"/>
      </w:rPr>
    </w:lvl>
    <w:lvl w:ilvl="3">
      <w:start w:val="1"/>
      <w:numFmt w:val="lowerLetter"/>
      <w:lvlText w:val="%4)"/>
      <w:lvlJc w:val="left"/>
      <w:pPr>
        <w:ind w:left="794" w:hanging="227"/>
      </w:pPr>
      <w:rPr>
        <w:rFonts w:asciiTheme="majorHAnsi" w:hAnsiTheme="majorHAnsi" w:hint="default"/>
      </w:rPr>
    </w:lvl>
    <w:lvl w:ilvl="4">
      <w:start w:val="1"/>
      <w:numFmt w:val="lowerRoman"/>
      <w:lvlText w:val="%5"/>
      <w:lvlJc w:val="left"/>
      <w:pPr>
        <w:ind w:left="1021" w:hanging="227"/>
      </w:pPr>
      <w:rPr>
        <w:rFonts w:asciiTheme="majorHAnsi" w:hAnsiTheme="majorHAnsi" w:hint="default"/>
      </w:rPr>
    </w:lvl>
    <w:lvl w:ilvl="5">
      <w:start w:val="1"/>
      <w:numFmt w:val="none"/>
      <w:suff w:val="nothing"/>
      <w:lvlText w:val=""/>
      <w:lvlJc w:val="left"/>
      <w:pPr>
        <w:ind w:left="3240" w:hanging="360"/>
      </w:pPr>
      <w:rPr>
        <w:rFonts w:hint="default"/>
      </w:rPr>
    </w:lvl>
    <w:lvl w:ilvl="6">
      <w:start w:val="1"/>
      <w:numFmt w:val="none"/>
      <w:suff w:val="nothing"/>
      <w:lvlText w:val=""/>
      <w:lvlJc w:val="left"/>
      <w:pPr>
        <w:ind w:left="3600" w:hanging="360"/>
      </w:pPr>
      <w:rPr>
        <w:rFonts w:hint="default"/>
      </w:rPr>
    </w:lvl>
    <w:lvl w:ilvl="7">
      <w:start w:val="1"/>
      <w:numFmt w:val="none"/>
      <w:suff w:val="nothing"/>
      <w:lvlText w:val=""/>
      <w:lvlJc w:val="left"/>
      <w:pPr>
        <w:ind w:left="3960" w:hanging="360"/>
      </w:pPr>
      <w:rPr>
        <w:rFonts w:hint="default"/>
      </w:rPr>
    </w:lvl>
    <w:lvl w:ilvl="8">
      <w:start w:val="1"/>
      <w:numFmt w:val="none"/>
      <w:suff w:val="nothing"/>
      <w:lvlText w:val=""/>
      <w:lvlJc w:val="left"/>
      <w:pPr>
        <w:ind w:left="4320" w:hanging="360"/>
      </w:pPr>
      <w:rPr>
        <w:rFonts w:hint="default"/>
      </w:rPr>
    </w:lvl>
  </w:abstractNum>
  <w:abstractNum w:abstractNumId="2" w15:restartNumberingAfterBreak="0">
    <w:nsid w:val="118F4275"/>
    <w:multiLevelType w:val="hybridMultilevel"/>
    <w:tmpl w:val="6E82F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F524B"/>
    <w:multiLevelType w:val="hybridMultilevel"/>
    <w:tmpl w:val="76E6E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5744C"/>
    <w:multiLevelType w:val="multilevel"/>
    <w:tmpl w:val="A28EC53E"/>
    <w:styleLink w:val="ListHeadings"/>
    <w:lvl w:ilvl="0">
      <w:start w:val="1"/>
      <w:numFmt w:val="decimal"/>
      <w:pStyle w:val="Numberheading"/>
      <w:lvlText w:val="%1."/>
      <w:lvlJc w:val="left"/>
      <w:pPr>
        <w:ind w:left="624" w:hanging="624"/>
      </w:pPr>
      <w:rPr>
        <w:rFonts w:hint="default"/>
      </w:rPr>
    </w:lvl>
    <w:lvl w:ilvl="1">
      <w:start w:val="1"/>
      <w:numFmt w:val="decimal"/>
      <w:pStyle w:val="Numberbodytext1"/>
      <w:lvlText w:val="%1.%2"/>
      <w:lvlJc w:val="left"/>
      <w:pPr>
        <w:ind w:left="624" w:hanging="624"/>
      </w:pPr>
      <w:rPr>
        <w:rFonts w:hint="default"/>
      </w:rPr>
    </w:lvl>
    <w:lvl w:ilvl="2">
      <w:start w:val="1"/>
      <w:numFmt w:val="decimal"/>
      <w:pStyle w:val="Numberbodytext2"/>
      <w:lvlText w:val="%1.%2.%3"/>
      <w:lvlJc w:val="left"/>
      <w:pPr>
        <w:ind w:left="624" w:hanging="624"/>
      </w:pPr>
      <w:rPr>
        <w:rFonts w:hint="default"/>
      </w:rPr>
    </w:lvl>
    <w:lvl w:ilvl="3">
      <w:start w:val="1"/>
      <w:numFmt w:val="none"/>
      <w:lvlText w:val=""/>
      <w:lvlJc w:val="left"/>
      <w:pPr>
        <w:ind w:left="624" w:hanging="624"/>
      </w:pPr>
      <w:rPr>
        <w:rFonts w:hint="default"/>
      </w:rPr>
    </w:lvl>
    <w:lvl w:ilvl="4">
      <w:start w:val="1"/>
      <w:numFmt w:val="none"/>
      <w:lvlText w:val=""/>
      <w:lvlJc w:val="left"/>
      <w:pPr>
        <w:ind w:left="624" w:hanging="624"/>
      </w:pPr>
      <w:rPr>
        <w:rFonts w:hint="default"/>
      </w:rPr>
    </w:lvl>
    <w:lvl w:ilvl="5">
      <w:start w:val="1"/>
      <w:numFmt w:val="none"/>
      <w:lvlText w:val=""/>
      <w:lvlJc w:val="left"/>
      <w:pPr>
        <w:ind w:left="624" w:hanging="624"/>
      </w:pPr>
      <w:rPr>
        <w:rFonts w:hint="default"/>
      </w:rPr>
    </w:lvl>
    <w:lvl w:ilvl="6">
      <w:start w:val="1"/>
      <w:numFmt w:val="none"/>
      <w:lvlText w:val=""/>
      <w:lvlJc w:val="left"/>
      <w:pPr>
        <w:ind w:left="624" w:hanging="624"/>
      </w:pPr>
      <w:rPr>
        <w:rFonts w:hint="default"/>
      </w:rPr>
    </w:lvl>
    <w:lvl w:ilvl="7">
      <w:start w:val="1"/>
      <w:numFmt w:val="none"/>
      <w:lvlText w:val=""/>
      <w:lvlJc w:val="left"/>
      <w:pPr>
        <w:ind w:left="624" w:hanging="624"/>
      </w:pPr>
      <w:rPr>
        <w:rFonts w:hint="default"/>
      </w:rPr>
    </w:lvl>
    <w:lvl w:ilvl="8">
      <w:start w:val="1"/>
      <w:numFmt w:val="none"/>
      <w:lvlText w:val=""/>
      <w:lvlJc w:val="left"/>
      <w:pPr>
        <w:ind w:left="624" w:hanging="624"/>
      </w:pPr>
      <w:rPr>
        <w:rFonts w:hint="default"/>
      </w:rPr>
    </w:lvl>
  </w:abstractNum>
  <w:abstractNum w:abstractNumId="5" w15:restartNumberingAfterBreak="0">
    <w:nsid w:val="171241B3"/>
    <w:multiLevelType w:val="hybridMultilevel"/>
    <w:tmpl w:val="83921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F41EA"/>
    <w:multiLevelType w:val="hybridMultilevel"/>
    <w:tmpl w:val="002A8766"/>
    <w:lvl w:ilvl="0" w:tplc="08090017">
      <w:start w:val="1"/>
      <w:numFmt w:val="lowerLetter"/>
      <w:lvlText w:val="%1)"/>
      <w:lvlJc w:val="left"/>
      <w:pPr>
        <w:ind w:left="1400" w:hanging="360"/>
      </w:pPr>
      <w:rPr>
        <w:rFonts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7" w15:restartNumberingAfterBreak="0">
    <w:nsid w:val="1AAA2392"/>
    <w:multiLevelType w:val="hybridMultilevel"/>
    <w:tmpl w:val="7DDA768C"/>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8" w15:restartNumberingAfterBreak="0">
    <w:nsid w:val="1AAF6F1F"/>
    <w:multiLevelType w:val="hybridMultilevel"/>
    <w:tmpl w:val="9AE6D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3E4426"/>
    <w:multiLevelType w:val="multilevel"/>
    <w:tmpl w:val="6DDC093C"/>
    <w:styleLink w:val="ListNumbers"/>
    <w:lvl w:ilvl="0">
      <w:start w:val="1"/>
      <w:numFmt w:val="lowerLetter"/>
      <w:lvlText w:val="%1)"/>
      <w:lvlJc w:val="left"/>
      <w:pPr>
        <w:ind w:left="1021" w:hanging="397"/>
      </w:pPr>
      <w:rPr>
        <w:rFonts w:hint="default"/>
      </w:rPr>
    </w:lvl>
    <w:lvl w:ilvl="1">
      <w:start w:val="1"/>
      <w:numFmt w:val="lowerRoman"/>
      <w:lvlText w:val="%2)"/>
      <w:lvlJc w:val="left"/>
      <w:pPr>
        <w:ind w:left="1418" w:hanging="397"/>
      </w:pPr>
      <w:rPr>
        <w:rFonts w:hint="default"/>
      </w:rPr>
    </w:lvl>
    <w:lvl w:ilvl="2">
      <w:start w:val="1"/>
      <w:numFmt w:val="none"/>
      <w:lvlText w:val=""/>
      <w:lvlJc w:val="left"/>
      <w:pPr>
        <w:tabs>
          <w:tab w:val="num" w:pos="1418"/>
        </w:tabs>
        <w:ind w:left="1815" w:hanging="397"/>
      </w:pPr>
      <w:rPr>
        <w:rFonts w:hint="default"/>
      </w:rPr>
    </w:lvl>
    <w:lvl w:ilvl="3">
      <w:start w:val="1"/>
      <w:numFmt w:val="none"/>
      <w:lvlText w:val=""/>
      <w:lvlJc w:val="left"/>
      <w:pPr>
        <w:tabs>
          <w:tab w:val="num" w:pos="1815"/>
        </w:tabs>
        <w:ind w:left="2212" w:hanging="397"/>
      </w:pPr>
      <w:rPr>
        <w:rFonts w:hint="default"/>
      </w:rPr>
    </w:lvl>
    <w:lvl w:ilvl="4">
      <w:start w:val="1"/>
      <w:numFmt w:val="none"/>
      <w:lvlText w:val=""/>
      <w:lvlJc w:val="left"/>
      <w:pPr>
        <w:tabs>
          <w:tab w:val="num" w:pos="2212"/>
        </w:tabs>
        <w:ind w:left="2609" w:hanging="397"/>
      </w:pPr>
      <w:rPr>
        <w:rFonts w:hint="default"/>
      </w:rPr>
    </w:lvl>
    <w:lvl w:ilvl="5">
      <w:start w:val="1"/>
      <w:numFmt w:val="none"/>
      <w:lvlText w:val=""/>
      <w:lvlJc w:val="left"/>
      <w:pPr>
        <w:tabs>
          <w:tab w:val="num" w:pos="2609"/>
        </w:tabs>
        <w:ind w:left="3006" w:hanging="397"/>
      </w:pPr>
      <w:rPr>
        <w:rFonts w:hint="default"/>
      </w:rPr>
    </w:lvl>
    <w:lvl w:ilvl="6">
      <w:start w:val="1"/>
      <w:numFmt w:val="none"/>
      <w:lvlText w:val=""/>
      <w:lvlJc w:val="left"/>
      <w:pPr>
        <w:tabs>
          <w:tab w:val="num" w:pos="3006"/>
        </w:tabs>
        <w:ind w:left="3403" w:hanging="397"/>
      </w:pPr>
      <w:rPr>
        <w:rFonts w:hint="default"/>
      </w:rPr>
    </w:lvl>
    <w:lvl w:ilvl="7">
      <w:start w:val="1"/>
      <w:numFmt w:val="none"/>
      <w:lvlText w:val=""/>
      <w:lvlJc w:val="left"/>
      <w:pPr>
        <w:tabs>
          <w:tab w:val="num" w:pos="3403"/>
        </w:tabs>
        <w:ind w:left="3800" w:hanging="397"/>
      </w:pPr>
      <w:rPr>
        <w:rFonts w:hint="default"/>
      </w:rPr>
    </w:lvl>
    <w:lvl w:ilvl="8">
      <w:start w:val="1"/>
      <w:numFmt w:val="none"/>
      <w:lvlText w:val=""/>
      <w:lvlJc w:val="left"/>
      <w:pPr>
        <w:tabs>
          <w:tab w:val="num" w:pos="3800"/>
        </w:tabs>
        <w:ind w:left="4197" w:hanging="397"/>
      </w:pPr>
      <w:rPr>
        <w:rFonts w:hint="default"/>
      </w:rPr>
    </w:lvl>
  </w:abstractNum>
  <w:abstractNum w:abstractNumId="10" w15:restartNumberingAfterBreak="0">
    <w:nsid w:val="241B5A0A"/>
    <w:multiLevelType w:val="multilevel"/>
    <w:tmpl w:val="306050A2"/>
    <w:lvl w:ilvl="0">
      <w:start w:val="1"/>
      <w:numFmt w:val="bullet"/>
      <w:lvlText w:val=""/>
      <w:lvlJc w:val="left"/>
      <w:pPr>
        <w:ind w:left="567" w:hanging="567"/>
      </w:pPr>
      <w:rPr>
        <w:rFonts w:ascii="Wingdings" w:hAnsi="Wingdings" w:hint="default"/>
        <w:sz w:val="16"/>
        <w:u w:color="00008B" w:themeColor="text1"/>
      </w:rPr>
    </w:lvl>
    <w:lvl w:ilvl="1">
      <w:start w:val="1"/>
      <w:numFmt w:val="bullet"/>
      <w:lvlText w:val=""/>
      <w:lvlJc w:val="left"/>
      <w:pPr>
        <w:ind w:left="794" w:hanging="227"/>
      </w:pPr>
      <w:rPr>
        <w:rFonts w:ascii="Symbol" w:hAnsi="Symbol" w:hint="default"/>
        <w:color w:val="00008B" w:themeColor="text1"/>
      </w:rPr>
    </w:lvl>
    <w:lvl w:ilvl="2">
      <w:start w:val="1"/>
      <w:numFmt w:val="bullet"/>
      <w:lvlText w:val=""/>
      <w:lvlJc w:val="left"/>
      <w:pPr>
        <w:tabs>
          <w:tab w:val="num" w:pos="4536"/>
        </w:tabs>
        <w:ind w:left="1134" w:hanging="340"/>
      </w:pPr>
      <w:rPr>
        <w:rFonts w:ascii="Wingdings" w:hAnsi="Wingdings" w:hint="default"/>
      </w:rPr>
    </w:lvl>
    <w:lvl w:ilvl="3">
      <w:start w:val="1"/>
      <w:numFmt w:val="bullet"/>
      <w:lvlText w:val=""/>
      <w:lvlJc w:val="left"/>
      <w:pPr>
        <w:ind w:left="1247" w:hanging="226"/>
      </w:pPr>
      <w:rPr>
        <w:rFonts w:ascii="Symbol" w:hAnsi="Symbol" w:hint="default"/>
      </w:rPr>
    </w:lvl>
    <w:lvl w:ilvl="4">
      <w:start w:val="1"/>
      <w:numFmt w:val="none"/>
      <w:pStyle w:val="ListBullet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1" w15:restartNumberingAfterBreak="0">
    <w:nsid w:val="262335FB"/>
    <w:multiLevelType w:val="multilevel"/>
    <w:tmpl w:val="B8B2325C"/>
    <w:lvl w:ilvl="0">
      <w:start w:val="1"/>
      <w:numFmt w:val="decimal"/>
      <w:lvlText w:val="%1."/>
      <w:lvlJc w:val="left"/>
      <w:pPr>
        <w:tabs>
          <w:tab w:val="num" w:pos="680"/>
        </w:tabs>
        <w:ind w:left="680" w:hanging="680"/>
      </w:pPr>
      <w:rPr>
        <w:rFonts w:asciiTheme="majorHAnsi" w:hAnsiTheme="majorHAnsi" w:hint="default"/>
        <w:b/>
        <w:i w:val="0"/>
        <w:color w:val="00008B" w:themeColor="text1"/>
        <w:sz w:val="18"/>
      </w:rPr>
    </w:lvl>
    <w:lvl w:ilvl="1">
      <w:start w:val="1"/>
      <w:numFmt w:val="decimal"/>
      <w:lvlText w:val="%1.%2"/>
      <w:lvlJc w:val="left"/>
      <w:pPr>
        <w:tabs>
          <w:tab w:val="num" w:pos="680"/>
        </w:tabs>
        <w:ind w:left="680" w:hanging="680"/>
      </w:pPr>
      <w:rPr>
        <w:rFonts w:asciiTheme="majorHAnsi" w:hAnsiTheme="majorHAnsi" w:hint="default"/>
        <w:b w:val="0"/>
        <w:i w:val="0"/>
        <w:sz w:val="18"/>
      </w:rPr>
    </w:lvl>
    <w:lvl w:ilvl="2">
      <w:start w:val="1"/>
      <w:numFmt w:val="lowerLetter"/>
      <w:pStyle w:val="ListNumber3"/>
      <w:lvlText w:val="%3)"/>
      <w:lvlJc w:val="left"/>
      <w:pPr>
        <w:tabs>
          <w:tab w:val="num" w:pos="1077"/>
        </w:tabs>
        <w:ind w:left="1080" w:hanging="400"/>
      </w:pPr>
      <w:rPr>
        <w:rFonts w:asciiTheme="majorHAnsi" w:hAnsiTheme="majorHAnsi" w:hint="default"/>
        <w:b w:val="0"/>
        <w:i w:val="0"/>
        <w:sz w:val="18"/>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2C295A57"/>
    <w:multiLevelType w:val="hybridMultilevel"/>
    <w:tmpl w:val="1E864B5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3" w15:restartNumberingAfterBreak="0">
    <w:nsid w:val="326B7D33"/>
    <w:multiLevelType w:val="multilevel"/>
    <w:tmpl w:val="BC16332A"/>
    <w:lvl w:ilvl="0">
      <w:start w:val="1"/>
      <w:numFmt w:val="decimal"/>
      <w:pStyle w:val="List"/>
      <w:lvlText w:val="%1."/>
      <w:lvlJc w:val="left"/>
      <w:pPr>
        <w:ind w:left="454" w:hanging="454"/>
      </w:pPr>
      <w:rPr>
        <w:rFonts w:asciiTheme="majorHAnsi" w:hAnsiTheme="majorHAnsi" w:cs="Times New Roman" w:hint="default"/>
        <w:b/>
        <w:i w:val="0"/>
        <w:color w:val="00008B" w:themeColor="text1"/>
        <w:sz w:val="20"/>
      </w:rPr>
    </w:lvl>
    <w:lvl w:ilvl="1">
      <w:start w:val="1"/>
      <w:numFmt w:val="decimal"/>
      <w:pStyle w:val="List2"/>
      <w:lvlText w:val="%1.%2"/>
      <w:lvlJc w:val="left"/>
      <w:pPr>
        <w:ind w:left="454" w:hanging="454"/>
      </w:pPr>
      <w:rPr>
        <w:rFonts w:asciiTheme="majorHAnsi" w:hAnsiTheme="majorHAnsi" w:cs="Times New Roman" w:hint="default"/>
        <w:b w:val="0"/>
        <w:i w:val="0"/>
        <w:sz w:val="20"/>
      </w:rPr>
    </w:lvl>
    <w:lvl w:ilvl="2">
      <w:start w:val="1"/>
      <w:numFmt w:val="decimal"/>
      <w:pStyle w:val="List3"/>
      <w:lvlText w:val="%1.%2.%3"/>
      <w:lvlJc w:val="left"/>
      <w:pPr>
        <w:ind w:left="454" w:hanging="454"/>
      </w:pPr>
      <w:rPr>
        <w:rFonts w:asciiTheme="majorHAnsi" w:hAnsiTheme="majorHAnsi" w:cs="Times New Roman" w:hint="default"/>
        <w:b w:val="0"/>
        <w:i w:val="0"/>
        <w:sz w:val="20"/>
      </w:rPr>
    </w:lvl>
    <w:lvl w:ilvl="3">
      <w:start w:val="1"/>
      <w:numFmt w:val="lowerLetter"/>
      <w:pStyle w:val="List4"/>
      <w:lvlText w:val="%4)"/>
      <w:lvlJc w:val="left"/>
      <w:pPr>
        <w:ind w:left="680" w:hanging="226"/>
      </w:pPr>
      <w:rPr>
        <w:rFonts w:asciiTheme="majorHAnsi" w:hAnsiTheme="majorHAnsi" w:cs="Times New Roman" w:hint="default"/>
      </w:rPr>
    </w:lvl>
    <w:lvl w:ilvl="4">
      <w:start w:val="1"/>
      <w:numFmt w:val="lowerRoman"/>
      <w:pStyle w:val="ListNumber5"/>
      <w:lvlText w:val="%5"/>
      <w:lvlJc w:val="left"/>
      <w:pPr>
        <w:ind w:left="680" w:hanging="226"/>
      </w:pPr>
      <w:rPr>
        <w:rFonts w:asciiTheme="majorHAnsi" w:hAnsiTheme="majorHAnsi" w:cs="Times New Roman" w:hint="default"/>
      </w:rPr>
    </w:lvl>
    <w:lvl w:ilvl="5">
      <w:start w:val="1"/>
      <w:numFmt w:val="none"/>
      <w:suff w:val="nothing"/>
      <w:lvlText w:val=""/>
      <w:lvlJc w:val="left"/>
      <w:pPr>
        <w:ind w:left="6120" w:hanging="360"/>
      </w:pPr>
      <w:rPr>
        <w:rFonts w:hint="default"/>
      </w:rPr>
    </w:lvl>
    <w:lvl w:ilvl="6">
      <w:start w:val="1"/>
      <w:numFmt w:val="none"/>
      <w:suff w:val="nothing"/>
      <w:lvlText w:val=""/>
      <w:lvlJc w:val="left"/>
      <w:pPr>
        <w:ind w:left="6480" w:hanging="360"/>
      </w:pPr>
      <w:rPr>
        <w:rFonts w:hint="default"/>
      </w:rPr>
    </w:lvl>
    <w:lvl w:ilvl="7">
      <w:start w:val="1"/>
      <w:numFmt w:val="none"/>
      <w:suff w:val="nothing"/>
      <w:lvlText w:val=""/>
      <w:lvlJc w:val="left"/>
      <w:pPr>
        <w:ind w:left="6840" w:hanging="360"/>
      </w:pPr>
      <w:rPr>
        <w:rFonts w:hint="default"/>
      </w:rPr>
    </w:lvl>
    <w:lvl w:ilvl="8">
      <w:start w:val="1"/>
      <w:numFmt w:val="none"/>
      <w:suff w:val="nothing"/>
      <w:lvlText w:val=""/>
      <w:lvlJc w:val="left"/>
      <w:pPr>
        <w:ind w:left="7200" w:hanging="360"/>
      </w:pPr>
      <w:rPr>
        <w:rFonts w:hint="default"/>
      </w:rPr>
    </w:lvl>
  </w:abstractNum>
  <w:abstractNum w:abstractNumId="14" w15:restartNumberingAfterBreak="0">
    <w:nsid w:val="33E92D5A"/>
    <w:multiLevelType w:val="hybridMultilevel"/>
    <w:tmpl w:val="BFD6E66A"/>
    <w:lvl w:ilvl="0" w:tplc="08090001">
      <w:start w:val="1"/>
      <w:numFmt w:val="bullet"/>
      <w:lvlText w:val=""/>
      <w:lvlJc w:val="left"/>
      <w:pPr>
        <w:ind w:left="720" w:hanging="360"/>
      </w:pPr>
      <w:rPr>
        <w:rFonts w:ascii="Symbol" w:hAnsi="Symbo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71C09"/>
    <w:multiLevelType w:val="hybridMultilevel"/>
    <w:tmpl w:val="83DC2694"/>
    <w:lvl w:ilvl="0" w:tplc="5ABE9FA2">
      <w:numFmt w:val="bullet"/>
      <w:lvlText w:val="-"/>
      <w:lvlJc w:val="left"/>
      <w:pPr>
        <w:ind w:left="720" w:hanging="360"/>
      </w:pPr>
      <w:rPr>
        <w:rFonts w:ascii="Arial" w:eastAsiaTheme="minorHAnsi" w:hAnsi="Arial" w:cs="Arial" w:hint="default"/>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225E17"/>
    <w:multiLevelType w:val="multilevel"/>
    <w:tmpl w:val="A28EC53E"/>
    <w:numStyleLink w:val="ListHeadings"/>
  </w:abstractNum>
  <w:abstractNum w:abstractNumId="17" w15:restartNumberingAfterBreak="0">
    <w:nsid w:val="4165090F"/>
    <w:multiLevelType w:val="hybridMultilevel"/>
    <w:tmpl w:val="8D5A401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8" w15:restartNumberingAfterBreak="0">
    <w:nsid w:val="6FC65C73"/>
    <w:multiLevelType w:val="hybridMultilevel"/>
    <w:tmpl w:val="DEF61E92"/>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9" w15:restartNumberingAfterBreak="0">
    <w:nsid w:val="766268CE"/>
    <w:multiLevelType w:val="multilevel"/>
    <w:tmpl w:val="C04A5BAC"/>
    <w:lvl w:ilvl="0">
      <w:start w:val="1"/>
      <w:numFmt w:val="none"/>
      <w:lvlText w:val="%1"/>
      <w:lvlJc w:val="left"/>
      <w:pPr>
        <w:ind w:left="284" w:hanging="284"/>
      </w:pPr>
      <w:rPr>
        <w:rFonts w:ascii="Arial" w:hAnsi="Arial" w:hint="default"/>
        <w:b/>
        <w:i w:val="0"/>
        <w:sz w:val="17"/>
      </w:rPr>
    </w:lvl>
    <w:lvl w:ilvl="1">
      <w:start w:val="2"/>
      <w:numFmt w:val="decimal"/>
      <w:lvlRestart w:val="0"/>
      <w:pStyle w:val="ElexonNumberedTableText"/>
      <w:lvlText w:val="%2."/>
      <w:lvlJc w:val="left"/>
      <w:pPr>
        <w:ind w:left="284" w:hanging="284"/>
      </w:pPr>
      <w:rPr>
        <w:rFonts w:asciiTheme="minorHAnsi" w:hAnsiTheme="minorHAnsi" w:hint="default"/>
        <w:b/>
        <w:i w:val="0"/>
        <w:sz w:val="17"/>
      </w:rPr>
    </w:lvl>
    <w:lvl w:ilvl="2">
      <w:start w:val="1"/>
      <w:numFmt w:val="lowerRoman"/>
      <w:lvlText w:val="%3."/>
      <w:lvlJc w:val="righ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righ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right"/>
      <w:pPr>
        <w:ind w:left="284" w:hanging="284"/>
      </w:pPr>
      <w:rPr>
        <w:rFonts w:hint="default"/>
      </w:rPr>
    </w:lvl>
  </w:abstractNum>
  <w:abstractNum w:abstractNumId="20" w15:restartNumberingAfterBreak="0">
    <w:nsid w:val="773C0D54"/>
    <w:multiLevelType w:val="multilevel"/>
    <w:tmpl w:val="394679FC"/>
    <w:lvl w:ilvl="0">
      <w:start w:val="1"/>
      <w:numFmt w:val="bullet"/>
      <w:pStyle w:val="ListBullet"/>
      <w:lvlText w:val=""/>
      <w:lvlJc w:val="left"/>
      <w:pPr>
        <w:ind w:left="680" w:hanging="680"/>
      </w:pPr>
      <w:rPr>
        <w:rFonts w:ascii="Wingdings" w:hAnsi="Wingdings" w:hint="default"/>
        <w:color w:val="00008B" w:themeColor="text1"/>
        <w:sz w:val="16"/>
        <w:u w:color="00008B" w:themeColor="text1"/>
      </w:rPr>
    </w:lvl>
    <w:lvl w:ilvl="1">
      <w:start w:val="1"/>
      <w:numFmt w:val="bullet"/>
      <w:pStyle w:val="ListBullet2"/>
      <w:lvlText w:val=""/>
      <w:lvlJc w:val="left"/>
      <w:pPr>
        <w:ind w:left="907" w:hanging="227"/>
      </w:pPr>
      <w:rPr>
        <w:rFonts w:ascii="Symbol" w:hAnsi="Symbol" w:hint="default"/>
        <w:color w:val="00008B" w:themeColor="text1"/>
      </w:rPr>
    </w:lvl>
    <w:lvl w:ilvl="2">
      <w:start w:val="1"/>
      <w:numFmt w:val="bullet"/>
      <w:pStyle w:val="ListBullet3"/>
      <w:lvlText w:val=""/>
      <w:lvlJc w:val="left"/>
      <w:pPr>
        <w:ind w:left="1134" w:hanging="227"/>
      </w:pPr>
      <w:rPr>
        <w:rFonts w:ascii="Wingdings" w:hAnsi="Wingdings" w:hint="default"/>
      </w:rPr>
    </w:lvl>
    <w:lvl w:ilvl="3">
      <w:start w:val="1"/>
      <w:numFmt w:val="bullet"/>
      <w:pStyle w:val="ListBullet4"/>
      <w:lvlText w:val=""/>
      <w:lvlJc w:val="left"/>
      <w:pPr>
        <w:tabs>
          <w:tab w:val="num" w:pos="4536"/>
        </w:tabs>
        <w:ind w:left="1361" w:hanging="227"/>
      </w:pPr>
      <w:rPr>
        <w:rFonts w:ascii="Symbol" w:hAnsi="Symbol"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1" w15:restartNumberingAfterBreak="0">
    <w:nsid w:val="7AFB443E"/>
    <w:multiLevelType w:val="hybridMultilevel"/>
    <w:tmpl w:val="88FC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6"/>
  </w:num>
  <w:num w:numId="4">
    <w:abstractNumId w:val="1"/>
  </w:num>
  <w:num w:numId="5">
    <w:abstractNumId w:val="19"/>
  </w:num>
  <w:num w:numId="6">
    <w:abstractNumId w:val="20"/>
  </w:num>
  <w:num w:numId="7">
    <w:abstractNumId w:val="10"/>
  </w:num>
  <w:num w:numId="8">
    <w:abstractNumId w:val="0"/>
  </w:num>
  <w:num w:numId="9">
    <w:abstractNumId w:val="11"/>
  </w:num>
  <w:num w:numId="10">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1">
    <w:abstractNumId w:val="6"/>
  </w:num>
  <w:num w:numId="12">
    <w:abstractNumId w:val="2"/>
  </w:num>
  <w:num w:numId="13">
    <w:abstractNumId w:val="5"/>
  </w:num>
  <w:num w:numId="14">
    <w:abstractNumId w:val="12"/>
  </w:num>
  <w:num w:numId="15">
    <w:abstractNumId w:val="18"/>
  </w:num>
  <w:num w:numId="16">
    <w:abstractNumId w:val="7"/>
  </w:num>
  <w:num w:numId="17">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18">
    <w:abstractNumId w:val="8"/>
  </w:num>
  <w:num w:numId="19">
    <w:abstractNumId w:val="3"/>
  </w:num>
  <w:num w:numId="20">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1">
    <w:abstractNumId w:val="17"/>
  </w:num>
  <w:num w:numId="22">
    <w:abstractNumId w:val="13"/>
    <w:lvlOverride w:ilvl="0">
      <w:startOverride w:val="5"/>
      <w:lvl w:ilvl="0">
        <w:start w:val="5"/>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startOverride w:val="4"/>
      <w:lvl w:ilvl="1">
        <w:start w:val="4"/>
        <w:numFmt w:val="decimal"/>
        <w:pStyle w:val="List2"/>
        <w:lvlText w:val="%1.%2"/>
        <w:lvlJc w:val="left"/>
        <w:pPr>
          <w:ind w:left="680" w:hanging="680"/>
        </w:pPr>
        <w:rPr>
          <w:rFonts w:asciiTheme="majorHAnsi" w:hAnsiTheme="majorHAnsi" w:cs="Times New Roman" w:hint="default"/>
          <w:b w:val="0"/>
          <w:i w:val="0"/>
          <w:sz w:val="20"/>
        </w:rPr>
      </w:lvl>
    </w:lvlOverride>
  </w:num>
  <w:num w:numId="23">
    <w:abstractNumId w:val="13"/>
    <w:lvlOverride w:ilvl="0">
      <w:lvl w:ilvl="0">
        <w:start w:val="7"/>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454" w:hanging="454"/>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680" w:hanging="226"/>
        </w:pPr>
        <w:rPr>
          <w:rFonts w:asciiTheme="majorHAnsi" w:hAnsiTheme="majorHAnsi" w:cs="Times New Roman" w:hint="default"/>
        </w:rPr>
      </w:lvl>
    </w:lvlOverride>
    <w:lvlOverride w:ilvl="4">
      <w:lvl w:ilvl="4">
        <w:start w:val="1"/>
        <w:numFmt w:val="lowerRoman"/>
        <w:pStyle w:val="ListNumber5"/>
        <w:lvlText w:val="%5"/>
        <w:lvlJc w:val="left"/>
        <w:pPr>
          <w:ind w:left="680" w:hanging="226"/>
        </w:pPr>
        <w:rPr>
          <w:rFonts w:asciiTheme="majorHAnsi" w:hAnsiTheme="majorHAnsi" w:cs="Times New Roman" w:hint="default"/>
        </w:rPr>
      </w:lvl>
    </w:lvlOverride>
    <w:lvlOverride w:ilvl="5">
      <w:lvl w:ilvl="5">
        <w:start w:val="1"/>
        <w:numFmt w:val="none"/>
        <w:suff w:val="nothing"/>
        <w:lvlText w:val=""/>
        <w:lvlJc w:val="left"/>
        <w:pPr>
          <w:ind w:left="6120" w:hanging="360"/>
        </w:pPr>
        <w:rPr>
          <w:rFonts w:hint="default"/>
        </w:rPr>
      </w:lvl>
    </w:lvlOverride>
    <w:lvlOverride w:ilvl="6">
      <w:lvl w:ilvl="6">
        <w:start w:val="1"/>
        <w:numFmt w:val="none"/>
        <w:suff w:val="nothing"/>
        <w:lvlText w:val=""/>
        <w:lvlJc w:val="left"/>
        <w:pPr>
          <w:ind w:left="6480" w:hanging="360"/>
        </w:pPr>
        <w:rPr>
          <w:rFonts w:hint="default"/>
        </w:rPr>
      </w:lvl>
    </w:lvlOverride>
    <w:lvlOverride w:ilvl="7">
      <w:lvl w:ilvl="7">
        <w:start w:val="1"/>
        <w:numFmt w:val="none"/>
        <w:suff w:val="nothing"/>
        <w:lvlText w:val=""/>
        <w:lvlJc w:val="left"/>
        <w:pPr>
          <w:ind w:left="6840" w:hanging="360"/>
        </w:pPr>
        <w:rPr>
          <w:rFonts w:hint="default"/>
        </w:rPr>
      </w:lvl>
    </w:lvlOverride>
    <w:lvlOverride w:ilvl="8">
      <w:lvl w:ilvl="8">
        <w:start w:val="1"/>
        <w:numFmt w:val="none"/>
        <w:suff w:val="nothing"/>
        <w:lvlText w:val=""/>
        <w:lvlJc w:val="left"/>
        <w:pPr>
          <w:ind w:left="7200" w:hanging="360"/>
        </w:pPr>
        <w:rPr>
          <w:rFonts w:hint="default"/>
        </w:rPr>
      </w:lvl>
    </w:lvlOverride>
  </w:num>
  <w:num w:numId="24">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5">
    <w:abstractNumId w:val="21"/>
  </w:num>
  <w:num w:numId="26">
    <w:abstractNumId w:val="15"/>
  </w:num>
  <w:num w:numId="27">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8">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29">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0">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1">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2">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3">
    <w:abstractNumId w:val="14"/>
  </w:num>
  <w:num w:numId="34">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5">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6">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7">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8">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39">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 w:numId="40">
    <w:abstractNumId w:val="13"/>
    <w:lvlOverride w:ilvl="0">
      <w:lvl w:ilvl="0">
        <w:start w:val="1"/>
        <w:numFmt w:val="decimal"/>
        <w:pStyle w:val="List"/>
        <w:lvlText w:val="%1."/>
        <w:lvlJc w:val="left"/>
        <w:pPr>
          <w:ind w:left="680" w:hanging="680"/>
        </w:pPr>
        <w:rPr>
          <w:rFonts w:asciiTheme="majorHAnsi" w:hAnsiTheme="majorHAnsi" w:cs="Times New Roman" w:hint="default"/>
          <w:b/>
          <w:i w:val="0"/>
          <w:color w:val="00008B" w:themeColor="text1"/>
          <w:sz w:val="20"/>
        </w:rPr>
      </w:lvl>
    </w:lvlOverride>
    <w:lvlOverride w:ilvl="1">
      <w:lvl w:ilvl="1">
        <w:start w:val="1"/>
        <w:numFmt w:val="decimal"/>
        <w:pStyle w:val="List2"/>
        <w:lvlText w:val="%1.%2"/>
        <w:lvlJc w:val="left"/>
        <w:pPr>
          <w:ind w:left="680" w:hanging="680"/>
        </w:pPr>
        <w:rPr>
          <w:rFonts w:asciiTheme="majorHAnsi" w:hAnsiTheme="majorHAnsi" w:cs="Times New Roman" w:hint="default"/>
          <w:b w:val="0"/>
          <w:i w:val="0"/>
          <w:sz w:val="20"/>
        </w:rPr>
      </w:lvl>
    </w:lvlOverride>
    <w:lvlOverride w:ilvl="2">
      <w:lvl w:ilvl="2">
        <w:start w:val="1"/>
        <w:numFmt w:val="decimal"/>
        <w:pStyle w:val="List3"/>
        <w:lvlText w:val="%1.%2.%3"/>
        <w:lvlJc w:val="left"/>
        <w:pPr>
          <w:ind w:left="680" w:hanging="680"/>
        </w:pPr>
        <w:rPr>
          <w:rFonts w:asciiTheme="majorHAnsi" w:hAnsiTheme="majorHAnsi" w:cs="Times New Roman" w:hint="default"/>
          <w:b w:val="0"/>
          <w:i w:val="0"/>
          <w:sz w:val="20"/>
        </w:rPr>
      </w:lvl>
    </w:lvlOverride>
    <w:lvlOverride w:ilvl="3">
      <w:lvl w:ilvl="3">
        <w:start w:val="1"/>
        <w:numFmt w:val="lowerLetter"/>
        <w:pStyle w:val="List4"/>
        <w:lvlText w:val="%4)"/>
        <w:lvlJc w:val="left"/>
        <w:pPr>
          <w:ind w:left="907" w:hanging="227"/>
        </w:pPr>
        <w:rPr>
          <w:rFonts w:asciiTheme="majorHAnsi" w:hAnsiTheme="majorHAnsi" w:cs="Times New Roman" w:hint="default"/>
        </w:rPr>
      </w:lvl>
    </w:lvlOverride>
    <w:lvlOverride w:ilvl="4">
      <w:lvl w:ilvl="4">
        <w:start w:val="1"/>
        <w:numFmt w:val="lowerRoman"/>
        <w:pStyle w:val="ListNumber5"/>
        <w:lvlText w:val="%5"/>
        <w:lvlJc w:val="left"/>
        <w:pPr>
          <w:ind w:left="907" w:hanging="227"/>
        </w:pPr>
        <w:rPr>
          <w:rFonts w:asciiTheme="majorHAnsi" w:hAnsiTheme="majorHAnsi" w:cs="Times New Roman" w:hint="default"/>
        </w:rPr>
      </w:lvl>
    </w:lvlOverride>
    <w:lvlOverride w:ilvl="5">
      <w:lvl w:ilvl="5">
        <w:start w:val="1"/>
        <w:numFmt w:val="none"/>
        <w:suff w:val="nothing"/>
        <w:lvlText w:val=""/>
        <w:lvlJc w:val="left"/>
        <w:pPr>
          <w:ind w:left="907" w:hanging="227"/>
        </w:pPr>
        <w:rPr>
          <w:rFonts w:asciiTheme="majorHAnsi" w:hAnsiTheme="majorHAnsi" w:hint="default"/>
          <w:color w:val="00008B" w:themeColor="text1"/>
        </w:rPr>
      </w:lvl>
    </w:lvlOverride>
    <w:lvlOverride w:ilvl="6">
      <w:lvl w:ilvl="6">
        <w:start w:val="1"/>
        <w:numFmt w:val="none"/>
        <w:suff w:val="nothing"/>
        <w:lvlText w:val=""/>
        <w:lvlJc w:val="left"/>
        <w:pPr>
          <w:ind w:left="907" w:hanging="227"/>
        </w:pPr>
        <w:rPr>
          <w:rFonts w:hint="default"/>
        </w:rPr>
      </w:lvl>
    </w:lvlOverride>
    <w:lvlOverride w:ilvl="7">
      <w:lvl w:ilvl="7">
        <w:start w:val="1"/>
        <w:numFmt w:val="none"/>
        <w:suff w:val="nothing"/>
        <w:lvlText w:val=""/>
        <w:lvlJc w:val="left"/>
        <w:pPr>
          <w:ind w:left="907" w:hanging="227"/>
        </w:pPr>
        <w:rPr>
          <w:rFonts w:hint="default"/>
        </w:rPr>
      </w:lvl>
    </w:lvlOverride>
    <w:lvlOverride w:ilvl="8">
      <w:lvl w:ilvl="8">
        <w:start w:val="1"/>
        <w:numFmt w:val="none"/>
        <w:suff w:val="nothing"/>
        <w:lvlText w:val=""/>
        <w:lvlJc w:val="left"/>
        <w:pPr>
          <w:ind w:left="907" w:hanging="227"/>
        </w:pPr>
        <w:rPr>
          <w:rFonts w:hint="default"/>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ElexonBasicTable"/>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CB3"/>
    <w:rsid w:val="00000031"/>
    <w:rsid w:val="0000172E"/>
    <w:rsid w:val="000029BD"/>
    <w:rsid w:val="00004017"/>
    <w:rsid w:val="00006667"/>
    <w:rsid w:val="000068DD"/>
    <w:rsid w:val="00011399"/>
    <w:rsid w:val="000113E3"/>
    <w:rsid w:val="000117E1"/>
    <w:rsid w:val="00011BE7"/>
    <w:rsid w:val="00022CF4"/>
    <w:rsid w:val="0002671A"/>
    <w:rsid w:val="00027B50"/>
    <w:rsid w:val="00035DD9"/>
    <w:rsid w:val="000405E2"/>
    <w:rsid w:val="00041E2D"/>
    <w:rsid w:val="000431CC"/>
    <w:rsid w:val="00043244"/>
    <w:rsid w:val="00044E0C"/>
    <w:rsid w:val="00051D8A"/>
    <w:rsid w:val="000540F3"/>
    <w:rsid w:val="000557A6"/>
    <w:rsid w:val="00055C95"/>
    <w:rsid w:val="00065286"/>
    <w:rsid w:val="00065B38"/>
    <w:rsid w:val="00074544"/>
    <w:rsid w:val="00074C9C"/>
    <w:rsid w:val="00085F51"/>
    <w:rsid w:val="00096943"/>
    <w:rsid w:val="000A37CB"/>
    <w:rsid w:val="000A4126"/>
    <w:rsid w:val="000A436A"/>
    <w:rsid w:val="000B33A6"/>
    <w:rsid w:val="000B3D26"/>
    <w:rsid w:val="000B5858"/>
    <w:rsid w:val="000C70CA"/>
    <w:rsid w:val="000C7DD3"/>
    <w:rsid w:val="000D125A"/>
    <w:rsid w:val="000D4673"/>
    <w:rsid w:val="000D492C"/>
    <w:rsid w:val="000E0EC4"/>
    <w:rsid w:val="000E1E75"/>
    <w:rsid w:val="000E5495"/>
    <w:rsid w:val="000E6325"/>
    <w:rsid w:val="000E7669"/>
    <w:rsid w:val="000F2CB5"/>
    <w:rsid w:val="000F4927"/>
    <w:rsid w:val="000F5C20"/>
    <w:rsid w:val="00106827"/>
    <w:rsid w:val="00115725"/>
    <w:rsid w:val="001207B3"/>
    <w:rsid w:val="0012196E"/>
    <w:rsid w:val="00121C52"/>
    <w:rsid w:val="00122265"/>
    <w:rsid w:val="00123FB8"/>
    <w:rsid w:val="001304F4"/>
    <w:rsid w:val="00133DE1"/>
    <w:rsid w:val="001566FC"/>
    <w:rsid w:val="00161E8C"/>
    <w:rsid w:val="001620B8"/>
    <w:rsid w:val="001646F4"/>
    <w:rsid w:val="0016560B"/>
    <w:rsid w:val="00166330"/>
    <w:rsid w:val="00166C31"/>
    <w:rsid w:val="00167C79"/>
    <w:rsid w:val="0017582B"/>
    <w:rsid w:val="00175EC3"/>
    <w:rsid w:val="00177CE5"/>
    <w:rsid w:val="00185C81"/>
    <w:rsid w:val="0018618C"/>
    <w:rsid w:val="001912F5"/>
    <w:rsid w:val="0019763A"/>
    <w:rsid w:val="001A5E43"/>
    <w:rsid w:val="001B6AC2"/>
    <w:rsid w:val="001C36F3"/>
    <w:rsid w:val="001C6837"/>
    <w:rsid w:val="001D0426"/>
    <w:rsid w:val="001D100E"/>
    <w:rsid w:val="001D58BD"/>
    <w:rsid w:val="001D7641"/>
    <w:rsid w:val="001E030F"/>
    <w:rsid w:val="001E4F3E"/>
    <w:rsid w:val="001E5FB0"/>
    <w:rsid w:val="001F0BF1"/>
    <w:rsid w:val="001F1146"/>
    <w:rsid w:val="001F29F6"/>
    <w:rsid w:val="001F70FC"/>
    <w:rsid w:val="00201345"/>
    <w:rsid w:val="00202F6B"/>
    <w:rsid w:val="00207A51"/>
    <w:rsid w:val="00211728"/>
    <w:rsid w:val="002123E2"/>
    <w:rsid w:val="0021478F"/>
    <w:rsid w:val="00221135"/>
    <w:rsid w:val="0022253E"/>
    <w:rsid w:val="002226BD"/>
    <w:rsid w:val="00222D61"/>
    <w:rsid w:val="002244CD"/>
    <w:rsid w:val="002248DB"/>
    <w:rsid w:val="00232048"/>
    <w:rsid w:val="00232220"/>
    <w:rsid w:val="00233B5C"/>
    <w:rsid w:val="00241B56"/>
    <w:rsid w:val="00244C97"/>
    <w:rsid w:val="00246857"/>
    <w:rsid w:val="00254D30"/>
    <w:rsid w:val="00255565"/>
    <w:rsid w:val="002614D1"/>
    <w:rsid w:val="002701E1"/>
    <w:rsid w:val="0027340D"/>
    <w:rsid w:val="002850BF"/>
    <w:rsid w:val="00294146"/>
    <w:rsid w:val="002A5A83"/>
    <w:rsid w:val="002B05B4"/>
    <w:rsid w:val="002B0E2F"/>
    <w:rsid w:val="002B5DF0"/>
    <w:rsid w:val="002B669F"/>
    <w:rsid w:val="002B7A09"/>
    <w:rsid w:val="002C3D06"/>
    <w:rsid w:val="002D0CFE"/>
    <w:rsid w:val="002D6073"/>
    <w:rsid w:val="002D7D32"/>
    <w:rsid w:val="002E279D"/>
    <w:rsid w:val="002E6F20"/>
    <w:rsid w:val="002E7B27"/>
    <w:rsid w:val="002F0BB4"/>
    <w:rsid w:val="002F2E6F"/>
    <w:rsid w:val="002F5FF2"/>
    <w:rsid w:val="002F6C5F"/>
    <w:rsid w:val="003014F0"/>
    <w:rsid w:val="00303362"/>
    <w:rsid w:val="003125E7"/>
    <w:rsid w:val="00320942"/>
    <w:rsid w:val="00324E91"/>
    <w:rsid w:val="0032566C"/>
    <w:rsid w:val="0032638D"/>
    <w:rsid w:val="003266EE"/>
    <w:rsid w:val="00335E84"/>
    <w:rsid w:val="00335F88"/>
    <w:rsid w:val="003401F8"/>
    <w:rsid w:val="00340AA6"/>
    <w:rsid w:val="003411EC"/>
    <w:rsid w:val="0034326A"/>
    <w:rsid w:val="00343CD0"/>
    <w:rsid w:val="00355619"/>
    <w:rsid w:val="0036112A"/>
    <w:rsid w:val="003625EB"/>
    <w:rsid w:val="00362BE0"/>
    <w:rsid w:val="003712D6"/>
    <w:rsid w:val="003718F8"/>
    <w:rsid w:val="00373EF9"/>
    <w:rsid w:val="003767E2"/>
    <w:rsid w:val="00384F7D"/>
    <w:rsid w:val="00386F7E"/>
    <w:rsid w:val="003878CE"/>
    <w:rsid w:val="0039072A"/>
    <w:rsid w:val="003916AD"/>
    <w:rsid w:val="0039389A"/>
    <w:rsid w:val="0039725A"/>
    <w:rsid w:val="003A2E7A"/>
    <w:rsid w:val="003A3C19"/>
    <w:rsid w:val="003A4B52"/>
    <w:rsid w:val="003A7052"/>
    <w:rsid w:val="003A727F"/>
    <w:rsid w:val="003A7978"/>
    <w:rsid w:val="003A7FCE"/>
    <w:rsid w:val="003C19AB"/>
    <w:rsid w:val="003C1BBE"/>
    <w:rsid w:val="003C222F"/>
    <w:rsid w:val="003C454C"/>
    <w:rsid w:val="003C66C6"/>
    <w:rsid w:val="003D5379"/>
    <w:rsid w:val="003E4170"/>
    <w:rsid w:val="003E58E2"/>
    <w:rsid w:val="003F7D16"/>
    <w:rsid w:val="00404821"/>
    <w:rsid w:val="00411F26"/>
    <w:rsid w:val="00412BD6"/>
    <w:rsid w:val="004206CA"/>
    <w:rsid w:val="00421E45"/>
    <w:rsid w:val="00423379"/>
    <w:rsid w:val="004241B6"/>
    <w:rsid w:val="004270C1"/>
    <w:rsid w:val="00433AD8"/>
    <w:rsid w:val="0043597A"/>
    <w:rsid w:val="00436F8E"/>
    <w:rsid w:val="00444664"/>
    <w:rsid w:val="00444ACD"/>
    <w:rsid w:val="004515F7"/>
    <w:rsid w:val="00451676"/>
    <w:rsid w:val="004525A1"/>
    <w:rsid w:val="004543E4"/>
    <w:rsid w:val="00456127"/>
    <w:rsid w:val="00457CC0"/>
    <w:rsid w:val="004647F0"/>
    <w:rsid w:val="00467DBD"/>
    <w:rsid w:val="00476DBE"/>
    <w:rsid w:val="00477624"/>
    <w:rsid w:val="00477EF4"/>
    <w:rsid w:val="00480833"/>
    <w:rsid w:val="004810A4"/>
    <w:rsid w:val="0048559C"/>
    <w:rsid w:val="004863CD"/>
    <w:rsid w:val="00487515"/>
    <w:rsid w:val="00490240"/>
    <w:rsid w:val="0049126A"/>
    <w:rsid w:val="00491BC7"/>
    <w:rsid w:val="004A356B"/>
    <w:rsid w:val="004A49DE"/>
    <w:rsid w:val="004A7301"/>
    <w:rsid w:val="004B49B7"/>
    <w:rsid w:val="004B500C"/>
    <w:rsid w:val="004C51A5"/>
    <w:rsid w:val="004C7CEF"/>
    <w:rsid w:val="004D080E"/>
    <w:rsid w:val="004D2360"/>
    <w:rsid w:val="004D2382"/>
    <w:rsid w:val="004F28C5"/>
    <w:rsid w:val="004F402F"/>
    <w:rsid w:val="004F4E79"/>
    <w:rsid w:val="004F50E8"/>
    <w:rsid w:val="004F575B"/>
    <w:rsid w:val="004F5847"/>
    <w:rsid w:val="004F6672"/>
    <w:rsid w:val="00503AE0"/>
    <w:rsid w:val="005042A5"/>
    <w:rsid w:val="00515618"/>
    <w:rsid w:val="005164A5"/>
    <w:rsid w:val="005216A5"/>
    <w:rsid w:val="005235E8"/>
    <w:rsid w:val="005254DA"/>
    <w:rsid w:val="00527304"/>
    <w:rsid w:val="00530552"/>
    <w:rsid w:val="00530D58"/>
    <w:rsid w:val="00531602"/>
    <w:rsid w:val="00531ADF"/>
    <w:rsid w:val="00533562"/>
    <w:rsid w:val="00535A35"/>
    <w:rsid w:val="00535B5A"/>
    <w:rsid w:val="00537423"/>
    <w:rsid w:val="00541AD3"/>
    <w:rsid w:val="00543632"/>
    <w:rsid w:val="0054445F"/>
    <w:rsid w:val="00545083"/>
    <w:rsid w:val="0054785C"/>
    <w:rsid w:val="005536A3"/>
    <w:rsid w:val="00557C5C"/>
    <w:rsid w:val="00561A37"/>
    <w:rsid w:val="00563B25"/>
    <w:rsid w:val="00565577"/>
    <w:rsid w:val="00567262"/>
    <w:rsid w:val="00571CC6"/>
    <w:rsid w:val="00580817"/>
    <w:rsid w:val="00581702"/>
    <w:rsid w:val="005823B6"/>
    <w:rsid w:val="00586892"/>
    <w:rsid w:val="00587D80"/>
    <w:rsid w:val="00591077"/>
    <w:rsid w:val="00592622"/>
    <w:rsid w:val="0059463D"/>
    <w:rsid w:val="005A27CE"/>
    <w:rsid w:val="005A3954"/>
    <w:rsid w:val="005A4739"/>
    <w:rsid w:val="005A7D30"/>
    <w:rsid w:val="005B63AC"/>
    <w:rsid w:val="005C1C08"/>
    <w:rsid w:val="005C6776"/>
    <w:rsid w:val="005D2F6E"/>
    <w:rsid w:val="005D3AD6"/>
    <w:rsid w:val="005D4812"/>
    <w:rsid w:val="005D6952"/>
    <w:rsid w:val="005D6A9D"/>
    <w:rsid w:val="005D6EB0"/>
    <w:rsid w:val="005E115D"/>
    <w:rsid w:val="005E6251"/>
    <w:rsid w:val="005F360F"/>
    <w:rsid w:val="005F73EA"/>
    <w:rsid w:val="005F765C"/>
    <w:rsid w:val="00601FBD"/>
    <w:rsid w:val="00604EB0"/>
    <w:rsid w:val="00610789"/>
    <w:rsid w:val="00611770"/>
    <w:rsid w:val="00611793"/>
    <w:rsid w:val="00611BF5"/>
    <w:rsid w:val="0061309B"/>
    <w:rsid w:val="006143B0"/>
    <w:rsid w:val="0061495E"/>
    <w:rsid w:val="0061565D"/>
    <w:rsid w:val="006170D7"/>
    <w:rsid w:val="00617FE7"/>
    <w:rsid w:val="006209D4"/>
    <w:rsid w:val="006232C1"/>
    <w:rsid w:val="006243E5"/>
    <w:rsid w:val="006247B2"/>
    <w:rsid w:val="00624E07"/>
    <w:rsid w:val="00625F86"/>
    <w:rsid w:val="00630279"/>
    <w:rsid w:val="00631460"/>
    <w:rsid w:val="00631D1B"/>
    <w:rsid w:val="00634239"/>
    <w:rsid w:val="00637A4E"/>
    <w:rsid w:val="00644A7C"/>
    <w:rsid w:val="006507BF"/>
    <w:rsid w:val="0065195E"/>
    <w:rsid w:val="00653686"/>
    <w:rsid w:val="00653731"/>
    <w:rsid w:val="00655F98"/>
    <w:rsid w:val="00663663"/>
    <w:rsid w:val="00665415"/>
    <w:rsid w:val="00670DD3"/>
    <w:rsid w:val="006711DB"/>
    <w:rsid w:val="00671C3C"/>
    <w:rsid w:val="006750BE"/>
    <w:rsid w:val="00690012"/>
    <w:rsid w:val="00691A3A"/>
    <w:rsid w:val="00691D32"/>
    <w:rsid w:val="00693646"/>
    <w:rsid w:val="00694395"/>
    <w:rsid w:val="006A0C76"/>
    <w:rsid w:val="006A0E26"/>
    <w:rsid w:val="006A4072"/>
    <w:rsid w:val="006A4F36"/>
    <w:rsid w:val="006A7177"/>
    <w:rsid w:val="006B0CC5"/>
    <w:rsid w:val="006B6A61"/>
    <w:rsid w:val="006B7960"/>
    <w:rsid w:val="006C2568"/>
    <w:rsid w:val="006D14FA"/>
    <w:rsid w:val="006D1ED9"/>
    <w:rsid w:val="006D1F0A"/>
    <w:rsid w:val="006D5C79"/>
    <w:rsid w:val="006D67A4"/>
    <w:rsid w:val="006E1B0A"/>
    <w:rsid w:val="006E61DA"/>
    <w:rsid w:val="006F1A60"/>
    <w:rsid w:val="00703267"/>
    <w:rsid w:val="00705B23"/>
    <w:rsid w:val="00707D5F"/>
    <w:rsid w:val="00710074"/>
    <w:rsid w:val="00713E97"/>
    <w:rsid w:val="00717DF2"/>
    <w:rsid w:val="00720CDF"/>
    <w:rsid w:val="00722A5A"/>
    <w:rsid w:val="00723314"/>
    <w:rsid w:val="00732CBC"/>
    <w:rsid w:val="007351BE"/>
    <w:rsid w:val="0073758D"/>
    <w:rsid w:val="007429ED"/>
    <w:rsid w:val="007437C8"/>
    <w:rsid w:val="00750911"/>
    <w:rsid w:val="0075442E"/>
    <w:rsid w:val="007560BE"/>
    <w:rsid w:val="00756700"/>
    <w:rsid w:val="0076226A"/>
    <w:rsid w:val="00777ABA"/>
    <w:rsid w:val="00783505"/>
    <w:rsid w:val="00783981"/>
    <w:rsid w:val="00787A7E"/>
    <w:rsid w:val="0079032F"/>
    <w:rsid w:val="0079172F"/>
    <w:rsid w:val="0079404E"/>
    <w:rsid w:val="00794065"/>
    <w:rsid w:val="00794D5B"/>
    <w:rsid w:val="007A36B4"/>
    <w:rsid w:val="007B21B5"/>
    <w:rsid w:val="007B5C0C"/>
    <w:rsid w:val="007C3418"/>
    <w:rsid w:val="007C57EF"/>
    <w:rsid w:val="007D07A6"/>
    <w:rsid w:val="007D10D1"/>
    <w:rsid w:val="007D374F"/>
    <w:rsid w:val="007D4EC1"/>
    <w:rsid w:val="007D4EE5"/>
    <w:rsid w:val="007D5C95"/>
    <w:rsid w:val="007E0D19"/>
    <w:rsid w:val="007E5428"/>
    <w:rsid w:val="007F04AF"/>
    <w:rsid w:val="007F1A2A"/>
    <w:rsid w:val="007F1FCF"/>
    <w:rsid w:val="007F36E1"/>
    <w:rsid w:val="007F460E"/>
    <w:rsid w:val="007F68E8"/>
    <w:rsid w:val="00800D25"/>
    <w:rsid w:val="00801642"/>
    <w:rsid w:val="00804402"/>
    <w:rsid w:val="00807FD2"/>
    <w:rsid w:val="00811311"/>
    <w:rsid w:val="008117BE"/>
    <w:rsid w:val="00813F96"/>
    <w:rsid w:val="00817C5A"/>
    <w:rsid w:val="00823069"/>
    <w:rsid w:val="00826591"/>
    <w:rsid w:val="00827C18"/>
    <w:rsid w:val="00827DA5"/>
    <w:rsid w:val="00830B7A"/>
    <w:rsid w:val="00833D52"/>
    <w:rsid w:val="00833EBA"/>
    <w:rsid w:val="008345BA"/>
    <w:rsid w:val="0083462B"/>
    <w:rsid w:val="00834A7A"/>
    <w:rsid w:val="00834B75"/>
    <w:rsid w:val="00834EDA"/>
    <w:rsid w:val="0083557D"/>
    <w:rsid w:val="00836E61"/>
    <w:rsid w:val="0083742C"/>
    <w:rsid w:val="008375C3"/>
    <w:rsid w:val="008401AB"/>
    <w:rsid w:val="00840543"/>
    <w:rsid w:val="00841A39"/>
    <w:rsid w:val="008422AC"/>
    <w:rsid w:val="0084723A"/>
    <w:rsid w:val="008473BA"/>
    <w:rsid w:val="00856510"/>
    <w:rsid w:val="00856E15"/>
    <w:rsid w:val="00860BEA"/>
    <w:rsid w:val="008615A4"/>
    <w:rsid w:val="0086475C"/>
    <w:rsid w:val="008676BF"/>
    <w:rsid w:val="00871600"/>
    <w:rsid w:val="00872EFB"/>
    <w:rsid w:val="00876BAF"/>
    <w:rsid w:val="008777FF"/>
    <w:rsid w:val="008812C9"/>
    <w:rsid w:val="00881961"/>
    <w:rsid w:val="00884678"/>
    <w:rsid w:val="00886F8C"/>
    <w:rsid w:val="0089072E"/>
    <w:rsid w:val="00890B4D"/>
    <w:rsid w:val="0089774B"/>
    <w:rsid w:val="008A1ADB"/>
    <w:rsid w:val="008A699B"/>
    <w:rsid w:val="008B224D"/>
    <w:rsid w:val="008B6254"/>
    <w:rsid w:val="008B71FD"/>
    <w:rsid w:val="008C4A33"/>
    <w:rsid w:val="008D1C25"/>
    <w:rsid w:val="008D6373"/>
    <w:rsid w:val="008D7A5C"/>
    <w:rsid w:val="008E3BBE"/>
    <w:rsid w:val="008E5C73"/>
    <w:rsid w:val="008F0D6E"/>
    <w:rsid w:val="008F149E"/>
    <w:rsid w:val="008F2B14"/>
    <w:rsid w:val="009000FC"/>
    <w:rsid w:val="00901CBC"/>
    <w:rsid w:val="009022D7"/>
    <w:rsid w:val="00902804"/>
    <w:rsid w:val="00904254"/>
    <w:rsid w:val="00904932"/>
    <w:rsid w:val="00906236"/>
    <w:rsid w:val="00907125"/>
    <w:rsid w:val="00907EE2"/>
    <w:rsid w:val="00922B58"/>
    <w:rsid w:val="00922ED3"/>
    <w:rsid w:val="00927D47"/>
    <w:rsid w:val="00927DAC"/>
    <w:rsid w:val="00934925"/>
    <w:rsid w:val="0094031D"/>
    <w:rsid w:val="00940651"/>
    <w:rsid w:val="00940F4F"/>
    <w:rsid w:val="0094176B"/>
    <w:rsid w:val="00942C19"/>
    <w:rsid w:val="00942DE7"/>
    <w:rsid w:val="009450A1"/>
    <w:rsid w:val="00945170"/>
    <w:rsid w:val="00950746"/>
    <w:rsid w:val="00953408"/>
    <w:rsid w:val="00955DB6"/>
    <w:rsid w:val="00957E2B"/>
    <w:rsid w:val="00963ED4"/>
    <w:rsid w:val="00965317"/>
    <w:rsid w:val="009715FE"/>
    <w:rsid w:val="00972322"/>
    <w:rsid w:val="00972F78"/>
    <w:rsid w:val="0098033E"/>
    <w:rsid w:val="009810E8"/>
    <w:rsid w:val="00981115"/>
    <w:rsid w:val="0098237E"/>
    <w:rsid w:val="00984F69"/>
    <w:rsid w:val="009855F7"/>
    <w:rsid w:val="009866E6"/>
    <w:rsid w:val="0098742F"/>
    <w:rsid w:val="00987C58"/>
    <w:rsid w:val="00991953"/>
    <w:rsid w:val="00991F53"/>
    <w:rsid w:val="00992CC6"/>
    <w:rsid w:val="00994687"/>
    <w:rsid w:val="009956ED"/>
    <w:rsid w:val="009964E3"/>
    <w:rsid w:val="009B4949"/>
    <w:rsid w:val="009B5D3A"/>
    <w:rsid w:val="009B7A5B"/>
    <w:rsid w:val="009C566E"/>
    <w:rsid w:val="009C6EB1"/>
    <w:rsid w:val="009D0CC0"/>
    <w:rsid w:val="009D2B1D"/>
    <w:rsid w:val="009D4D55"/>
    <w:rsid w:val="009D64AD"/>
    <w:rsid w:val="009E764F"/>
    <w:rsid w:val="009F28C7"/>
    <w:rsid w:val="009F6690"/>
    <w:rsid w:val="00A10A25"/>
    <w:rsid w:val="00A11CE5"/>
    <w:rsid w:val="00A16480"/>
    <w:rsid w:val="00A228B4"/>
    <w:rsid w:val="00A252E3"/>
    <w:rsid w:val="00A25B56"/>
    <w:rsid w:val="00A25B57"/>
    <w:rsid w:val="00A3104A"/>
    <w:rsid w:val="00A316E8"/>
    <w:rsid w:val="00A371C5"/>
    <w:rsid w:val="00A40AAE"/>
    <w:rsid w:val="00A50A9B"/>
    <w:rsid w:val="00A56C23"/>
    <w:rsid w:val="00A62E57"/>
    <w:rsid w:val="00A64DC4"/>
    <w:rsid w:val="00A6718D"/>
    <w:rsid w:val="00A677F5"/>
    <w:rsid w:val="00A748E7"/>
    <w:rsid w:val="00A761D0"/>
    <w:rsid w:val="00A8437B"/>
    <w:rsid w:val="00A91D5C"/>
    <w:rsid w:val="00A96CA8"/>
    <w:rsid w:val="00AA13AC"/>
    <w:rsid w:val="00AA2783"/>
    <w:rsid w:val="00AA676C"/>
    <w:rsid w:val="00AA678E"/>
    <w:rsid w:val="00AB079E"/>
    <w:rsid w:val="00AB0AF9"/>
    <w:rsid w:val="00AB2F4F"/>
    <w:rsid w:val="00AB4B99"/>
    <w:rsid w:val="00AB5455"/>
    <w:rsid w:val="00AB5EBE"/>
    <w:rsid w:val="00AC1793"/>
    <w:rsid w:val="00AC294E"/>
    <w:rsid w:val="00AC297A"/>
    <w:rsid w:val="00AC33B2"/>
    <w:rsid w:val="00AC3AD0"/>
    <w:rsid w:val="00AC4FF4"/>
    <w:rsid w:val="00AC624D"/>
    <w:rsid w:val="00AD2571"/>
    <w:rsid w:val="00AD50AF"/>
    <w:rsid w:val="00AE39AC"/>
    <w:rsid w:val="00AE5721"/>
    <w:rsid w:val="00AE7E8A"/>
    <w:rsid w:val="00AF21EC"/>
    <w:rsid w:val="00AF2C0A"/>
    <w:rsid w:val="00AF3111"/>
    <w:rsid w:val="00AF4134"/>
    <w:rsid w:val="00AF69F8"/>
    <w:rsid w:val="00AF7061"/>
    <w:rsid w:val="00AF7562"/>
    <w:rsid w:val="00B06850"/>
    <w:rsid w:val="00B073A4"/>
    <w:rsid w:val="00B07B43"/>
    <w:rsid w:val="00B11033"/>
    <w:rsid w:val="00B152EF"/>
    <w:rsid w:val="00B15CCA"/>
    <w:rsid w:val="00B27525"/>
    <w:rsid w:val="00B32592"/>
    <w:rsid w:val="00B41022"/>
    <w:rsid w:val="00B420E0"/>
    <w:rsid w:val="00B4490F"/>
    <w:rsid w:val="00B52554"/>
    <w:rsid w:val="00B54300"/>
    <w:rsid w:val="00B543AF"/>
    <w:rsid w:val="00B630BC"/>
    <w:rsid w:val="00B6330D"/>
    <w:rsid w:val="00B63954"/>
    <w:rsid w:val="00B640C6"/>
    <w:rsid w:val="00B70089"/>
    <w:rsid w:val="00B718A5"/>
    <w:rsid w:val="00B75E7A"/>
    <w:rsid w:val="00B80934"/>
    <w:rsid w:val="00B8739E"/>
    <w:rsid w:val="00B903A1"/>
    <w:rsid w:val="00B9571B"/>
    <w:rsid w:val="00BA06BC"/>
    <w:rsid w:val="00BA0DB7"/>
    <w:rsid w:val="00BB2307"/>
    <w:rsid w:val="00BB3B64"/>
    <w:rsid w:val="00BB4905"/>
    <w:rsid w:val="00BB5DA0"/>
    <w:rsid w:val="00BB6009"/>
    <w:rsid w:val="00BC0483"/>
    <w:rsid w:val="00BC1886"/>
    <w:rsid w:val="00BC6BA7"/>
    <w:rsid w:val="00BD0FFC"/>
    <w:rsid w:val="00BD31DE"/>
    <w:rsid w:val="00BD424D"/>
    <w:rsid w:val="00BD78BE"/>
    <w:rsid w:val="00BE07B3"/>
    <w:rsid w:val="00BE123C"/>
    <w:rsid w:val="00BE13D6"/>
    <w:rsid w:val="00C0002B"/>
    <w:rsid w:val="00C00724"/>
    <w:rsid w:val="00C01CE2"/>
    <w:rsid w:val="00C03336"/>
    <w:rsid w:val="00C03571"/>
    <w:rsid w:val="00C036AD"/>
    <w:rsid w:val="00C11DA9"/>
    <w:rsid w:val="00C14A97"/>
    <w:rsid w:val="00C16D05"/>
    <w:rsid w:val="00C17519"/>
    <w:rsid w:val="00C20174"/>
    <w:rsid w:val="00C22693"/>
    <w:rsid w:val="00C2340A"/>
    <w:rsid w:val="00C246C1"/>
    <w:rsid w:val="00C26322"/>
    <w:rsid w:val="00C26BB7"/>
    <w:rsid w:val="00C274F9"/>
    <w:rsid w:val="00C31E43"/>
    <w:rsid w:val="00C3515C"/>
    <w:rsid w:val="00C362EC"/>
    <w:rsid w:val="00C36352"/>
    <w:rsid w:val="00C44073"/>
    <w:rsid w:val="00C44E1F"/>
    <w:rsid w:val="00C4784D"/>
    <w:rsid w:val="00C501DF"/>
    <w:rsid w:val="00C53482"/>
    <w:rsid w:val="00C535D6"/>
    <w:rsid w:val="00C578F1"/>
    <w:rsid w:val="00C57CDD"/>
    <w:rsid w:val="00C62151"/>
    <w:rsid w:val="00C73E79"/>
    <w:rsid w:val="00C756DF"/>
    <w:rsid w:val="00C77B33"/>
    <w:rsid w:val="00C921E6"/>
    <w:rsid w:val="00C93BAE"/>
    <w:rsid w:val="00C973D3"/>
    <w:rsid w:val="00C97630"/>
    <w:rsid w:val="00CA0CF6"/>
    <w:rsid w:val="00CA3442"/>
    <w:rsid w:val="00CB213D"/>
    <w:rsid w:val="00CB246A"/>
    <w:rsid w:val="00CB477F"/>
    <w:rsid w:val="00CB6C73"/>
    <w:rsid w:val="00CB7891"/>
    <w:rsid w:val="00CC3A57"/>
    <w:rsid w:val="00CC3CA7"/>
    <w:rsid w:val="00CC4C88"/>
    <w:rsid w:val="00CC50B5"/>
    <w:rsid w:val="00CC68EB"/>
    <w:rsid w:val="00CD2C2F"/>
    <w:rsid w:val="00CD480D"/>
    <w:rsid w:val="00CD5289"/>
    <w:rsid w:val="00CD75EE"/>
    <w:rsid w:val="00CE2CB3"/>
    <w:rsid w:val="00CE376E"/>
    <w:rsid w:val="00CE6203"/>
    <w:rsid w:val="00CF1617"/>
    <w:rsid w:val="00CF42AF"/>
    <w:rsid w:val="00CF4D3A"/>
    <w:rsid w:val="00CF515F"/>
    <w:rsid w:val="00CF60D8"/>
    <w:rsid w:val="00D0007E"/>
    <w:rsid w:val="00D01F81"/>
    <w:rsid w:val="00D033AF"/>
    <w:rsid w:val="00D04A69"/>
    <w:rsid w:val="00D10D5F"/>
    <w:rsid w:val="00D139FB"/>
    <w:rsid w:val="00D14688"/>
    <w:rsid w:val="00D166D9"/>
    <w:rsid w:val="00D20B5F"/>
    <w:rsid w:val="00D22419"/>
    <w:rsid w:val="00D23F58"/>
    <w:rsid w:val="00D261C4"/>
    <w:rsid w:val="00D34E09"/>
    <w:rsid w:val="00D35390"/>
    <w:rsid w:val="00D35565"/>
    <w:rsid w:val="00D4159F"/>
    <w:rsid w:val="00D4187D"/>
    <w:rsid w:val="00D4580E"/>
    <w:rsid w:val="00D46DA4"/>
    <w:rsid w:val="00D50B11"/>
    <w:rsid w:val="00D5768D"/>
    <w:rsid w:val="00D62E64"/>
    <w:rsid w:val="00D70CCE"/>
    <w:rsid w:val="00D714E9"/>
    <w:rsid w:val="00D74E58"/>
    <w:rsid w:val="00D75E42"/>
    <w:rsid w:val="00D76EA1"/>
    <w:rsid w:val="00D77B00"/>
    <w:rsid w:val="00D77DB1"/>
    <w:rsid w:val="00D82F2F"/>
    <w:rsid w:val="00D84153"/>
    <w:rsid w:val="00D86D2F"/>
    <w:rsid w:val="00D87310"/>
    <w:rsid w:val="00D90E88"/>
    <w:rsid w:val="00D92AF9"/>
    <w:rsid w:val="00DA11BD"/>
    <w:rsid w:val="00DA7D6A"/>
    <w:rsid w:val="00DB1A78"/>
    <w:rsid w:val="00DB23DD"/>
    <w:rsid w:val="00DB5676"/>
    <w:rsid w:val="00DB7F76"/>
    <w:rsid w:val="00DC350A"/>
    <w:rsid w:val="00DC6842"/>
    <w:rsid w:val="00DC7A34"/>
    <w:rsid w:val="00DC7C60"/>
    <w:rsid w:val="00DD10B5"/>
    <w:rsid w:val="00DD4C1F"/>
    <w:rsid w:val="00DD5740"/>
    <w:rsid w:val="00DD6E20"/>
    <w:rsid w:val="00DE0D00"/>
    <w:rsid w:val="00DE104D"/>
    <w:rsid w:val="00DE1B7C"/>
    <w:rsid w:val="00DE5334"/>
    <w:rsid w:val="00DE5D3D"/>
    <w:rsid w:val="00DE737D"/>
    <w:rsid w:val="00DF2E59"/>
    <w:rsid w:val="00DF305C"/>
    <w:rsid w:val="00E01DC4"/>
    <w:rsid w:val="00E05491"/>
    <w:rsid w:val="00E07A4B"/>
    <w:rsid w:val="00E1472E"/>
    <w:rsid w:val="00E17DC3"/>
    <w:rsid w:val="00E24FED"/>
    <w:rsid w:val="00E265F4"/>
    <w:rsid w:val="00E27480"/>
    <w:rsid w:val="00E31F7D"/>
    <w:rsid w:val="00E34ACB"/>
    <w:rsid w:val="00E35D65"/>
    <w:rsid w:val="00E36C48"/>
    <w:rsid w:val="00E37FAF"/>
    <w:rsid w:val="00E40FD4"/>
    <w:rsid w:val="00E41787"/>
    <w:rsid w:val="00E4649A"/>
    <w:rsid w:val="00E5083E"/>
    <w:rsid w:val="00E520F8"/>
    <w:rsid w:val="00E5235B"/>
    <w:rsid w:val="00E55389"/>
    <w:rsid w:val="00E606D9"/>
    <w:rsid w:val="00E60A01"/>
    <w:rsid w:val="00E61847"/>
    <w:rsid w:val="00E62D9E"/>
    <w:rsid w:val="00E63ADF"/>
    <w:rsid w:val="00E6450C"/>
    <w:rsid w:val="00E65740"/>
    <w:rsid w:val="00E67507"/>
    <w:rsid w:val="00E835D9"/>
    <w:rsid w:val="00E853A6"/>
    <w:rsid w:val="00E85721"/>
    <w:rsid w:val="00E902E6"/>
    <w:rsid w:val="00E92F8B"/>
    <w:rsid w:val="00EA1829"/>
    <w:rsid w:val="00EA3E42"/>
    <w:rsid w:val="00EA61CE"/>
    <w:rsid w:val="00EA7270"/>
    <w:rsid w:val="00EB34CD"/>
    <w:rsid w:val="00EB3B80"/>
    <w:rsid w:val="00EB451F"/>
    <w:rsid w:val="00EB4607"/>
    <w:rsid w:val="00EB6DC8"/>
    <w:rsid w:val="00EC021E"/>
    <w:rsid w:val="00EC0AA7"/>
    <w:rsid w:val="00EC258A"/>
    <w:rsid w:val="00EC5149"/>
    <w:rsid w:val="00EC69F3"/>
    <w:rsid w:val="00EC6BCF"/>
    <w:rsid w:val="00ED0DC4"/>
    <w:rsid w:val="00ED0F5F"/>
    <w:rsid w:val="00ED5B16"/>
    <w:rsid w:val="00EE2690"/>
    <w:rsid w:val="00EE3D11"/>
    <w:rsid w:val="00EE490E"/>
    <w:rsid w:val="00EE638C"/>
    <w:rsid w:val="00EF1F06"/>
    <w:rsid w:val="00EF72CC"/>
    <w:rsid w:val="00F0193D"/>
    <w:rsid w:val="00F02194"/>
    <w:rsid w:val="00F05CD2"/>
    <w:rsid w:val="00F0634A"/>
    <w:rsid w:val="00F06C64"/>
    <w:rsid w:val="00F0772A"/>
    <w:rsid w:val="00F142DF"/>
    <w:rsid w:val="00F14B16"/>
    <w:rsid w:val="00F14BE7"/>
    <w:rsid w:val="00F16A63"/>
    <w:rsid w:val="00F176DF"/>
    <w:rsid w:val="00F2447A"/>
    <w:rsid w:val="00F3343A"/>
    <w:rsid w:val="00F334E7"/>
    <w:rsid w:val="00F346D7"/>
    <w:rsid w:val="00F4104A"/>
    <w:rsid w:val="00F441AE"/>
    <w:rsid w:val="00F46FF8"/>
    <w:rsid w:val="00F502B0"/>
    <w:rsid w:val="00F50FDE"/>
    <w:rsid w:val="00F53287"/>
    <w:rsid w:val="00F53D1B"/>
    <w:rsid w:val="00F557AD"/>
    <w:rsid w:val="00F631D1"/>
    <w:rsid w:val="00F660C8"/>
    <w:rsid w:val="00F7472C"/>
    <w:rsid w:val="00F75134"/>
    <w:rsid w:val="00F80F8E"/>
    <w:rsid w:val="00F8184A"/>
    <w:rsid w:val="00F86A8F"/>
    <w:rsid w:val="00F94AF8"/>
    <w:rsid w:val="00FA0137"/>
    <w:rsid w:val="00FA25C5"/>
    <w:rsid w:val="00FA3849"/>
    <w:rsid w:val="00FB3A9A"/>
    <w:rsid w:val="00FB4151"/>
    <w:rsid w:val="00FB4637"/>
    <w:rsid w:val="00FB5BF7"/>
    <w:rsid w:val="00FC68A8"/>
    <w:rsid w:val="00FD0BC7"/>
    <w:rsid w:val="00FD13B3"/>
    <w:rsid w:val="00FD5857"/>
    <w:rsid w:val="00FE2E5A"/>
    <w:rsid w:val="00FE63E8"/>
    <w:rsid w:val="00FF2131"/>
    <w:rsid w:val="00FF6A38"/>
    <w:rsid w:val="00FF7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A7E9D69"/>
  <w15:chartTrackingRefBased/>
  <w15:docId w15:val="{0A536EA5-D075-460F-9BEE-9096CC72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5"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34"/>
    <w:pPr>
      <w:spacing w:after="20" w:line="260" w:lineRule="exact"/>
    </w:pPr>
    <w:rPr>
      <w:sz w:val="20"/>
      <w:lang w:val="en-GB"/>
    </w:rPr>
  </w:style>
  <w:style w:type="paragraph" w:styleId="Heading1">
    <w:name w:val="heading 1"/>
    <w:basedOn w:val="BasicParagraph"/>
    <w:next w:val="ElexonBody"/>
    <w:link w:val="Heading1Char"/>
    <w:uiPriority w:val="9"/>
    <w:qFormat/>
    <w:rsid w:val="00694395"/>
    <w:pPr>
      <w:pBdr>
        <w:top w:val="single" w:sz="18" w:space="2" w:color="00008B" w:themeColor="text1"/>
      </w:pBdr>
      <w:spacing w:before="260" w:after="260" w:line="260" w:lineRule="atLeast"/>
      <w:outlineLvl w:val="0"/>
    </w:pPr>
    <w:rPr>
      <w:rFonts w:ascii="Arial" w:hAnsi="Arial" w:cs="Arial"/>
      <w:b/>
      <w:bCs/>
      <w:color w:val="00008C"/>
      <w:sz w:val="32"/>
      <w:szCs w:val="32"/>
    </w:rPr>
  </w:style>
  <w:style w:type="paragraph" w:styleId="Heading2">
    <w:name w:val="heading 2"/>
    <w:basedOn w:val="Normal"/>
    <w:next w:val="ElexonBody"/>
    <w:link w:val="Heading2Char"/>
    <w:uiPriority w:val="9"/>
    <w:unhideWhenUsed/>
    <w:qFormat/>
    <w:rsid w:val="00694395"/>
    <w:pPr>
      <w:pBdr>
        <w:top w:val="single" w:sz="4" w:space="1" w:color="00008C"/>
      </w:pBdr>
      <w:spacing w:before="260" w:after="260"/>
      <w:outlineLvl w:val="1"/>
    </w:pPr>
    <w:rPr>
      <w:rFonts w:ascii="Arial" w:hAnsi="Arial" w:cs="Arial"/>
      <w:b/>
      <w:bCs/>
      <w:color w:val="00008C"/>
      <w:szCs w:val="20"/>
    </w:rPr>
  </w:style>
  <w:style w:type="paragraph" w:styleId="Heading3">
    <w:name w:val="heading 3"/>
    <w:basedOn w:val="BasicParagraph"/>
    <w:next w:val="ElexonBody"/>
    <w:link w:val="Heading3Char"/>
    <w:uiPriority w:val="9"/>
    <w:unhideWhenUsed/>
    <w:qFormat/>
    <w:rsid w:val="00694395"/>
    <w:pPr>
      <w:pBdr>
        <w:top w:val="single" w:sz="4" w:space="14" w:color="00008C"/>
      </w:pBdr>
      <w:suppressAutoHyphens/>
      <w:spacing w:before="260" w:after="260" w:line="260" w:lineRule="exact"/>
      <w:outlineLvl w:val="2"/>
    </w:pPr>
    <w:rPr>
      <w:rFonts w:ascii="Arial" w:hAnsi="Arial" w:cs="Arial"/>
      <w:b/>
      <w:bCs/>
      <w:color w:val="00008C"/>
      <w:sz w:val="18"/>
      <w:szCs w:val="18"/>
    </w:rPr>
  </w:style>
  <w:style w:type="paragraph" w:styleId="Heading4">
    <w:name w:val="heading 4"/>
    <w:basedOn w:val="Normal"/>
    <w:next w:val="ElexonBody"/>
    <w:link w:val="Heading4Char"/>
    <w:uiPriority w:val="9"/>
    <w:unhideWhenUsed/>
    <w:rsid w:val="00694395"/>
    <w:pPr>
      <w:keepNext/>
      <w:keepLines/>
      <w:spacing w:before="40" w:after="0"/>
      <w:outlineLvl w:val="3"/>
    </w:pPr>
    <w:rPr>
      <w:rFonts w:asciiTheme="majorHAnsi" w:eastAsiaTheme="majorEastAsia" w:hAnsiTheme="majorHAnsi" w:cstheme="majorBidi"/>
      <w:i/>
      <w:iCs/>
      <w:color w:val="000068" w:themeColor="accent1" w:themeShade="BF"/>
    </w:rPr>
  </w:style>
  <w:style w:type="paragraph" w:styleId="Heading6">
    <w:name w:val="heading 6"/>
    <w:basedOn w:val="Normal"/>
    <w:next w:val="Normal"/>
    <w:link w:val="Heading6Char"/>
    <w:uiPriority w:val="9"/>
    <w:semiHidden/>
    <w:unhideWhenUsed/>
    <w:qFormat/>
    <w:rsid w:val="00694395"/>
    <w:pPr>
      <w:keepNext/>
      <w:keepLines/>
      <w:spacing w:before="40" w:after="0"/>
      <w:outlineLvl w:val="5"/>
    </w:pPr>
    <w:rPr>
      <w:rFonts w:asciiTheme="majorHAnsi" w:eastAsiaTheme="majorEastAsia" w:hAnsiTheme="majorHAnsi" w:cstheme="majorBidi"/>
      <w:color w:val="000045"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95"/>
    <w:pPr>
      <w:tabs>
        <w:tab w:val="center" w:pos="4680"/>
        <w:tab w:val="right" w:pos="9360"/>
      </w:tabs>
      <w:spacing w:after="0" w:line="240" w:lineRule="auto"/>
    </w:pPr>
    <w:rPr>
      <w:b/>
    </w:rPr>
  </w:style>
  <w:style w:type="character" w:customStyle="1" w:styleId="HeaderChar">
    <w:name w:val="Header Char"/>
    <w:basedOn w:val="DefaultParagraphFont"/>
    <w:link w:val="Header"/>
    <w:uiPriority w:val="99"/>
    <w:rsid w:val="00694395"/>
    <w:rPr>
      <w:b/>
      <w:sz w:val="20"/>
      <w:lang w:val="en-GB"/>
    </w:rPr>
  </w:style>
  <w:style w:type="paragraph" w:styleId="Footer">
    <w:name w:val="footer"/>
    <w:basedOn w:val="Normal"/>
    <w:link w:val="FooterChar"/>
    <w:uiPriority w:val="99"/>
    <w:unhideWhenUsed/>
    <w:rsid w:val="00694395"/>
    <w:pPr>
      <w:pBdr>
        <w:top w:val="single" w:sz="4" w:space="8" w:color="D4CDC1"/>
      </w:pBdr>
      <w:tabs>
        <w:tab w:val="center" w:pos="4680"/>
        <w:tab w:val="right" w:pos="9360"/>
      </w:tabs>
      <w:spacing w:after="0" w:line="200" w:lineRule="exact"/>
    </w:pPr>
    <w:rPr>
      <w:sz w:val="12"/>
    </w:rPr>
  </w:style>
  <w:style w:type="character" w:customStyle="1" w:styleId="FooterChar">
    <w:name w:val="Footer Char"/>
    <w:basedOn w:val="DefaultParagraphFont"/>
    <w:link w:val="Footer"/>
    <w:uiPriority w:val="99"/>
    <w:rsid w:val="00694395"/>
    <w:rPr>
      <w:sz w:val="12"/>
      <w:lang w:val="en-GB"/>
    </w:rPr>
  </w:style>
  <w:style w:type="character" w:customStyle="1" w:styleId="Heading1Char">
    <w:name w:val="Heading 1 Char"/>
    <w:basedOn w:val="DefaultParagraphFont"/>
    <w:link w:val="Heading1"/>
    <w:uiPriority w:val="9"/>
    <w:rsid w:val="00694395"/>
    <w:rPr>
      <w:rFonts w:ascii="Arial" w:hAnsi="Arial" w:cs="Arial"/>
      <w:b/>
      <w:bCs/>
      <w:color w:val="00008C"/>
      <w:sz w:val="32"/>
      <w:szCs w:val="32"/>
      <w:lang w:val="en-GB"/>
    </w:rPr>
  </w:style>
  <w:style w:type="paragraph" w:customStyle="1" w:styleId="BasicParagraph">
    <w:name w:val="[Basic Paragraph]"/>
    <w:basedOn w:val="Normal"/>
    <w:uiPriority w:val="99"/>
    <w:rsid w:val="00694395"/>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Strong">
    <w:name w:val="Strong"/>
    <w:aliases w:val="Blue Bold"/>
    <w:basedOn w:val="DefaultParagraphFont"/>
    <w:uiPriority w:val="22"/>
    <w:qFormat/>
    <w:rsid w:val="00694395"/>
    <w:rPr>
      <w:b/>
      <w:bCs/>
      <w:color w:val="00008B" w:themeColor="text1"/>
    </w:rPr>
  </w:style>
  <w:style w:type="table" w:styleId="TableGrid">
    <w:name w:val="Table Grid"/>
    <w:basedOn w:val="TableNormal"/>
    <w:uiPriority w:val="39"/>
    <w:rsid w:val="00694395"/>
    <w:pPr>
      <w:spacing w:after="0" w:line="240" w:lineRule="auto"/>
    </w:pPr>
    <w:rPr>
      <w:sz w:val="17"/>
    </w:rPr>
    <w:tblPr>
      <w:tblBorders>
        <w:top w:val="single" w:sz="4" w:space="0" w:color="auto"/>
        <w:bottom w:val="single" w:sz="4" w:space="0" w:color="auto"/>
        <w:insideH w:val="single" w:sz="4" w:space="0" w:color="auto"/>
      </w:tblBorders>
    </w:tblPr>
    <w:tcPr>
      <w:vAlign w:val="center"/>
    </w:tcPr>
  </w:style>
  <w:style w:type="paragraph" w:customStyle="1" w:styleId="ElexonTableTextSmall">
    <w:name w:val="Elexon Table Text Small"/>
    <w:basedOn w:val="Normal"/>
    <w:qFormat/>
    <w:rsid w:val="00694395"/>
    <w:pPr>
      <w:spacing w:after="0" w:line="240" w:lineRule="auto"/>
    </w:pPr>
    <w:rPr>
      <w:sz w:val="17"/>
    </w:rPr>
  </w:style>
  <w:style w:type="paragraph" w:customStyle="1" w:styleId="ElexonTableTextLarge">
    <w:name w:val="Elexon Table Text Large"/>
    <w:basedOn w:val="ElexonTableTextSmall"/>
    <w:qFormat/>
    <w:rsid w:val="00694395"/>
    <w:rPr>
      <w:sz w:val="22"/>
    </w:rPr>
  </w:style>
  <w:style w:type="paragraph" w:customStyle="1" w:styleId="BodycopyDinlight">
    <w:name w:val="Body copy Din light"/>
    <w:basedOn w:val="Normal"/>
    <w:uiPriority w:val="99"/>
    <w:rsid w:val="00A677F5"/>
    <w:pPr>
      <w:tabs>
        <w:tab w:val="left" w:pos="0"/>
      </w:tabs>
      <w:suppressAutoHyphens/>
      <w:autoSpaceDE w:val="0"/>
      <w:autoSpaceDN w:val="0"/>
      <w:adjustRightInd w:val="0"/>
      <w:spacing w:after="0" w:line="240" w:lineRule="atLeast"/>
      <w:textAlignment w:val="center"/>
    </w:pPr>
    <w:rPr>
      <w:rFonts w:ascii="DIN Light" w:hAnsi="DIN Light" w:cs="DIN Light"/>
      <w:color w:val="000000"/>
      <w:sz w:val="17"/>
      <w:szCs w:val="17"/>
    </w:rPr>
  </w:style>
  <w:style w:type="paragraph" w:customStyle="1" w:styleId="NoParagraphStyle">
    <w:name w:val="[No Paragraph Style]"/>
    <w:rsid w:val="00694395"/>
    <w:pPr>
      <w:autoSpaceDE w:val="0"/>
      <w:autoSpaceDN w:val="0"/>
      <w:adjustRightInd w:val="0"/>
      <w:spacing w:after="0" w:line="288" w:lineRule="auto"/>
      <w:textAlignment w:val="center"/>
    </w:pPr>
    <w:rPr>
      <w:rFonts w:cs="Minion Pro"/>
      <w:color w:val="000000"/>
      <w:sz w:val="20"/>
      <w:szCs w:val="24"/>
      <w:lang w:val="en-GB"/>
    </w:rPr>
  </w:style>
  <w:style w:type="character" w:customStyle="1" w:styleId="Heading2Char">
    <w:name w:val="Heading 2 Char"/>
    <w:basedOn w:val="DefaultParagraphFont"/>
    <w:link w:val="Heading2"/>
    <w:uiPriority w:val="9"/>
    <w:rsid w:val="00694395"/>
    <w:rPr>
      <w:rFonts w:ascii="Arial" w:hAnsi="Arial" w:cs="Arial"/>
      <w:b/>
      <w:bCs/>
      <w:color w:val="00008C"/>
      <w:sz w:val="20"/>
      <w:szCs w:val="20"/>
      <w:lang w:val="en-GB"/>
    </w:rPr>
  </w:style>
  <w:style w:type="paragraph" w:customStyle="1" w:styleId="ElexonBody">
    <w:name w:val="Elexon Body"/>
    <w:basedOn w:val="Normal"/>
    <w:qFormat/>
    <w:rsid w:val="00694395"/>
    <w:pPr>
      <w:spacing w:after="120" w:line="260" w:lineRule="atLeast"/>
    </w:pPr>
  </w:style>
  <w:style w:type="table" w:customStyle="1" w:styleId="Style1">
    <w:name w:val="Style1"/>
    <w:basedOn w:val="TableNormal"/>
    <w:uiPriority w:val="99"/>
    <w:rsid w:val="002226BD"/>
    <w:pPr>
      <w:spacing w:after="0" w:line="240" w:lineRule="auto"/>
    </w:pPr>
    <w:rPr>
      <w:sz w:val="17"/>
    </w:rPr>
    <w:tblPr>
      <w:tblBorders>
        <w:top w:val="single" w:sz="4" w:space="0" w:color="D4CDC1"/>
        <w:left w:val="single" w:sz="4" w:space="0" w:color="D4CDC1"/>
        <w:bottom w:val="single" w:sz="4" w:space="0" w:color="D4CDC1"/>
        <w:right w:val="single" w:sz="4" w:space="0" w:color="D4CDC1"/>
        <w:insideH w:val="single" w:sz="4" w:space="0" w:color="D4CDC1"/>
        <w:insideV w:val="single" w:sz="4" w:space="0" w:color="D4CDC1"/>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customStyle="1" w:styleId="Heading3Char">
    <w:name w:val="Heading 3 Char"/>
    <w:basedOn w:val="DefaultParagraphFont"/>
    <w:link w:val="Heading3"/>
    <w:uiPriority w:val="9"/>
    <w:rsid w:val="00694395"/>
    <w:rPr>
      <w:rFonts w:ascii="Arial" w:hAnsi="Arial" w:cs="Arial"/>
      <w:b/>
      <w:bCs/>
      <w:color w:val="00008C"/>
      <w:sz w:val="18"/>
      <w:szCs w:val="18"/>
      <w:lang w:val="en-GB"/>
    </w:rPr>
  </w:style>
  <w:style w:type="paragraph" w:styleId="List">
    <w:name w:val="List"/>
    <w:basedOn w:val="Heading3"/>
    <w:next w:val="List2"/>
    <w:uiPriority w:val="99"/>
    <w:unhideWhenUsed/>
    <w:qFormat/>
    <w:rsid w:val="00694395"/>
    <w:pPr>
      <w:numPr>
        <w:numId w:val="10"/>
      </w:numPr>
      <w:pBdr>
        <w:top w:val="none" w:sz="0" w:space="0" w:color="auto"/>
      </w:pBdr>
      <w:spacing w:after="120" w:line="260" w:lineRule="atLeast"/>
      <w:outlineLvl w:val="3"/>
    </w:pPr>
    <w:rPr>
      <w:sz w:val="20"/>
    </w:rPr>
  </w:style>
  <w:style w:type="paragraph" w:styleId="List2">
    <w:name w:val="List 2"/>
    <w:basedOn w:val="BasicParagraph"/>
    <w:uiPriority w:val="99"/>
    <w:unhideWhenUsed/>
    <w:qFormat/>
    <w:rsid w:val="00694395"/>
    <w:pPr>
      <w:numPr>
        <w:ilvl w:val="1"/>
        <w:numId w:val="10"/>
      </w:numPr>
      <w:suppressAutoHyphens/>
      <w:spacing w:after="120" w:line="260" w:lineRule="atLeast"/>
    </w:pPr>
    <w:rPr>
      <w:rFonts w:ascii="Arial" w:hAnsi="Arial" w:cs="Arial"/>
      <w:sz w:val="20"/>
      <w:szCs w:val="18"/>
    </w:rPr>
  </w:style>
  <w:style w:type="paragraph" w:styleId="List3">
    <w:name w:val="List 3"/>
    <w:basedOn w:val="BasicParagraph"/>
    <w:uiPriority w:val="99"/>
    <w:unhideWhenUsed/>
    <w:qFormat/>
    <w:rsid w:val="00694395"/>
    <w:pPr>
      <w:numPr>
        <w:ilvl w:val="2"/>
        <w:numId w:val="10"/>
      </w:numPr>
      <w:suppressAutoHyphens/>
      <w:spacing w:after="120" w:line="260" w:lineRule="atLeast"/>
    </w:pPr>
    <w:rPr>
      <w:rFonts w:ascii="Arial" w:hAnsi="Arial" w:cs="Arial"/>
      <w:sz w:val="20"/>
      <w:szCs w:val="18"/>
    </w:rPr>
  </w:style>
  <w:style w:type="paragraph" w:styleId="ListNumber3">
    <w:name w:val="List Number 3"/>
    <w:basedOn w:val="Normal"/>
    <w:uiPriority w:val="99"/>
    <w:unhideWhenUsed/>
    <w:rsid w:val="00694395"/>
    <w:pPr>
      <w:numPr>
        <w:ilvl w:val="2"/>
        <w:numId w:val="9"/>
      </w:numPr>
      <w:contextualSpacing/>
    </w:pPr>
  </w:style>
  <w:style w:type="paragraph" w:styleId="ListNumber">
    <w:name w:val="List Number"/>
    <w:basedOn w:val="Normal"/>
    <w:uiPriority w:val="99"/>
    <w:unhideWhenUsed/>
    <w:rsid w:val="00694395"/>
    <w:pPr>
      <w:numPr>
        <w:numId w:val="8"/>
      </w:numPr>
      <w:contextualSpacing/>
    </w:pPr>
    <w:rPr>
      <w:b/>
      <w:color w:val="00008B" w:themeColor="text1"/>
    </w:rPr>
  </w:style>
  <w:style w:type="paragraph" w:styleId="Quote">
    <w:name w:val="Quote"/>
    <w:basedOn w:val="Normal"/>
    <w:next w:val="Normal"/>
    <w:link w:val="QuoteChar"/>
    <w:uiPriority w:val="29"/>
    <w:rsid w:val="002E7B27"/>
    <w:pPr>
      <w:spacing w:before="200" w:after="160"/>
      <w:ind w:left="864" w:right="864"/>
      <w:jc w:val="center"/>
    </w:pPr>
    <w:rPr>
      <w:i/>
      <w:iCs/>
      <w:color w:val="0000E8" w:themeColor="text1" w:themeTint="BF"/>
    </w:rPr>
  </w:style>
  <w:style w:type="character" w:customStyle="1" w:styleId="QuoteChar">
    <w:name w:val="Quote Char"/>
    <w:basedOn w:val="DefaultParagraphFont"/>
    <w:link w:val="Quote"/>
    <w:uiPriority w:val="29"/>
    <w:rsid w:val="002E7B27"/>
    <w:rPr>
      <w:i/>
      <w:iCs/>
      <w:color w:val="0000E8" w:themeColor="text1" w:themeTint="BF"/>
      <w:sz w:val="18"/>
    </w:rPr>
  </w:style>
  <w:style w:type="paragraph" w:customStyle="1" w:styleId="ElexonNumberedTableText">
    <w:name w:val="Elexon Numbered Table Text"/>
    <w:basedOn w:val="ElexonTableTextSmall"/>
    <w:qFormat/>
    <w:rsid w:val="00694395"/>
    <w:pPr>
      <w:numPr>
        <w:ilvl w:val="1"/>
        <w:numId w:val="5"/>
      </w:numPr>
    </w:pPr>
    <w:rPr>
      <w:rFonts w:cstheme="minorHAnsi"/>
      <w:color w:val="000000"/>
    </w:rPr>
  </w:style>
  <w:style w:type="numbering" w:customStyle="1" w:styleId="ListNumbers">
    <w:name w:val="__List Numbers"/>
    <w:basedOn w:val="NoList"/>
    <w:uiPriority w:val="99"/>
    <w:rsid w:val="00E92F8B"/>
    <w:pPr>
      <w:numPr>
        <w:numId w:val="2"/>
      </w:numPr>
    </w:pPr>
  </w:style>
  <w:style w:type="paragraph" w:styleId="BodyText">
    <w:name w:val="Body Text"/>
    <w:aliases w:val="Body"/>
    <w:link w:val="BodyTextChar"/>
    <w:uiPriority w:val="5"/>
    <w:qFormat/>
    <w:rsid w:val="00E92F8B"/>
    <w:pPr>
      <w:spacing w:after="113" w:line="260" w:lineRule="atLeast"/>
    </w:pPr>
    <w:rPr>
      <w:rFonts w:ascii="Tahoma" w:eastAsia="Times New Roman" w:hAnsi="Tahoma" w:cs="Tahoma"/>
      <w:color w:val="00008B" w:themeColor="text1"/>
      <w:sz w:val="20"/>
      <w:szCs w:val="20"/>
      <w:lang w:val="en-GB"/>
    </w:rPr>
  </w:style>
  <w:style w:type="character" w:customStyle="1" w:styleId="BodyTextChar">
    <w:name w:val="Body Text Char"/>
    <w:aliases w:val="Body Char"/>
    <w:basedOn w:val="DefaultParagraphFont"/>
    <w:link w:val="BodyText"/>
    <w:uiPriority w:val="5"/>
    <w:rsid w:val="00E92F8B"/>
    <w:rPr>
      <w:rFonts w:ascii="Tahoma" w:eastAsia="Times New Roman" w:hAnsi="Tahoma" w:cs="Tahoma"/>
      <w:color w:val="00008B" w:themeColor="text1"/>
      <w:sz w:val="20"/>
      <w:szCs w:val="20"/>
      <w:lang w:val="en-GB"/>
    </w:rPr>
  </w:style>
  <w:style w:type="paragraph" w:customStyle="1" w:styleId="Heading">
    <w:name w:val="Heading"/>
    <w:basedOn w:val="BodyText"/>
    <w:next w:val="BodyText"/>
    <w:uiPriority w:val="1"/>
    <w:qFormat/>
    <w:rsid w:val="00E92F8B"/>
    <w:pPr>
      <w:spacing w:before="200"/>
    </w:pPr>
    <w:rPr>
      <w:b/>
      <w:color w:val="231F20" w:themeColor="text2"/>
      <w:sz w:val="22"/>
    </w:rPr>
  </w:style>
  <w:style w:type="paragraph" w:styleId="ListNumber2">
    <w:name w:val="List Number 2"/>
    <w:basedOn w:val="Normal"/>
    <w:uiPriority w:val="99"/>
    <w:unhideWhenUsed/>
    <w:rsid w:val="00694395"/>
    <w:pPr>
      <w:ind w:left="567" w:hanging="567"/>
      <w:contextualSpacing/>
    </w:pPr>
  </w:style>
  <w:style w:type="numbering" w:customStyle="1" w:styleId="ListHeadings">
    <w:name w:val="__List Headings"/>
    <w:uiPriority w:val="99"/>
    <w:rsid w:val="00E92F8B"/>
    <w:pPr>
      <w:numPr>
        <w:numId w:val="1"/>
      </w:numPr>
    </w:pPr>
  </w:style>
  <w:style w:type="paragraph" w:customStyle="1" w:styleId="Boldheading">
    <w:name w:val="Bold heading"/>
    <w:basedOn w:val="BodyText"/>
    <w:next w:val="BodyText"/>
    <w:uiPriority w:val="3"/>
    <w:qFormat/>
    <w:rsid w:val="00E92F8B"/>
    <w:rPr>
      <w:b/>
    </w:rPr>
  </w:style>
  <w:style w:type="paragraph" w:customStyle="1" w:styleId="Numberbodytext1">
    <w:name w:val="Number body text 1"/>
    <w:basedOn w:val="BodyText"/>
    <w:uiPriority w:val="3"/>
    <w:unhideWhenUsed/>
    <w:qFormat/>
    <w:rsid w:val="00E92F8B"/>
    <w:pPr>
      <w:numPr>
        <w:ilvl w:val="1"/>
        <w:numId w:val="3"/>
      </w:numPr>
    </w:pPr>
  </w:style>
  <w:style w:type="paragraph" w:customStyle="1" w:styleId="Numberbodytext2">
    <w:name w:val="Number body text 2"/>
    <w:basedOn w:val="Numberbodytext1"/>
    <w:uiPriority w:val="3"/>
    <w:unhideWhenUsed/>
    <w:qFormat/>
    <w:rsid w:val="00E92F8B"/>
    <w:pPr>
      <w:numPr>
        <w:ilvl w:val="2"/>
      </w:numPr>
    </w:pPr>
  </w:style>
  <w:style w:type="paragraph" w:customStyle="1" w:styleId="Numberheading">
    <w:name w:val="Number heading"/>
    <w:basedOn w:val="Heading"/>
    <w:next w:val="Numberbodytext1"/>
    <w:uiPriority w:val="2"/>
    <w:rsid w:val="00E92F8B"/>
    <w:pPr>
      <w:numPr>
        <w:numId w:val="3"/>
      </w:numPr>
    </w:pPr>
  </w:style>
  <w:style w:type="numbering" w:customStyle="1" w:styleId="Elexonnumber">
    <w:name w:val="Elexon number"/>
    <w:uiPriority w:val="99"/>
    <w:rsid w:val="00694395"/>
    <w:pPr>
      <w:numPr>
        <w:numId w:val="4"/>
      </w:numPr>
    </w:pPr>
  </w:style>
  <w:style w:type="paragraph" w:styleId="ListNumber4">
    <w:name w:val="List Number 4"/>
    <w:basedOn w:val="Normal"/>
    <w:uiPriority w:val="99"/>
    <w:unhideWhenUsed/>
    <w:rsid w:val="00694395"/>
    <w:pPr>
      <w:ind w:left="794" w:hanging="227"/>
      <w:contextualSpacing/>
    </w:pPr>
  </w:style>
  <w:style w:type="paragraph" w:styleId="ListNumber5">
    <w:name w:val="List Number 5"/>
    <w:uiPriority w:val="99"/>
    <w:unhideWhenUsed/>
    <w:rsid w:val="00694395"/>
    <w:pPr>
      <w:numPr>
        <w:ilvl w:val="4"/>
        <w:numId w:val="10"/>
      </w:numPr>
      <w:spacing w:after="120" w:line="260" w:lineRule="atLeast"/>
      <w:contextualSpacing/>
    </w:pPr>
    <w:rPr>
      <w:sz w:val="20"/>
      <w:szCs w:val="20"/>
    </w:rPr>
  </w:style>
  <w:style w:type="paragraph" w:styleId="List4">
    <w:name w:val="List 4"/>
    <w:basedOn w:val="List3"/>
    <w:uiPriority w:val="99"/>
    <w:unhideWhenUsed/>
    <w:qFormat/>
    <w:rsid w:val="00694395"/>
    <w:pPr>
      <w:numPr>
        <w:ilvl w:val="3"/>
      </w:numPr>
    </w:pPr>
  </w:style>
  <w:style w:type="paragraph" w:styleId="List5">
    <w:name w:val="List 5"/>
    <w:basedOn w:val="Normal"/>
    <w:uiPriority w:val="99"/>
    <w:unhideWhenUsed/>
    <w:qFormat/>
    <w:rsid w:val="00694395"/>
    <w:pPr>
      <w:contextualSpacing/>
    </w:pPr>
  </w:style>
  <w:style w:type="paragraph" w:styleId="ListBullet">
    <w:name w:val="List Bullet"/>
    <w:basedOn w:val="Normal"/>
    <w:uiPriority w:val="99"/>
    <w:unhideWhenUsed/>
    <w:qFormat/>
    <w:rsid w:val="00694395"/>
    <w:pPr>
      <w:numPr>
        <w:numId w:val="6"/>
      </w:numPr>
      <w:spacing w:after="120" w:line="240" w:lineRule="atLeast"/>
      <w:contextualSpacing/>
    </w:pPr>
  </w:style>
  <w:style w:type="paragraph" w:styleId="ListBullet2">
    <w:name w:val="List Bullet 2"/>
    <w:basedOn w:val="Normal"/>
    <w:uiPriority w:val="99"/>
    <w:unhideWhenUsed/>
    <w:qFormat/>
    <w:rsid w:val="00694395"/>
    <w:pPr>
      <w:numPr>
        <w:ilvl w:val="1"/>
        <w:numId w:val="6"/>
      </w:numPr>
      <w:spacing w:after="120" w:line="260" w:lineRule="atLeast"/>
      <w:contextualSpacing/>
    </w:pPr>
  </w:style>
  <w:style w:type="paragraph" w:styleId="ListBullet3">
    <w:name w:val="List Bullet 3"/>
    <w:basedOn w:val="Normal"/>
    <w:uiPriority w:val="99"/>
    <w:unhideWhenUsed/>
    <w:qFormat/>
    <w:rsid w:val="00694395"/>
    <w:pPr>
      <w:numPr>
        <w:ilvl w:val="2"/>
        <w:numId w:val="6"/>
      </w:numPr>
      <w:spacing w:after="120" w:line="240" w:lineRule="atLeast"/>
      <w:contextualSpacing/>
    </w:pPr>
  </w:style>
  <w:style w:type="paragraph" w:styleId="ListBullet4">
    <w:name w:val="List Bullet 4"/>
    <w:basedOn w:val="Normal"/>
    <w:uiPriority w:val="99"/>
    <w:unhideWhenUsed/>
    <w:qFormat/>
    <w:rsid w:val="00694395"/>
    <w:pPr>
      <w:numPr>
        <w:ilvl w:val="3"/>
        <w:numId w:val="6"/>
      </w:numPr>
      <w:spacing w:after="120" w:line="260" w:lineRule="atLeast"/>
      <w:contextualSpacing/>
    </w:pPr>
  </w:style>
  <w:style w:type="paragraph" w:styleId="ListBullet5">
    <w:name w:val="List Bullet 5"/>
    <w:basedOn w:val="Normal"/>
    <w:uiPriority w:val="99"/>
    <w:unhideWhenUsed/>
    <w:rsid w:val="00694395"/>
    <w:pPr>
      <w:numPr>
        <w:ilvl w:val="4"/>
        <w:numId w:val="7"/>
      </w:numPr>
      <w:contextualSpacing/>
    </w:pPr>
  </w:style>
  <w:style w:type="character" w:styleId="LineNumber">
    <w:name w:val="line number"/>
    <w:basedOn w:val="DefaultParagraphFont"/>
    <w:uiPriority w:val="99"/>
    <w:unhideWhenUsed/>
    <w:rsid w:val="006247B2"/>
  </w:style>
  <w:style w:type="paragraph" w:styleId="Index9">
    <w:name w:val="index 9"/>
    <w:basedOn w:val="Normal"/>
    <w:next w:val="Normal"/>
    <w:autoRedefine/>
    <w:uiPriority w:val="99"/>
    <w:unhideWhenUsed/>
    <w:rsid w:val="006247B2"/>
    <w:pPr>
      <w:spacing w:after="0" w:line="240" w:lineRule="auto"/>
      <w:ind w:left="1800" w:hanging="200"/>
    </w:pPr>
  </w:style>
  <w:style w:type="character" w:styleId="PlaceholderText">
    <w:name w:val="Placeholder Text"/>
    <w:basedOn w:val="DefaultParagraphFont"/>
    <w:uiPriority w:val="99"/>
    <w:semiHidden/>
    <w:rsid w:val="00694395"/>
    <w:rPr>
      <w:color w:val="808080"/>
    </w:rPr>
  </w:style>
  <w:style w:type="table" w:customStyle="1" w:styleId="ElexonBasicTable">
    <w:name w:val="Elexon Basic Table"/>
    <w:basedOn w:val="TableNormal"/>
    <w:uiPriority w:val="99"/>
    <w:rsid w:val="00694395"/>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character" w:styleId="FootnoteReference">
    <w:name w:val="footnote reference"/>
    <w:basedOn w:val="DefaultParagraphFont"/>
    <w:uiPriority w:val="99"/>
    <w:unhideWhenUsed/>
    <w:rsid w:val="00694395"/>
    <w:rPr>
      <w:vertAlign w:val="superscript"/>
    </w:rPr>
  </w:style>
  <w:style w:type="paragraph" w:styleId="FootnoteText">
    <w:name w:val="footnote text"/>
    <w:basedOn w:val="Normal"/>
    <w:link w:val="FootnoteTextChar"/>
    <w:uiPriority w:val="99"/>
    <w:semiHidden/>
    <w:rsid w:val="00694395"/>
    <w:pPr>
      <w:spacing w:after="0" w:line="240" w:lineRule="auto"/>
    </w:pPr>
    <w:rPr>
      <w:rFonts w:eastAsia="Times New Roman" w:cs="Tahoma"/>
      <w:color w:val="00008B" w:themeColor="text1"/>
      <w:szCs w:val="20"/>
    </w:rPr>
  </w:style>
  <w:style w:type="character" w:customStyle="1" w:styleId="FootnoteTextChar">
    <w:name w:val="Footnote Text Char"/>
    <w:basedOn w:val="DefaultParagraphFont"/>
    <w:link w:val="FootnoteText"/>
    <w:uiPriority w:val="99"/>
    <w:semiHidden/>
    <w:rsid w:val="00694395"/>
    <w:rPr>
      <w:rFonts w:eastAsia="Times New Roman" w:cs="Tahoma"/>
      <w:color w:val="00008B" w:themeColor="text1"/>
      <w:sz w:val="20"/>
      <w:szCs w:val="20"/>
      <w:lang w:val="en-GB"/>
    </w:rPr>
  </w:style>
  <w:style w:type="character" w:customStyle="1" w:styleId="Heading4Char">
    <w:name w:val="Heading 4 Char"/>
    <w:basedOn w:val="DefaultParagraphFont"/>
    <w:link w:val="Heading4"/>
    <w:uiPriority w:val="9"/>
    <w:rsid w:val="00694395"/>
    <w:rPr>
      <w:rFonts w:asciiTheme="majorHAnsi" w:eastAsiaTheme="majorEastAsia" w:hAnsiTheme="majorHAnsi" w:cstheme="majorBidi"/>
      <w:i/>
      <w:iCs/>
      <w:color w:val="000068" w:themeColor="accent1" w:themeShade="BF"/>
      <w:sz w:val="20"/>
      <w:lang w:val="en-GB"/>
    </w:rPr>
  </w:style>
  <w:style w:type="character" w:customStyle="1" w:styleId="Heading6Char">
    <w:name w:val="Heading 6 Char"/>
    <w:basedOn w:val="DefaultParagraphFont"/>
    <w:link w:val="Heading6"/>
    <w:uiPriority w:val="9"/>
    <w:semiHidden/>
    <w:rsid w:val="00694395"/>
    <w:rPr>
      <w:rFonts w:asciiTheme="majorHAnsi" w:eastAsiaTheme="majorEastAsia" w:hAnsiTheme="majorHAnsi" w:cstheme="majorBidi"/>
      <w:color w:val="000045" w:themeColor="accent1" w:themeShade="7F"/>
      <w:sz w:val="20"/>
      <w:lang w:val="en-GB"/>
    </w:rPr>
  </w:style>
  <w:style w:type="character" w:styleId="Hyperlink">
    <w:name w:val="Hyperlink"/>
    <w:basedOn w:val="DefaultParagraphFont"/>
    <w:uiPriority w:val="99"/>
    <w:unhideWhenUsed/>
    <w:rsid w:val="00694395"/>
    <w:rPr>
      <w:color w:val="00008B" w:themeColor="text1"/>
      <w:u w:val="single"/>
    </w:rPr>
  </w:style>
  <w:style w:type="paragraph" w:styleId="NoSpacing">
    <w:name w:val="No Spacing"/>
    <w:link w:val="NoSpacingChar"/>
    <w:uiPriority w:val="1"/>
    <w:qFormat/>
    <w:rsid w:val="00694395"/>
    <w:pPr>
      <w:spacing w:after="0" w:line="240" w:lineRule="auto"/>
    </w:pPr>
    <w:rPr>
      <w:rFonts w:eastAsiaTheme="minorEastAsia"/>
    </w:rPr>
  </w:style>
  <w:style w:type="character" w:customStyle="1" w:styleId="NoSpacingChar">
    <w:name w:val="No Spacing Char"/>
    <w:basedOn w:val="DefaultParagraphFont"/>
    <w:link w:val="NoSpacing"/>
    <w:uiPriority w:val="1"/>
    <w:rsid w:val="00694395"/>
    <w:rPr>
      <w:rFonts w:eastAsiaTheme="minorEastAsia"/>
    </w:rPr>
  </w:style>
  <w:style w:type="character" w:customStyle="1" w:styleId="Regular">
    <w:name w:val="Regular"/>
    <w:basedOn w:val="DefaultParagraphFont"/>
    <w:uiPriority w:val="1"/>
    <w:rsid w:val="00694395"/>
    <w:rPr>
      <w:color w:val="auto"/>
    </w:rPr>
  </w:style>
  <w:style w:type="paragraph" w:styleId="Subtitle">
    <w:name w:val="Subtitle"/>
    <w:basedOn w:val="Normal"/>
    <w:next w:val="Normal"/>
    <w:link w:val="SubtitleChar"/>
    <w:uiPriority w:val="11"/>
    <w:qFormat/>
    <w:rsid w:val="00694395"/>
    <w:pPr>
      <w:pBdr>
        <w:top w:val="single" w:sz="4" w:space="30" w:color="auto"/>
      </w:pBdr>
      <w:autoSpaceDE w:val="0"/>
      <w:autoSpaceDN w:val="0"/>
      <w:adjustRightInd w:val="0"/>
      <w:spacing w:before="720" w:after="0" w:line="420" w:lineRule="atLeast"/>
      <w:ind w:left="2268" w:right="2268"/>
      <w:jc w:val="center"/>
      <w:textAlignment w:val="center"/>
    </w:pPr>
    <w:rPr>
      <w:rFonts w:ascii="Arial" w:hAnsi="Arial" w:cs="Arial"/>
      <w:color w:val="00008C"/>
      <w:sz w:val="30"/>
      <w:szCs w:val="30"/>
    </w:rPr>
  </w:style>
  <w:style w:type="character" w:customStyle="1" w:styleId="SubtitleChar">
    <w:name w:val="Subtitle Char"/>
    <w:basedOn w:val="DefaultParagraphFont"/>
    <w:link w:val="Subtitle"/>
    <w:uiPriority w:val="11"/>
    <w:rsid w:val="00694395"/>
    <w:rPr>
      <w:rFonts w:ascii="Arial" w:hAnsi="Arial" w:cs="Arial"/>
      <w:color w:val="00008C"/>
      <w:sz w:val="30"/>
      <w:szCs w:val="30"/>
      <w:lang w:val="en-GB"/>
    </w:rPr>
  </w:style>
  <w:style w:type="paragraph" w:customStyle="1" w:styleId="Tableheading">
    <w:name w:val="Table heading"/>
    <w:basedOn w:val="Normal"/>
    <w:next w:val="ElexonBody"/>
    <w:link w:val="TableheadingChar"/>
    <w:uiPriority w:val="8"/>
    <w:qFormat/>
    <w:rsid w:val="00694395"/>
    <w:pPr>
      <w:spacing w:after="0" w:line="260" w:lineRule="atLeast"/>
      <w:ind w:left="113" w:right="113"/>
    </w:pPr>
    <w:rPr>
      <w:rFonts w:asciiTheme="majorHAnsi" w:eastAsia="Times New Roman" w:hAnsiTheme="majorHAnsi" w:cs="Tahoma"/>
      <w:bCs/>
      <w:color w:val="FFFFFF" w:themeColor="background1"/>
    </w:rPr>
  </w:style>
  <w:style w:type="character" w:customStyle="1" w:styleId="TableheadingChar">
    <w:name w:val="Table heading Char"/>
    <w:basedOn w:val="DefaultParagraphFont"/>
    <w:link w:val="Tableheading"/>
    <w:uiPriority w:val="8"/>
    <w:rsid w:val="00694395"/>
    <w:rPr>
      <w:rFonts w:asciiTheme="majorHAnsi" w:eastAsia="Times New Roman" w:hAnsiTheme="majorHAnsi" w:cs="Tahoma"/>
      <w:bCs/>
      <w:color w:val="FFFFFF" w:themeColor="background1"/>
      <w:sz w:val="20"/>
      <w:lang w:val="en-GB"/>
    </w:rPr>
  </w:style>
  <w:style w:type="paragraph" w:styleId="Title">
    <w:name w:val="Title"/>
    <w:basedOn w:val="Normal"/>
    <w:next w:val="Normal"/>
    <w:link w:val="TitleChar"/>
    <w:uiPriority w:val="10"/>
    <w:rsid w:val="00694395"/>
    <w:pPr>
      <w:spacing w:after="0" w:line="720" w:lineRule="atLeast"/>
      <w:ind w:left="567" w:right="567"/>
      <w:contextualSpacing/>
      <w:jc w:val="center"/>
    </w:pPr>
    <w:rPr>
      <w:rFonts w:asciiTheme="majorHAnsi" w:eastAsiaTheme="majorEastAsia" w:hAnsiTheme="majorHAnsi" w:cstheme="majorBidi"/>
      <w:b/>
      <w:caps/>
      <w:color w:val="00008B" w:themeColor="text1"/>
      <w:spacing w:val="80"/>
      <w:kern w:val="28"/>
      <w:sz w:val="50"/>
      <w:szCs w:val="56"/>
    </w:rPr>
  </w:style>
  <w:style w:type="character" w:customStyle="1" w:styleId="TitleChar">
    <w:name w:val="Title Char"/>
    <w:basedOn w:val="DefaultParagraphFont"/>
    <w:link w:val="Title"/>
    <w:uiPriority w:val="10"/>
    <w:rsid w:val="00694395"/>
    <w:rPr>
      <w:rFonts w:asciiTheme="majorHAnsi" w:eastAsiaTheme="majorEastAsia" w:hAnsiTheme="majorHAnsi" w:cstheme="majorBidi"/>
      <w:b/>
      <w:caps/>
      <w:color w:val="00008B" w:themeColor="text1"/>
      <w:spacing w:val="80"/>
      <w:kern w:val="28"/>
      <w:sz w:val="50"/>
      <w:szCs w:val="56"/>
      <w:lang w:val="en-GB"/>
    </w:rPr>
  </w:style>
  <w:style w:type="paragraph" w:styleId="TOC1">
    <w:name w:val="toc 1"/>
    <w:basedOn w:val="Normal"/>
    <w:next w:val="Normal"/>
    <w:autoRedefine/>
    <w:uiPriority w:val="39"/>
    <w:unhideWhenUsed/>
    <w:rsid w:val="00694395"/>
    <w:pPr>
      <w:tabs>
        <w:tab w:val="right" w:pos="10348"/>
      </w:tabs>
      <w:spacing w:after="100"/>
    </w:pPr>
    <w:rPr>
      <w:b/>
      <w:noProof/>
      <w:color w:val="00008B" w:themeColor="text1"/>
      <w:sz w:val="22"/>
    </w:rPr>
  </w:style>
  <w:style w:type="paragraph" w:styleId="TOC2">
    <w:name w:val="toc 2"/>
    <w:basedOn w:val="Normal"/>
    <w:next w:val="Normal"/>
    <w:autoRedefine/>
    <w:uiPriority w:val="39"/>
    <w:unhideWhenUsed/>
    <w:rsid w:val="00694395"/>
    <w:pPr>
      <w:tabs>
        <w:tab w:val="right" w:pos="10348"/>
      </w:tabs>
      <w:spacing w:after="100"/>
    </w:pPr>
    <w:rPr>
      <w:color w:val="00008B" w:themeColor="text1"/>
      <w:sz w:val="22"/>
    </w:rPr>
  </w:style>
  <w:style w:type="paragraph" w:styleId="TOC3">
    <w:name w:val="toc 3"/>
    <w:basedOn w:val="Normal"/>
    <w:next w:val="Normal"/>
    <w:autoRedefine/>
    <w:uiPriority w:val="39"/>
    <w:unhideWhenUsed/>
    <w:rsid w:val="00694395"/>
    <w:pPr>
      <w:tabs>
        <w:tab w:val="right" w:pos="10348"/>
      </w:tabs>
      <w:spacing w:after="100"/>
      <w:ind w:left="357"/>
    </w:pPr>
    <w:rPr>
      <w:noProof/>
      <w:sz w:val="22"/>
    </w:rPr>
  </w:style>
  <w:style w:type="paragraph" w:styleId="TOCHeading">
    <w:name w:val="TOC Heading"/>
    <w:basedOn w:val="Heading1"/>
    <w:next w:val="Normal"/>
    <w:uiPriority w:val="39"/>
    <w:unhideWhenUsed/>
    <w:qFormat/>
    <w:rsid w:val="00694395"/>
    <w:pPr>
      <w:spacing w:after="480" w:line="480" w:lineRule="atLeast"/>
    </w:pPr>
  </w:style>
  <w:style w:type="paragraph" w:styleId="BalloonText">
    <w:name w:val="Balloon Text"/>
    <w:basedOn w:val="Normal"/>
    <w:link w:val="BalloonTextChar"/>
    <w:uiPriority w:val="99"/>
    <w:semiHidden/>
    <w:unhideWhenUsed/>
    <w:rsid w:val="00881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61"/>
    <w:rPr>
      <w:rFonts w:ascii="Segoe UI" w:hAnsi="Segoe UI" w:cs="Segoe UI"/>
      <w:sz w:val="18"/>
      <w:szCs w:val="18"/>
      <w:lang w:val="en-GB"/>
    </w:rPr>
  </w:style>
  <w:style w:type="paragraph" w:styleId="Revision">
    <w:name w:val="Revision"/>
    <w:hidden/>
    <w:uiPriority w:val="99"/>
    <w:semiHidden/>
    <w:rsid w:val="00ED5B16"/>
    <w:pPr>
      <w:spacing w:after="0" w:line="240" w:lineRule="auto"/>
    </w:pPr>
    <w:rPr>
      <w:sz w:val="20"/>
      <w:lang w:val="en-GB"/>
    </w:rPr>
  </w:style>
  <w:style w:type="character" w:styleId="CommentReference">
    <w:name w:val="annotation reference"/>
    <w:basedOn w:val="DefaultParagraphFont"/>
    <w:uiPriority w:val="99"/>
    <w:semiHidden/>
    <w:unhideWhenUsed/>
    <w:rsid w:val="006243E5"/>
    <w:rPr>
      <w:sz w:val="16"/>
      <w:szCs w:val="16"/>
    </w:rPr>
  </w:style>
  <w:style w:type="paragraph" w:styleId="CommentText">
    <w:name w:val="annotation text"/>
    <w:basedOn w:val="Normal"/>
    <w:link w:val="CommentTextChar"/>
    <w:uiPriority w:val="99"/>
    <w:semiHidden/>
    <w:unhideWhenUsed/>
    <w:rsid w:val="006243E5"/>
    <w:pPr>
      <w:spacing w:line="240" w:lineRule="auto"/>
    </w:pPr>
    <w:rPr>
      <w:szCs w:val="20"/>
    </w:rPr>
  </w:style>
  <w:style w:type="character" w:customStyle="1" w:styleId="CommentTextChar">
    <w:name w:val="Comment Text Char"/>
    <w:basedOn w:val="DefaultParagraphFont"/>
    <w:link w:val="CommentText"/>
    <w:uiPriority w:val="99"/>
    <w:semiHidden/>
    <w:rsid w:val="006243E5"/>
    <w:rPr>
      <w:sz w:val="20"/>
      <w:szCs w:val="20"/>
      <w:lang w:val="en-GB"/>
    </w:rPr>
  </w:style>
  <w:style w:type="paragraph" w:styleId="CommentSubject">
    <w:name w:val="annotation subject"/>
    <w:basedOn w:val="CommentText"/>
    <w:next w:val="CommentText"/>
    <w:link w:val="CommentSubjectChar"/>
    <w:uiPriority w:val="99"/>
    <w:semiHidden/>
    <w:unhideWhenUsed/>
    <w:rsid w:val="006243E5"/>
    <w:rPr>
      <w:b/>
      <w:bCs/>
    </w:rPr>
  </w:style>
  <w:style w:type="character" w:customStyle="1" w:styleId="CommentSubjectChar">
    <w:name w:val="Comment Subject Char"/>
    <w:basedOn w:val="CommentTextChar"/>
    <w:link w:val="CommentSubject"/>
    <w:uiPriority w:val="99"/>
    <w:semiHidden/>
    <w:rsid w:val="006243E5"/>
    <w:rPr>
      <w:b/>
      <w:bCs/>
      <w:sz w:val="20"/>
      <w:szCs w:val="20"/>
      <w:lang w:val="en-GB"/>
    </w:rPr>
  </w:style>
  <w:style w:type="table" w:customStyle="1" w:styleId="ElexonBasicTable1">
    <w:name w:val="Elexon Basic Table1"/>
    <w:basedOn w:val="TableNormal"/>
    <w:uiPriority w:val="99"/>
    <w:rsid w:val="008422AC"/>
    <w:pPr>
      <w:spacing w:after="0" w:line="240" w:lineRule="auto"/>
    </w:pPr>
    <w:rPr>
      <w:sz w:val="17"/>
    </w:rPr>
    <w:tblPr>
      <w:tblBorders>
        <w:top w:val="single" w:sz="4" w:space="0" w:color="CAC3C5" w:themeColor="text2" w:themeTint="40"/>
        <w:left w:val="single" w:sz="4" w:space="0" w:color="CAC3C5" w:themeColor="text2" w:themeTint="40"/>
        <w:bottom w:val="single" w:sz="4" w:space="0" w:color="CAC3C5" w:themeColor="text2" w:themeTint="40"/>
        <w:right w:val="single" w:sz="4" w:space="0" w:color="CAC3C5" w:themeColor="text2" w:themeTint="40"/>
        <w:insideH w:val="single" w:sz="4" w:space="0" w:color="CAC3C5" w:themeColor="text2" w:themeTint="40"/>
        <w:insideV w:val="single" w:sz="4" w:space="0" w:color="CAC3C5" w:themeColor="text2" w:themeTint="40"/>
      </w:tblBorders>
    </w:tblPr>
    <w:tcPr>
      <w:vAlign w:val="center"/>
    </w:tcPr>
    <w:tblStylePr w:type="firstRow">
      <w:pPr>
        <w:jc w:val="left"/>
      </w:pPr>
      <w:rPr>
        <w:rFonts w:asciiTheme="majorHAnsi" w:hAnsiTheme="majorHAnsi"/>
        <w:b/>
        <w:sz w:val="17"/>
      </w:rPr>
      <w:tblPr/>
      <w:tcPr>
        <w:tcBorders>
          <w:top w:val="single" w:sz="4" w:space="0" w:color="00008B" w:themeColor="text1"/>
          <w:left w:val="single" w:sz="4" w:space="0" w:color="00008B" w:themeColor="text1"/>
          <w:bottom w:val="nil"/>
          <w:right w:val="single" w:sz="4" w:space="0" w:color="00008B" w:themeColor="text1"/>
          <w:insideH w:val="nil"/>
          <w:insideV w:val="nil"/>
          <w:tl2br w:val="nil"/>
          <w:tr2bl w:val="nil"/>
        </w:tcBorders>
        <w:shd w:val="clear" w:color="auto" w:fill="00008B" w:themeFill="text1"/>
      </w:tcPr>
    </w:tblStylePr>
  </w:style>
  <w:style w:type="paragraph" w:styleId="ListParagraph">
    <w:name w:val="List Paragraph"/>
    <w:basedOn w:val="Normal"/>
    <w:uiPriority w:val="34"/>
    <w:qFormat/>
    <w:rsid w:val="00991F53"/>
    <w:pPr>
      <w:ind w:left="720"/>
      <w:contextualSpacing/>
    </w:pPr>
  </w:style>
  <w:style w:type="table" w:customStyle="1" w:styleId="TableGrid1">
    <w:name w:val="Table Grid1"/>
    <w:basedOn w:val="TableNormal"/>
    <w:next w:val="TableGrid"/>
    <w:uiPriority w:val="39"/>
    <w:rsid w:val="00202F6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63AD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3D0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4203">
      <w:bodyDiv w:val="1"/>
      <w:marLeft w:val="0"/>
      <w:marRight w:val="0"/>
      <w:marTop w:val="0"/>
      <w:marBottom w:val="0"/>
      <w:divBdr>
        <w:top w:val="none" w:sz="0" w:space="0" w:color="auto"/>
        <w:left w:val="none" w:sz="0" w:space="0" w:color="auto"/>
        <w:bottom w:val="none" w:sz="0" w:space="0" w:color="auto"/>
        <w:right w:val="none" w:sz="0" w:space="0" w:color="auto"/>
      </w:divBdr>
    </w:div>
    <w:div w:id="646516364">
      <w:bodyDiv w:val="1"/>
      <w:marLeft w:val="0"/>
      <w:marRight w:val="0"/>
      <w:marTop w:val="0"/>
      <w:marBottom w:val="0"/>
      <w:divBdr>
        <w:top w:val="none" w:sz="0" w:space="0" w:color="auto"/>
        <w:left w:val="none" w:sz="0" w:space="0" w:color="auto"/>
        <w:bottom w:val="none" w:sz="0" w:space="0" w:color="auto"/>
        <w:right w:val="none" w:sz="0" w:space="0" w:color="auto"/>
      </w:divBdr>
      <w:divsChild>
        <w:div w:id="1414887810">
          <w:marLeft w:val="0"/>
          <w:marRight w:val="0"/>
          <w:marTop w:val="0"/>
          <w:marBottom w:val="0"/>
          <w:divBdr>
            <w:top w:val="none" w:sz="0" w:space="0" w:color="auto"/>
            <w:left w:val="none" w:sz="0" w:space="0" w:color="auto"/>
            <w:bottom w:val="none" w:sz="0" w:space="0" w:color="auto"/>
            <w:right w:val="none" w:sz="0" w:space="0" w:color="auto"/>
          </w:divBdr>
        </w:div>
      </w:divsChild>
    </w:div>
    <w:div w:id="1000427154">
      <w:bodyDiv w:val="1"/>
      <w:marLeft w:val="0"/>
      <w:marRight w:val="0"/>
      <w:marTop w:val="0"/>
      <w:marBottom w:val="0"/>
      <w:divBdr>
        <w:top w:val="none" w:sz="0" w:space="0" w:color="auto"/>
        <w:left w:val="none" w:sz="0" w:space="0" w:color="auto"/>
        <w:bottom w:val="none" w:sz="0" w:space="0" w:color="auto"/>
        <w:right w:val="none" w:sz="0" w:space="0" w:color="auto"/>
      </w:divBdr>
      <w:divsChild>
        <w:div w:id="515114092">
          <w:marLeft w:val="0"/>
          <w:marRight w:val="0"/>
          <w:marTop w:val="0"/>
          <w:marBottom w:val="0"/>
          <w:divBdr>
            <w:top w:val="none" w:sz="0" w:space="0" w:color="auto"/>
            <w:left w:val="none" w:sz="0" w:space="0" w:color="auto"/>
            <w:bottom w:val="none" w:sz="0" w:space="0" w:color="auto"/>
            <w:right w:val="none" w:sz="0" w:space="0" w:color="auto"/>
          </w:divBdr>
        </w:div>
      </w:divsChild>
    </w:div>
    <w:div w:id="1212112840">
      <w:bodyDiv w:val="1"/>
      <w:marLeft w:val="0"/>
      <w:marRight w:val="0"/>
      <w:marTop w:val="0"/>
      <w:marBottom w:val="0"/>
      <w:divBdr>
        <w:top w:val="none" w:sz="0" w:space="0" w:color="auto"/>
        <w:left w:val="none" w:sz="0" w:space="0" w:color="auto"/>
        <w:bottom w:val="none" w:sz="0" w:space="0" w:color="auto"/>
        <w:right w:val="none" w:sz="0" w:space="0" w:color="auto"/>
      </w:divBdr>
      <w:divsChild>
        <w:div w:id="677120009">
          <w:marLeft w:val="0"/>
          <w:marRight w:val="0"/>
          <w:marTop w:val="0"/>
          <w:marBottom w:val="0"/>
          <w:divBdr>
            <w:top w:val="none" w:sz="0" w:space="0" w:color="auto"/>
            <w:left w:val="none" w:sz="0" w:space="0" w:color="auto"/>
            <w:bottom w:val="none" w:sz="0" w:space="0" w:color="auto"/>
            <w:right w:val="none" w:sz="0" w:space="0" w:color="auto"/>
          </w:divBdr>
        </w:div>
      </w:divsChild>
    </w:div>
    <w:div w:id="1448431648">
      <w:bodyDiv w:val="1"/>
      <w:marLeft w:val="0"/>
      <w:marRight w:val="0"/>
      <w:marTop w:val="0"/>
      <w:marBottom w:val="0"/>
      <w:divBdr>
        <w:top w:val="none" w:sz="0" w:space="0" w:color="auto"/>
        <w:left w:val="none" w:sz="0" w:space="0" w:color="auto"/>
        <w:bottom w:val="none" w:sz="0" w:space="0" w:color="auto"/>
        <w:right w:val="none" w:sz="0" w:space="0" w:color="auto"/>
      </w:divBdr>
    </w:div>
    <w:div w:id="1638223397">
      <w:bodyDiv w:val="1"/>
      <w:marLeft w:val="0"/>
      <w:marRight w:val="0"/>
      <w:marTop w:val="0"/>
      <w:marBottom w:val="0"/>
      <w:divBdr>
        <w:top w:val="none" w:sz="0" w:space="0" w:color="auto"/>
        <w:left w:val="none" w:sz="0" w:space="0" w:color="auto"/>
        <w:bottom w:val="none" w:sz="0" w:space="0" w:color="auto"/>
        <w:right w:val="none" w:sz="0" w:space="0" w:color="auto"/>
      </w:divBdr>
      <w:divsChild>
        <w:div w:id="312754446">
          <w:marLeft w:val="0"/>
          <w:marRight w:val="0"/>
          <w:marTop w:val="0"/>
          <w:marBottom w:val="0"/>
          <w:divBdr>
            <w:top w:val="none" w:sz="0" w:space="0" w:color="auto"/>
            <w:left w:val="none" w:sz="0" w:space="0" w:color="auto"/>
            <w:bottom w:val="none" w:sz="0" w:space="0" w:color="auto"/>
            <w:right w:val="none" w:sz="0" w:space="0" w:color="auto"/>
          </w:divBdr>
        </w:div>
      </w:divsChild>
    </w:div>
    <w:div w:id="1830367818">
      <w:bodyDiv w:val="1"/>
      <w:marLeft w:val="0"/>
      <w:marRight w:val="0"/>
      <w:marTop w:val="0"/>
      <w:marBottom w:val="0"/>
      <w:divBdr>
        <w:top w:val="none" w:sz="0" w:space="0" w:color="auto"/>
        <w:left w:val="none" w:sz="0" w:space="0" w:color="auto"/>
        <w:bottom w:val="none" w:sz="0" w:space="0" w:color="auto"/>
        <w:right w:val="none" w:sz="0" w:space="0" w:color="auto"/>
      </w:divBdr>
    </w:div>
    <w:div w:id="1910772619">
      <w:bodyDiv w:val="1"/>
      <w:marLeft w:val="0"/>
      <w:marRight w:val="0"/>
      <w:marTop w:val="0"/>
      <w:marBottom w:val="0"/>
      <w:divBdr>
        <w:top w:val="none" w:sz="0" w:space="0" w:color="auto"/>
        <w:left w:val="none" w:sz="0" w:space="0" w:color="auto"/>
        <w:bottom w:val="none" w:sz="0" w:space="0" w:color="auto"/>
        <w:right w:val="none" w:sz="0" w:space="0" w:color="auto"/>
      </w:divBdr>
    </w:div>
    <w:div w:id="208175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A330934620417486583590388CBDBA"/>
        <w:category>
          <w:name w:val="General"/>
          <w:gallery w:val="placeholder"/>
        </w:category>
        <w:types>
          <w:type w:val="bbPlcHdr"/>
        </w:types>
        <w:behaviors>
          <w:behavior w:val="content"/>
        </w:behaviors>
        <w:guid w:val="{B7188001-53F9-4CF1-BB50-74F4E7E18D37}"/>
      </w:docPartPr>
      <w:docPartBody>
        <w:p w:rsidR="00FE63DC" w:rsidRDefault="00C94E69" w:rsidP="00C94E69">
          <w:pPr>
            <w:pStyle w:val="FBA330934620417486583590388CBDBA1"/>
          </w:pPr>
          <w:r w:rsidRPr="008345BA">
            <w:rPr>
              <w:rStyle w:val="Strong"/>
              <w:lang w:val="en-GB"/>
            </w:rPr>
            <w:t>Click to 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ion Pro">
    <w:panose1 w:val="00000000000000000000"/>
    <w:charset w:val="00"/>
    <w:family w:val="roman"/>
    <w:notTrueType/>
    <w:pitch w:val="variable"/>
    <w:sig w:usb0="60000287" w:usb1="00000001" w:usb2="00000000" w:usb3="00000000" w:csb0="0000019F" w:csb1="00000000"/>
  </w:font>
  <w:font w:name="DIN Light">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7C"/>
    <w:rsid w:val="00012405"/>
    <w:rsid w:val="000D2DFB"/>
    <w:rsid w:val="000F13AF"/>
    <w:rsid w:val="000F733E"/>
    <w:rsid w:val="001E6945"/>
    <w:rsid w:val="00362A2C"/>
    <w:rsid w:val="003C55F2"/>
    <w:rsid w:val="00611937"/>
    <w:rsid w:val="0067688E"/>
    <w:rsid w:val="006D617C"/>
    <w:rsid w:val="006E5C22"/>
    <w:rsid w:val="00737A75"/>
    <w:rsid w:val="008112E5"/>
    <w:rsid w:val="00862D91"/>
    <w:rsid w:val="008C73F0"/>
    <w:rsid w:val="00AB2F9F"/>
    <w:rsid w:val="00AD5495"/>
    <w:rsid w:val="00B90FE6"/>
    <w:rsid w:val="00C349D4"/>
    <w:rsid w:val="00C75F5F"/>
    <w:rsid w:val="00C94E69"/>
    <w:rsid w:val="00D9445C"/>
    <w:rsid w:val="00D9490F"/>
    <w:rsid w:val="00F20FF6"/>
    <w:rsid w:val="00F621FF"/>
    <w:rsid w:val="00FE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E69"/>
    <w:rPr>
      <w:color w:val="808080"/>
    </w:rPr>
  </w:style>
  <w:style w:type="paragraph" w:customStyle="1" w:styleId="A64396259BB54119B15F24C5B3E8D749">
    <w:name w:val="A64396259BB54119B15F24C5B3E8D749"/>
    <w:rsid w:val="006D617C"/>
  </w:style>
  <w:style w:type="paragraph" w:customStyle="1" w:styleId="DEBEA47C09C44534B2D3879BDE2AE1D9">
    <w:name w:val="DEBEA47C09C44534B2D3879BDE2AE1D9"/>
    <w:rsid w:val="006D617C"/>
  </w:style>
  <w:style w:type="paragraph" w:customStyle="1" w:styleId="3C47B00165324E07850AC98437EEB872">
    <w:name w:val="3C47B00165324E07850AC98437EEB872"/>
    <w:rsid w:val="00C94E69"/>
    <w:rPr>
      <w:lang w:val="en-GB" w:eastAsia="en-GB"/>
    </w:rPr>
  </w:style>
  <w:style w:type="paragraph" w:customStyle="1" w:styleId="A038800960C742A883D35008D7562FB7">
    <w:name w:val="A038800960C742A883D35008D7562FB7"/>
    <w:rsid w:val="00C94E69"/>
    <w:rPr>
      <w:lang w:val="en-GB" w:eastAsia="en-GB"/>
    </w:rPr>
  </w:style>
  <w:style w:type="paragraph" w:customStyle="1" w:styleId="B99FC89EFF4B44B08F5AEE9BEEAC4CB6">
    <w:name w:val="B99FC89EFF4B44B08F5AEE9BEEAC4CB6"/>
    <w:rsid w:val="00C94E69"/>
    <w:rPr>
      <w:lang w:val="en-GB" w:eastAsia="en-GB"/>
    </w:rPr>
  </w:style>
  <w:style w:type="paragraph" w:customStyle="1" w:styleId="4497B8533E25433F808ADF32BDC86B3A">
    <w:name w:val="4497B8533E25433F808ADF32BDC86B3A"/>
    <w:rsid w:val="00C94E69"/>
    <w:rPr>
      <w:lang w:val="en-GB" w:eastAsia="en-GB"/>
    </w:rPr>
  </w:style>
  <w:style w:type="paragraph" w:customStyle="1" w:styleId="FBA330934620417486583590388CBDBA">
    <w:name w:val="FBA330934620417486583590388CBDBA"/>
    <w:rsid w:val="00C94E69"/>
    <w:rPr>
      <w:lang w:val="en-GB" w:eastAsia="en-GB"/>
    </w:rPr>
  </w:style>
  <w:style w:type="character" w:styleId="Strong">
    <w:name w:val="Strong"/>
    <w:aliases w:val="Blue Bold"/>
    <w:basedOn w:val="DefaultParagraphFont"/>
    <w:uiPriority w:val="22"/>
    <w:qFormat/>
    <w:rsid w:val="00C94E69"/>
    <w:rPr>
      <w:b/>
      <w:bCs/>
      <w:color w:val="000000" w:themeColor="text1"/>
    </w:rPr>
  </w:style>
  <w:style w:type="paragraph" w:customStyle="1" w:styleId="FBA330934620417486583590388CBDBA1">
    <w:name w:val="FBA330934620417486583590388CBDBA1"/>
    <w:rsid w:val="00C94E69"/>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lexon v1">
  <a:themeElements>
    <a:clrScheme name="Revised Elexon">
      <a:dk1>
        <a:srgbClr val="00008B"/>
      </a:dk1>
      <a:lt1>
        <a:srgbClr val="FFFFFF"/>
      </a:lt1>
      <a:dk2>
        <a:srgbClr val="231F20"/>
      </a:dk2>
      <a:lt2>
        <a:srgbClr val="FFFFFF"/>
      </a:lt2>
      <a:accent1>
        <a:srgbClr val="00008B"/>
      </a:accent1>
      <a:accent2>
        <a:srgbClr val="FFD518"/>
      </a:accent2>
      <a:accent3>
        <a:srgbClr val="FF3F3F"/>
      </a:accent3>
      <a:accent4>
        <a:srgbClr val="A0C4E5"/>
      </a:accent4>
      <a:accent5>
        <a:srgbClr val="1C444C"/>
      </a:accent5>
      <a:accent6>
        <a:srgbClr val="F68B00"/>
      </a:accent6>
      <a:hlink>
        <a:srgbClr val="21DBAD"/>
      </a:hlink>
      <a:folHlink>
        <a:srgbClr val="00008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Elexon v1" id="{42AAC1CA-C947-4DC7-A732-9774A42C82FE}" vid="{39585881-AB66-4B4E-9716-A14877EC27E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166BC-2DD9-4CDB-BA76-08C300AE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8</Pages>
  <Words>3197</Words>
  <Characters>18228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Millar</dc:creator>
  <cp:keywords/>
  <dc:description/>
  <cp:lastModifiedBy>Oliver Meggitt</cp:lastModifiedBy>
  <cp:revision>3</cp:revision>
  <cp:lastPrinted>2020-10-12T10:52:00Z</cp:lastPrinted>
  <dcterms:created xsi:type="dcterms:W3CDTF">2021-08-19T14:28:00Z</dcterms:created>
  <dcterms:modified xsi:type="dcterms:W3CDTF">2021-08-19T14:41:00Z</dcterms:modified>
</cp:coreProperties>
</file>