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54" w:rsidRPr="00B63954" w:rsidRDefault="00D27FDF" w:rsidP="00D9183C">
      <w:pPr>
        <w:pStyle w:val="Heading1"/>
      </w:pPr>
      <w:r>
        <w:t>Headline report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03DE9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:rsidR="00103DE9" w:rsidRPr="002F2D1A" w:rsidRDefault="00D27FDF" w:rsidP="00B60DBC">
            <w:pPr>
              <w:pStyle w:val="ElexonTableTextSmall"/>
              <w:rPr>
                <w:rStyle w:val="Strong"/>
                <w:b w:val="0"/>
                <w:bCs w:val="0"/>
                <w:color w:val="231F20" w:themeColor="text2"/>
              </w:rPr>
            </w:pPr>
            <w:r w:rsidRPr="002F2D1A">
              <w:rPr>
                <w:rStyle w:val="Strong"/>
                <w:b w:val="0"/>
                <w:bCs w:val="0"/>
                <w:color w:val="231F20" w:themeColor="text2"/>
              </w:rPr>
              <w:t>Meeting name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:rsidR="00103DE9" w:rsidRPr="002F2D1A" w:rsidRDefault="002A5138" w:rsidP="00B60DBC">
            <w:pPr>
              <w:pStyle w:val="ElexonTableTextLarge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  <w:color w:val="231F20" w:themeColor="text2"/>
              </w:rPr>
              <w:t>Performance Assurance Board (PAB)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103DE9" w:rsidRDefault="00103DE9" w:rsidP="00867046"/>
        </w:tc>
        <w:tc>
          <w:tcPr>
            <w:tcW w:w="1555" w:type="dxa"/>
            <w:tcBorders>
              <w:right w:val="nil"/>
            </w:tcBorders>
          </w:tcPr>
          <w:p w:rsidR="00103DE9" w:rsidRDefault="00D27FDF" w:rsidP="00B60DBC">
            <w:pPr>
              <w:pStyle w:val="ElexonTableTextSmall"/>
            </w:pPr>
            <w:r>
              <w:t>Purpose of paper</w:t>
            </w:r>
          </w:p>
        </w:tc>
        <w:tc>
          <w:tcPr>
            <w:tcW w:w="3600" w:type="dxa"/>
            <w:tcBorders>
              <w:right w:val="nil"/>
            </w:tcBorders>
          </w:tcPr>
          <w:p w:rsidR="00103DE9" w:rsidRPr="008345BA" w:rsidRDefault="002A5138" w:rsidP="00B60DBC">
            <w:pPr>
              <w:pStyle w:val="ElexonTableTextLarge"/>
              <w:rPr>
                <w:rStyle w:val="Strong"/>
              </w:rPr>
            </w:pPr>
            <w:r>
              <w:t>Information</w:t>
            </w:r>
          </w:p>
        </w:tc>
      </w:tr>
      <w:tr w:rsidR="00D27FDF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:rsidR="00D27FDF" w:rsidRPr="002F2D1A" w:rsidRDefault="00D27FDF" w:rsidP="00B60DBC">
            <w:pPr>
              <w:pStyle w:val="ElexonTableTextSmall"/>
              <w:rPr>
                <w:color w:val="231F20" w:themeColor="text2"/>
              </w:rPr>
            </w:pPr>
            <w:r w:rsidRPr="002F2D1A">
              <w:rPr>
                <w:color w:val="231F20" w:themeColor="text2"/>
              </w:rPr>
              <w:t>Meeting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:rsidR="00D27FDF" w:rsidRPr="00D27FDF" w:rsidRDefault="002A5138" w:rsidP="00B60DBC">
            <w:pPr>
              <w:pStyle w:val="ElexonTableTextLarge"/>
            </w:pPr>
            <w:r>
              <w:t>PAB278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D27FDF" w:rsidRDefault="00D27FDF" w:rsidP="00867046"/>
        </w:tc>
        <w:tc>
          <w:tcPr>
            <w:tcW w:w="1555" w:type="dxa"/>
            <w:tcBorders>
              <w:right w:val="nil"/>
            </w:tcBorders>
          </w:tcPr>
          <w:p w:rsidR="00D27FDF" w:rsidRDefault="00D27FDF" w:rsidP="00B60DBC">
            <w:pPr>
              <w:pStyle w:val="ElexonTableTextSmall"/>
            </w:pPr>
            <w:r>
              <w:t>Classification</w:t>
            </w:r>
          </w:p>
        </w:tc>
        <w:sdt>
          <w:sdtPr>
            <w:rPr>
              <w:rStyle w:val="Regular"/>
            </w:rPr>
            <w:id w:val="-1337909032"/>
            <w:placeholder>
              <w:docPart w:val="8482B192624546A487C831AA77CAB3ED"/>
            </w:placeholder>
            <w15:color w:val="00008C"/>
            <w:dropDownList>
              <w:listItem w:displayText="Public" w:value="Public"/>
              <w:listItem w:displayText="Confidential" w:value="Confidential"/>
              <w:listItem w:displayText="Commercial in Confidence" w:value="Commercial in Confidence"/>
              <w:listItem w:displayText="Restricted" w:value="Restricted"/>
            </w:dropDownList>
          </w:sdtPr>
          <w:sdtEndPr>
            <w:rPr>
              <w:rStyle w:val="Strong"/>
              <w:b/>
              <w:bCs/>
              <w:color w:val="00008B" w:themeColor="text1"/>
            </w:rPr>
          </w:sdtEndPr>
          <w:sdtContent>
            <w:tc>
              <w:tcPr>
                <w:tcW w:w="3600" w:type="dxa"/>
                <w:tcBorders>
                  <w:right w:val="nil"/>
                </w:tcBorders>
              </w:tcPr>
              <w:p w:rsidR="00D27FDF" w:rsidRPr="008345BA" w:rsidRDefault="001E2C15" w:rsidP="00B60DBC">
                <w:pPr>
                  <w:pStyle w:val="ElexonTableTextLarge"/>
                  <w:rPr>
                    <w:rStyle w:val="Strong"/>
                  </w:rPr>
                </w:pPr>
                <w:r>
                  <w:rPr>
                    <w:rStyle w:val="Regular"/>
                  </w:rPr>
                  <w:t>Public</w:t>
                </w:r>
              </w:p>
            </w:tc>
          </w:sdtContent>
        </w:sdt>
      </w:tr>
      <w:tr w:rsidR="00D27FDF" w:rsidTr="002F2D1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:rsidR="00D27FDF" w:rsidRPr="002F2D1A" w:rsidRDefault="00D27FDF" w:rsidP="00B60DBC">
            <w:pPr>
              <w:pStyle w:val="ElexonTableTextSmall"/>
              <w:rPr>
                <w:color w:val="231F20" w:themeColor="text2"/>
              </w:rPr>
            </w:pPr>
            <w:r w:rsidRPr="002F2D1A">
              <w:rPr>
                <w:color w:val="231F20" w:themeColor="text2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:rsidR="00D27FDF" w:rsidRPr="00D27FDF" w:rsidRDefault="002A5138" w:rsidP="002A5138">
            <w:pPr>
              <w:pStyle w:val="ElexonTableTextLarge"/>
            </w:pPr>
            <w:r>
              <w:t>28 March 2024</w:t>
            </w:r>
            <w:r w:rsidR="00D27FDF" w:rsidRPr="00D27FDF">
              <w:t xml:space="preserve"> </w:t>
            </w:r>
            <w:r>
              <w:t>10:00am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D27FDF" w:rsidRDefault="00D27FDF" w:rsidP="00867046"/>
        </w:tc>
        <w:tc>
          <w:tcPr>
            <w:tcW w:w="1555" w:type="dxa"/>
            <w:tcBorders>
              <w:right w:val="nil"/>
            </w:tcBorders>
          </w:tcPr>
          <w:p w:rsidR="00D27FDF" w:rsidRDefault="00D27FDF" w:rsidP="00B60DBC">
            <w:pPr>
              <w:pStyle w:val="ElexonTableTextSmall"/>
            </w:pPr>
          </w:p>
        </w:tc>
        <w:tc>
          <w:tcPr>
            <w:tcW w:w="3600" w:type="dxa"/>
            <w:tcBorders>
              <w:right w:val="nil"/>
            </w:tcBorders>
          </w:tcPr>
          <w:p w:rsidR="00D27FDF" w:rsidRPr="00F251A3" w:rsidRDefault="00D27FDF" w:rsidP="00B60DBC">
            <w:pPr>
              <w:pStyle w:val="ElexonTableTextLarge"/>
              <w:rPr>
                <w:rStyle w:val="Strong"/>
                <w:b w:val="0"/>
                <w:bCs w:val="0"/>
                <w:color w:val="auto"/>
              </w:rPr>
            </w:pPr>
          </w:p>
        </w:tc>
      </w:tr>
    </w:tbl>
    <w:p w:rsidR="002F2D1A" w:rsidRDefault="002F2D1A"/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top w:w="284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86"/>
      </w:tblGrid>
      <w:tr w:rsidR="002F2D1A" w:rsidTr="002F2D1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  <w:vAlign w:val="top"/>
          </w:tcPr>
          <w:p w:rsidR="002F2D1A" w:rsidRPr="002F2D1A" w:rsidRDefault="002F2D1A" w:rsidP="002F2D1A">
            <w:pPr>
              <w:pStyle w:val="ElexonTableTextSmall"/>
              <w:rPr>
                <w:color w:val="231F20" w:themeColor="text2"/>
              </w:rPr>
            </w:pPr>
            <w:r>
              <w:t>Synopsis</w:t>
            </w:r>
          </w:p>
        </w:tc>
        <w:tc>
          <w:tcPr>
            <w:tcW w:w="8986" w:type="dxa"/>
            <w:tcBorders>
              <w:top w:val="single" w:sz="4" w:space="0" w:color="231F20" w:themeColor="text2"/>
              <w:left w:val="nil"/>
              <w:right w:val="nil"/>
            </w:tcBorders>
            <w:vAlign w:val="top"/>
          </w:tcPr>
          <w:p w:rsidR="002F2D1A" w:rsidRPr="00F251A3" w:rsidRDefault="002A5138" w:rsidP="002F2D1A">
            <w:pPr>
              <w:pStyle w:val="ElexonTableTextLarge"/>
            </w:pPr>
            <w:r>
              <w:t>This report sets out the headlines and key decisions taken at the most recent PAB meeting.</w:t>
            </w:r>
          </w:p>
        </w:tc>
      </w:tr>
    </w:tbl>
    <w:p w:rsidR="00A677F5" w:rsidRPr="001E19B7" w:rsidRDefault="002A5138" w:rsidP="001E19B7">
      <w:pPr>
        <w:pStyle w:val="Heading2"/>
      </w:pPr>
      <w:r>
        <w:t>Part I: Confidential Session</w:t>
      </w:r>
    </w:p>
    <w:p w:rsidR="0097769C" w:rsidRDefault="00231CAE" w:rsidP="00B60DBC">
      <w:pPr>
        <w:pStyle w:val="List"/>
      </w:pPr>
      <w:r>
        <w:t>BSC Party</w:t>
      </w:r>
      <w:r w:rsidR="002A5138">
        <w:t xml:space="preserve"> Error and Failure Resolution (EFR) Escalation</w:t>
      </w:r>
      <w:r w:rsidR="00CD605A">
        <w:t xml:space="preserve"> (PAB278/01)</w:t>
      </w:r>
    </w:p>
    <w:p w:rsidR="002A5138" w:rsidRDefault="002A5138" w:rsidP="002A5138">
      <w:pPr>
        <w:pStyle w:val="List2"/>
      </w:pPr>
      <w:r>
        <w:t xml:space="preserve">Elexon invited the PAB to note </w:t>
      </w:r>
      <w:r w:rsidR="00231CAE">
        <w:t>a BSC Party’s</w:t>
      </w:r>
      <w:r>
        <w:t xml:space="preserve"> Settlement Performance, approve </w:t>
      </w:r>
      <w:r w:rsidR="00231CAE">
        <w:t>the BSC Party’s</w:t>
      </w:r>
      <w:r>
        <w:t xml:space="preserve"> new milestones</w:t>
      </w:r>
      <w:r w:rsidR="00CD605A">
        <w:t xml:space="preserve"> and determine any further actions.</w:t>
      </w:r>
    </w:p>
    <w:p w:rsidR="00CD605A" w:rsidRDefault="00CD605A" w:rsidP="002A5138">
      <w:pPr>
        <w:pStyle w:val="List2"/>
      </w:pPr>
      <w:r>
        <w:t>The PAB:</w:t>
      </w:r>
    </w:p>
    <w:p w:rsidR="00CD605A" w:rsidRDefault="00CD605A" w:rsidP="00CD605A">
      <w:pPr>
        <w:pStyle w:val="List4"/>
      </w:pPr>
      <w:r>
        <w:rPr>
          <w:b/>
        </w:rPr>
        <w:t xml:space="preserve">NOTED </w:t>
      </w:r>
      <w:r w:rsidR="00231CAE" w:rsidRPr="00231CAE">
        <w:t>the BSC Party’s</w:t>
      </w:r>
      <w:r>
        <w:t xml:space="preserve"> Settlement Performance update;</w:t>
      </w:r>
    </w:p>
    <w:p w:rsidR="00CD605A" w:rsidRDefault="00CD605A" w:rsidP="00CD605A">
      <w:pPr>
        <w:pStyle w:val="List4"/>
      </w:pPr>
      <w:r>
        <w:rPr>
          <w:b/>
        </w:rPr>
        <w:t xml:space="preserve">APPROVED </w:t>
      </w:r>
      <w:r w:rsidR="00231CAE">
        <w:t>the BSC Party’s</w:t>
      </w:r>
      <w:r>
        <w:t xml:space="preserve"> new milestones; and</w:t>
      </w:r>
    </w:p>
    <w:p w:rsidR="00CD605A" w:rsidRDefault="00CD605A" w:rsidP="00CD605A">
      <w:pPr>
        <w:pStyle w:val="List4"/>
      </w:pPr>
      <w:r>
        <w:rPr>
          <w:b/>
        </w:rPr>
        <w:t>DETERMINED</w:t>
      </w:r>
      <w:r>
        <w:t xml:space="preserve"> that </w:t>
      </w:r>
      <w:r w:rsidR="00231CAE">
        <w:t>the BSC Party</w:t>
      </w:r>
      <w:r>
        <w:t xml:space="preserve"> would be asked to return to the PAB if any milestones were missed.</w:t>
      </w:r>
    </w:p>
    <w:p w:rsidR="00CD605A" w:rsidRDefault="00CD605A" w:rsidP="00CD605A">
      <w:pPr>
        <w:pStyle w:val="List"/>
      </w:pPr>
      <w:r>
        <w:t>Risk Report (PAB278/02)</w:t>
      </w:r>
    </w:p>
    <w:p w:rsidR="00CD605A" w:rsidRDefault="00CD605A" w:rsidP="00CD605A">
      <w:pPr>
        <w:pStyle w:val="List2"/>
      </w:pPr>
      <w:r>
        <w:t>This paper provided:</w:t>
      </w:r>
    </w:p>
    <w:p w:rsidR="00CD605A" w:rsidRDefault="00CD605A" w:rsidP="00CD605A">
      <w:pPr>
        <w:pStyle w:val="ListBullet"/>
      </w:pPr>
      <w:r>
        <w:t>An overview of Market level performance in each market segment;</w:t>
      </w:r>
    </w:p>
    <w:p w:rsidR="00CD605A" w:rsidRDefault="00CD605A" w:rsidP="00CD605A">
      <w:pPr>
        <w:pStyle w:val="ListBullet"/>
      </w:pPr>
      <w:r>
        <w:t>An update on Risks that are of current concern;</w:t>
      </w:r>
    </w:p>
    <w:p w:rsidR="00CD605A" w:rsidRDefault="00CD605A" w:rsidP="00CD605A">
      <w:pPr>
        <w:pStyle w:val="ListBullet"/>
      </w:pPr>
      <w:r>
        <w:t>CVA Risk Updates; and</w:t>
      </w:r>
    </w:p>
    <w:p w:rsidR="00CD605A" w:rsidRDefault="00CD605A" w:rsidP="00CD605A">
      <w:pPr>
        <w:pStyle w:val="ListBullet"/>
      </w:pPr>
      <w:r>
        <w:t>Performance Assurance Technique Updates.</w:t>
      </w:r>
    </w:p>
    <w:p w:rsidR="00CD605A" w:rsidRDefault="00CD605A" w:rsidP="005D2B2E">
      <w:pPr>
        <w:pStyle w:val="List2"/>
      </w:pPr>
      <w:r>
        <w:t>The PAB:</w:t>
      </w:r>
    </w:p>
    <w:p w:rsidR="00CD605A" w:rsidRDefault="00CD605A" w:rsidP="00CD605A">
      <w:pPr>
        <w:pStyle w:val="List4"/>
      </w:pPr>
      <w:r>
        <w:rPr>
          <w:b/>
        </w:rPr>
        <w:t xml:space="preserve">NOTED </w:t>
      </w:r>
      <w:r>
        <w:t xml:space="preserve">the Market Performance </w:t>
      </w:r>
      <w:r w:rsidR="00EA0A1C">
        <w:t>u</w:t>
      </w:r>
      <w:r>
        <w:t>pdate;</w:t>
      </w:r>
    </w:p>
    <w:p w:rsidR="00CD605A" w:rsidRDefault="00CD605A" w:rsidP="00CD605A">
      <w:pPr>
        <w:pStyle w:val="List4"/>
      </w:pPr>
      <w:r>
        <w:rPr>
          <w:b/>
        </w:rPr>
        <w:t xml:space="preserve">NOTED </w:t>
      </w:r>
      <w:r>
        <w:t xml:space="preserve">the Supplier Performance </w:t>
      </w:r>
      <w:r w:rsidR="00EA0A1C">
        <w:t>u</w:t>
      </w:r>
      <w:r>
        <w:t>pdate;</w:t>
      </w:r>
    </w:p>
    <w:p w:rsidR="00EA0A1C" w:rsidRDefault="00CD605A" w:rsidP="00CD605A">
      <w:pPr>
        <w:pStyle w:val="List4"/>
      </w:pPr>
      <w:r>
        <w:rPr>
          <w:b/>
        </w:rPr>
        <w:t xml:space="preserve">NOTED </w:t>
      </w:r>
      <w:r>
        <w:t xml:space="preserve">the </w:t>
      </w:r>
      <w:r w:rsidR="00EA0A1C">
        <w:t>Risks of Current Concern update;</w:t>
      </w:r>
    </w:p>
    <w:p w:rsidR="00EA0A1C" w:rsidRDefault="00EA0A1C" w:rsidP="00CD605A">
      <w:pPr>
        <w:pStyle w:val="List4"/>
      </w:pPr>
      <w:r>
        <w:rPr>
          <w:b/>
        </w:rPr>
        <w:t xml:space="preserve">NOTED </w:t>
      </w:r>
      <w:r>
        <w:t>the CVA Risk update;</w:t>
      </w:r>
      <w:bookmarkStart w:id="0" w:name="_GoBack"/>
      <w:bookmarkEnd w:id="0"/>
    </w:p>
    <w:p w:rsidR="00EA0A1C" w:rsidRDefault="00EA0A1C" w:rsidP="00CD605A">
      <w:pPr>
        <w:pStyle w:val="List4"/>
      </w:pPr>
      <w:r>
        <w:rPr>
          <w:b/>
        </w:rPr>
        <w:t xml:space="preserve">NOTED </w:t>
      </w:r>
      <w:r>
        <w:t>the Performance Assurance Techniques update;</w:t>
      </w:r>
    </w:p>
    <w:p w:rsidR="00731CC3" w:rsidRDefault="00731CC3" w:rsidP="00CD605A">
      <w:pPr>
        <w:pStyle w:val="List4"/>
      </w:pPr>
      <w:r w:rsidRPr="00731CC3">
        <w:rPr>
          <w:rStyle w:val="ui-provider"/>
          <w:b/>
        </w:rPr>
        <w:t>AGREED</w:t>
      </w:r>
      <w:r>
        <w:rPr>
          <w:rStyle w:val="ui-provider"/>
        </w:rPr>
        <w:t xml:space="preserve"> that EFR should be turned on for a CVA Registrant for persistent failure to comply with its BSC Obligations and a letter is written to confirm this</w:t>
      </w:r>
      <w:r>
        <w:rPr>
          <w:rStyle w:val="ui-provider"/>
        </w:rPr>
        <w:t>;</w:t>
      </w:r>
    </w:p>
    <w:p w:rsidR="00EA0A1C" w:rsidRDefault="00EA0A1C" w:rsidP="00CD605A">
      <w:pPr>
        <w:pStyle w:val="List4"/>
      </w:pPr>
      <w:r>
        <w:rPr>
          <w:b/>
        </w:rPr>
        <w:t xml:space="preserve">DID NOT AGREE </w:t>
      </w:r>
      <w:r>
        <w:t xml:space="preserve">that EFR should be turned off for </w:t>
      </w:r>
      <w:r w:rsidR="00231CAE">
        <w:t>a BSC Party</w:t>
      </w:r>
      <w:r>
        <w:t xml:space="preserve"> in relation to Non Half Hourly Measurement Class A and Half Hourly Measurement Class F performance and a letter is written to confirm this; and</w:t>
      </w:r>
    </w:p>
    <w:p w:rsidR="00EA0A1C" w:rsidRDefault="00EA0A1C" w:rsidP="00CD605A">
      <w:pPr>
        <w:pStyle w:val="List4"/>
      </w:pPr>
      <w:r>
        <w:rPr>
          <w:b/>
        </w:rPr>
        <w:lastRenderedPageBreak/>
        <w:t xml:space="preserve">APPROVED </w:t>
      </w:r>
      <w:r>
        <w:t xml:space="preserve">Elexon’s approach </w:t>
      </w:r>
      <w:r w:rsidR="00231CAE">
        <w:t>for a BSC Party’s</w:t>
      </w:r>
      <w:r>
        <w:t xml:space="preserve"> escalation to the BSC Panel for failure to make sufficient progress in its EFR Plan for Non Half Hourly Measurement Class A and Half Hourly Measurement Class F performance.</w:t>
      </w:r>
    </w:p>
    <w:p w:rsidR="00EA0A1C" w:rsidRDefault="00231CAE" w:rsidP="00932D69">
      <w:pPr>
        <w:pStyle w:val="List"/>
      </w:pPr>
      <w:r>
        <w:t>BSC Party</w:t>
      </w:r>
      <w:r w:rsidR="00932D69">
        <w:t xml:space="preserve"> EFR Escalation (PAB278/03)</w:t>
      </w:r>
    </w:p>
    <w:p w:rsidR="00932D69" w:rsidRDefault="00932D69" w:rsidP="00932D69">
      <w:pPr>
        <w:pStyle w:val="List2"/>
      </w:pPr>
      <w:r>
        <w:t xml:space="preserve">Elexon invited the PAB to note </w:t>
      </w:r>
      <w:r w:rsidR="00231CAE">
        <w:t xml:space="preserve">a BSC Party’s Settlement </w:t>
      </w:r>
      <w:r>
        <w:t xml:space="preserve">Performance, approve </w:t>
      </w:r>
      <w:r w:rsidR="00231CAE">
        <w:t>the BSC Party</w:t>
      </w:r>
      <w:r>
        <w:t>’s new milestones and determine any further actions.</w:t>
      </w:r>
    </w:p>
    <w:p w:rsidR="00932D69" w:rsidRDefault="00932D69" w:rsidP="00932D69">
      <w:pPr>
        <w:pStyle w:val="List2"/>
      </w:pPr>
      <w:r>
        <w:t>The PAB:</w:t>
      </w:r>
    </w:p>
    <w:p w:rsidR="00932D69" w:rsidRDefault="00932D69" w:rsidP="00932D69">
      <w:pPr>
        <w:pStyle w:val="List4"/>
      </w:pPr>
      <w:r>
        <w:rPr>
          <w:b/>
        </w:rPr>
        <w:t xml:space="preserve">NOTED </w:t>
      </w:r>
      <w:r w:rsidR="00231CAE">
        <w:t>the BSC Party’s</w:t>
      </w:r>
      <w:r>
        <w:t xml:space="preserve"> HH Sub 100kW Settlement Performance update;</w:t>
      </w:r>
    </w:p>
    <w:p w:rsidR="00932D69" w:rsidRDefault="00932D69" w:rsidP="00932D69">
      <w:pPr>
        <w:pStyle w:val="List4"/>
      </w:pPr>
      <w:r>
        <w:rPr>
          <w:b/>
        </w:rPr>
        <w:t xml:space="preserve">DID NOT APPROVE </w:t>
      </w:r>
      <w:r w:rsidR="00231CAE">
        <w:t>the BSC Party’s</w:t>
      </w:r>
      <w:r>
        <w:t xml:space="preserve"> new milestones;</w:t>
      </w:r>
    </w:p>
    <w:p w:rsidR="00932D69" w:rsidRDefault="00932D69" w:rsidP="00932D69">
      <w:pPr>
        <w:pStyle w:val="List4"/>
      </w:pPr>
      <w:r>
        <w:rPr>
          <w:b/>
        </w:rPr>
        <w:t>DETERMINED</w:t>
      </w:r>
      <w:r>
        <w:t xml:space="preserve"> that </w:t>
      </w:r>
      <w:r w:rsidR="00231CAE">
        <w:t>the BSC Party</w:t>
      </w:r>
      <w:r>
        <w:t xml:space="preserve"> should return to the PAB to present a plan containing more detail to support the proposed milestones, an outline of the resource allocated to deliver the plan and </w:t>
      </w:r>
      <w:r w:rsidR="00105583">
        <w:t>a significantly earlier date to return to a compliant position.</w:t>
      </w:r>
    </w:p>
    <w:p w:rsidR="00105583" w:rsidRDefault="00105583" w:rsidP="00105583">
      <w:pPr>
        <w:pStyle w:val="List"/>
      </w:pPr>
      <w:r>
        <w:t>Market-wide Half Hourly Settlement (MHHS) Supplier Charges Update (Verbal)</w:t>
      </w:r>
    </w:p>
    <w:p w:rsidR="00105583" w:rsidRDefault="00105583" w:rsidP="00105583">
      <w:pPr>
        <w:pStyle w:val="List2"/>
      </w:pPr>
      <w:r>
        <w:t>Elexon provided an update on the progress of the development of Supplier Charges for MHHS.</w:t>
      </w:r>
    </w:p>
    <w:p w:rsidR="00105583" w:rsidRDefault="00105583" w:rsidP="00105583">
      <w:pPr>
        <w:pStyle w:val="List2"/>
      </w:pPr>
      <w:r>
        <w:t>The PAB:</w:t>
      </w:r>
    </w:p>
    <w:p w:rsidR="00105583" w:rsidRDefault="00105583" w:rsidP="00105583">
      <w:pPr>
        <w:pStyle w:val="List4"/>
      </w:pPr>
      <w:r>
        <w:rPr>
          <w:b/>
        </w:rPr>
        <w:t xml:space="preserve">NOTED </w:t>
      </w:r>
      <w:r>
        <w:t>the update.</w:t>
      </w:r>
    </w:p>
    <w:p w:rsidR="00105583" w:rsidRDefault="00105583" w:rsidP="00105583">
      <w:pPr>
        <w:pStyle w:val="List"/>
      </w:pPr>
      <w:r>
        <w:t>Supplier Charges – December 2023 (PAB278/04)</w:t>
      </w:r>
    </w:p>
    <w:p w:rsidR="00105583" w:rsidRPr="00105583" w:rsidRDefault="00105583" w:rsidP="00105583">
      <w:pPr>
        <w:pStyle w:val="List2"/>
      </w:pPr>
      <w:r w:rsidRPr="00105583">
        <w:t xml:space="preserve">Elexon invited the PAB to approve the Supplier Charges for the </w:t>
      </w:r>
      <w:r>
        <w:t>December</w:t>
      </w:r>
      <w:r w:rsidRPr="00105583">
        <w:t xml:space="preserve"> 2023 reporting period.</w:t>
      </w:r>
    </w:p>
    <w:p w:rsidR="00105583" w:rsidRDefault="00105583" w:rsidP="00105583">
      <w:pPr>
        <w:pStyle w:val="List2"/>
      </w:pPr>
      <w:r>
        <w:t>The PAB:</w:t>
      </w:r>
    </w:p>
    <w:p w:rsidR="00105583" w:rsidRDefault="00105583" w:rsidP="00105583">
      <w:pPr>
        <w:pStyle w:val="List4"/>
      </w:pPr>
      <w:r>
        <w:rPr>
          <w:b/>
        </w:rPr>
        <w:t xml:space="preserve">APPROVED </w:t>
      </w:r>
      <w:r>
        <w:t>the net positions set out in the Payment Instructions for December 2023 (Attachment A); and</w:t>
      </w:r>
    </w:p>
    <w:p w:rsidR="00105583" w:rsidRDefault="00105583" w:rsidP="00105583">
      <w:pPr>
        <w:pStyle w:val="List4"/>
      </w:pPr>
      <w:r>
        <w:rPr>
          <w:b/>
        </w:rPr>
        <w:t xml:space="preserve">AUTHORISED </w:t>
      </w:r>
      <w:r>
        <w:t>that the Supplier Charges Reports for December 2023 are published, which Elexon will send to Trading Parties.</w:t>
      </w:r>
    </w:p>
    <w:p w:rsidR="00105583" w:rsidRDefault="00105583" w:rsidP="00105583">
      <w:pPr>
        <w:pStyle w:val="Heading2"/>
      </w:pPr>
      <w:r>
        <w:t>Part II: Public Session</w:t>
      </w:r>
    </w:p>
    <w:p w:rsidR="00932D69" w:rsidRDefault="00105583" w:rsidP="00105583">
      <w:pPr>
        <w:pStyle w:val="List"/>
      </w:pPr>
      <w:r>
        <w:t>Qualification Documents for PAB Approval (PAB278/06)</w:t>
      </w:r>
    </w:p>
    <w:p w:rsidR="00105583" w:rsidRDefault="00105583" w:rsidP="00105583">
      <w:pPr>
        <w:pStyle w:val="List2"/>
      </w:pPr>
      <w:r>
        <w:t>Elexon presented a set of documents to support MHHS Qualification processes for the PAB to approve.</w:t>
      </w:r>
    </w:p>
    <w:p w:rsidR="00105583" w:rsidRDefault="00105583" w:rsidP="00105583">
      <w:pPr>
        <w:pStyle w:val="List2"/>
      </w:pPr>
      <w:r>
        <w:t>The PAB:</w:t>
      </w:r>
    </w:p>
    <w:p w:rsidR="00105583" w:rsidRDefault="00557AB3" w:rsidP="00105583">
      <w:pPr>
        <w:pStyle w:val="List4"/>
      </w:pPr>
      <w:r>
        <w:rPr>
          <w:b/>
        </w:rPr>
        <w:t xml:space="preserve">APPROVED, by majority, </w:t>
      </w:r>
      <w:r>
        <w:t>the BSC Assessment Criteria for Qualification (Attachment A);</w:t>
      </w:r>
    </w:p>
    <w:p w:rsidR="00557AB3" w:rsidRDefault="00557AB3" w:rsidP="00105583">
      <w:pPr>
        <w:pStyle w:val="List4"/>
      </w:pPr>
      <w:r>
        <w:rPr>
          <w:b/>
        </w:rPr>
        <w:t xml:space="preserve">APPROVED, by majority, </w:t>
      </w:r>
      <w:r>
        <w:t>the Qualification Approach and Plan documentation (Attachments B, C and D); and</w:t>
      </w:r>
    </w:p>
    <w:p w:rsidR="00557AB3" w:rsidRDefault="00557AB3" w:rsidP="00105583">
      <w:pPr>
        <w:pStyle w:val="List4"/>
      </w:pPr>
      <w:r>
        <w:rPr>
          <w:b/>
        </w:rPr>
        <w:t xml:space="preserve">APPROVED, by majority, </w:t>
      </w:r>
      <w:r>
        <w:t>the Qualification Assessment Document (Attachment E).</w:t>
      </w:r>
    </w:p>
    <w:p w:rsidR="00557AB3" w:rsidRDefault="00557AB3" w:rsidP="00557AB3">
      <w:pPr>
        <w:pStyle w:val="List"/>
      </w:pPr>
      <w:r>
        <w:t>Risk Operating Plan (ROP) 2024/45 (PAB278/07)</w:t>
      </w:r>
    </w:p>
    <w:p w:rsidR="00557AB3" w:rsidRDefault="00557AB3" w:rsidP="00557AB3">
      <w:pPr>
        <w:pStyle w:val="List2"/>
      </w:pPr>
      <w:r>
        <w:t>Elexon presented the updated ROP, noting the amendments made following previous discussions with the PAB.</w:t>
      </w:r>
    </w:p>
    <w:p w:rsidR="00557AB3" w:rsidRDefault="00557AB3" w:rsidP="00557AB3">
      <w:pPr>
        <w:pStyle w:val="List2"/>
      </w:pPr>
      <w:r>
        <w:t>The PAB:</w:t>
      </w:r>
    </w:p>
    <w:p w:rsidR="00557AB3" w:rsidRDefault="00557AB3" w:rsidP="00557AB3">
      <w:pPr>
        <w:pStyle w:val="List4"/>
      </w:pPr>
      <w:r>
        <w:rPr>
          <w:b/>
        </w:rPr>
        <w:t xml:space="preserve">APPROVED </w:t>
      </w:r>
      <w:r>
        <w:t>the Risk Operating Plan for 2024/25.</w:t>
      </w:r>
    </w:p>
    <w:p w:rsidR="00557AB3" w:rsidRDefault="00557AB3" w:rsidP="00557AB3">
      <w:pPr>
        <w:pStyle w:val="List"/>
      </w:pPr>
      <w:r>
        <w:lastRenderedPageBreak/>
        <w:t>2024/25 BSC Audit Scope (PAB278/08)</w:t>
      </w:r>
    </w:p>
    <w:p w:rsidR="00557AB3" w:rsidRDefault="00557AB3" w:rsidP="00557AB3">
      <w:pPr>
        <w:pStyle w:val="List2"/>
      </w:pPr>
      <w:r>
        <w:t>Elexon presented the draft of the Scope for the 2024/25 BSC Audit for PAB comment.</w:t>
      </w:r>
    </w:p>
    <w:p w:rsidR="00557AB3" w:rsidRDefault="00557AB3" w:rsidP="00557AB3">
      <w:pPr>
        <w:pStyle w:val="List2"/>
      </w:pPr>
      <w:r>
        <w:t>The PAB:</w:t>
      </w:r>
    </w:p>
    <w:p w:rsidR="00557AB3" w:rsidRDefault="00B04CE3" w:rsidP="00557AB3">
      <w:pPr>
        <w:pStyle w:val="List4"/>
      </w:pPr>
      <w:r>
        <w:rPr>
          <w:b/>
        </w:rPr>
        <w:t xml:space="preserve">COMMENTED </w:t>
      </w:r>
      <w:r>
        <w:t>on the BSC Audit Scope 2024/25; and</w:t>
      </w:r>
    </w:p>
    <w:p w:rsidR="00B04CE3" w:rsidRDefault="00B04CE3" w:rsidP="00557AB3">
      <w:pPr>
        <w:pStyle w:val="List4"/>
      </w:pPr>
      <w:r>
        <w:rPr>
          <w:b/>
        </w:rPr>
        <w:t xml:space="preserve">DID NOT APPROVE </w:t>
      </w:r>
      <w:r>
        <w:t>the BSC Audit Scope document for use in the 2024/25 Audit cycle.</w:t>
      </w:r>
    </w:p>
    <w:p w:rsidR="00B04CE3" w:rsidRDefault="00B04CE3" w:rsidP="00B04CE3">
      <w:pPr>
        <w:pStyle w:val="List"/>
      </w:pPr>
      <w:r>
        <w:t>TAA Audit Scope 2024/25 (PAB278/09)</w:t>
      </w:r>
    </w:p>
    <w:p w:rsidR="00B04CE3" w:rsidRDefault="00B04CE3" w:rsidP="00B04CE3">
      <w:pPr>
        <w:pStyle w:val="List2"/>
      </w:pPr>
      <w:r>
        <w:t>Elexon presented the revised TAA Audit Scope, noting the amendments made following previous discussions with the PAB.</w:t>
      </w:r>
    </w:p>
    <w:p w:rsidR="00B04CE3" w:rsidRDefault="00B04CE3" w:rsidP="00B04CE3">
      <w:pPr>
        <w:pStyle w:val="List2"/>
      </w:pPr>
      <w:r>
        <w:t>The PAB:</w:t>
      </w:r>
    </w:p>
    <w:p w:rsidR="00B04CE3" w:rsidRDefault="00B04CE3" w:rsidP="00B04CE3">
      <w:pPr>
        <w:pStyle w:val="List4"/>
      </w:pPr>
      <w:r>
        <w:rPr>
          <w:b/>
        </w:rPr>
        <w:t xml:space="preserve">APPROVED </w:t>
      </w:r>
      <w:r>
        <w:t>the SVA Main Sample and Desktop Audits;</w:t>
      </w:r>
    </w:p>
    <w:p w:rsidR="00B04CE3" w:rsidRDefault="00B04CE3" w:rsidP="00B04CE3">
      <w:pPr>
        <w:pStyle w:val="List4"/>
      </w:pPr>
      <w:r>
        <w:rPr>
          <w:b/>
        </w:rPr>
        <w:t xml:space="preserve">APPROVED </w:t>
      </w:r>
      <w:r>
        <w:t>the SVA Specific Sample;</w:t>
      </w:r>
    </w:p>
    <w:p w:rsidR="00B04CE3" w:rsidRDefault="00B04CE3" w:rsidP="00B04CE3">
      <w:pPr>
        <w:pStyle w:val="List4"/>
      </w:pPr>
      <w:r>
        <w:rPr>
          <w:b/>
        </w:rPr>
        <w:t xml:space="preserve">APPROVED </w:t>
      </w:r>
      <w:r>
        <w:t>the CVA Specific Samples; and</w:t>
      </w:r>
    </w:p>
    <w:p w:rsidR="00B04CE3" w:rsidRDefault="00B04CE3" w:rsidP="00B04CE3">
      <w:pPr>
        <w:pStyle w:val="List4"/>
      </w:pPr>
      <w:r>
        <w:rPr>
          <w:b/>
        </w:rPr>
        <w:t xml:space="preserve">APPROVED </w:t>
      </w:r>
      <w:r>
        <w:t>the CVA Targeted Visits approach.</w:t>
      </w:r>
    </w:p>
    <w:p w:rsidR="00B05C12" w:rsidRDefault="00B05C12" w:rsidP="00B05C12">
      <w:pPr>
        <w:pStyle w:val="List"/>
      </w:pPr>
      <w:r>
        <w:t>Assurance Information Request (AIR) for P434 Unmetered Supplies (UMS) Migrations (PAB278/10)</w:t>
      </w:r>
    </w:p>
    <w:p w:rsidR="00B05C12" w:rsidRDefault="00B05C12" w:rsidP="00B05C12">
      <w:pPr>
        <w:pStyle w:val="List2"/>
      </w:pPr>
      <w:r>
        <w:t>Elexon requested the PAB approve the deployment of the AIR technique against a number of Suppliers, to gather information regarding UMS migrations required as a result of Modification P434.</w:t>
      </w:r>
    </w:p>
    <w:p w:rsidR="00B05C12" w:rsidRDefault="00B05C12" w:rsidP="00B05C12">
      <w:pPr>
        <w:pStyle w:val="List2"/>
      </w:pPr>
      <w:r>
        <w:t>The PAB:</w:t>
      </w:r>
    </w:p>
    <w:p w:rsidR="00B05C12" w:rsidRDefault="00B05C12" w:rsidP="00B05C12">
      <w:pPr>
        <w:pStyle w:val="List4"/>
      </w:pPr>
      <w:r>
        <w:rPr>
          <w:b/>
        </w:rPr>
        <w:t xml:space="preserve">NOTED </w:t>
      </w:r>
      <w:r>
        <w:t>the potential risks to P434 migration deadlines not being met;</w:t>
      </w:r>
    </w:p>
    <w:p w:rsidR="00B05C12" w:rsidRDefault="00B05C12" w:rsidP="00B05C12">
      <w:pPr>
        <w:pStyle w:val="List4"/>
      </w:pPr>
      <w:r>
        <w:rPr>
          <w:b/>
        </w:rPr>
        <w:t xml:space="preserve">APPROVED </w:t>
      </w:r>
      <w:r>
        <w:t>the recommendation to deploy the Assurance Information Request (AIR) for the 36 Suppliers identified in Appendix 1; and</w:t>
      </w:r>
    </w:p>
    <w:p w:rsidR="00B05C12" w:rsidRDefault="00B05C12" w:rsidP="00B05C12">
      <w:pPr>
        <w:pStyle w:val="List4"/>
      </w:pPr>
      <w:r>
        <w:rPr>
          <w:b/>
        </w:rPr>
        <w:t xml:space="preserve">NOTED </w:t>
      </w:r>
      <w:r>
        <w:t>that Elexon will report back to the PAB with the finding of the AIR and recommendations for next steps.</w:t>
      </w:r>
    </w:p>
    <w:p w:rsidR="00B04CE3" w:rsidRDefault="00B05C12" w:rsidP="00B05C12">
      <w:pPr>
        <w:pStyle w:val="Heading2"/>
      </w:pPr>
      <w:r>
        <w:t>Part III: Confidential Session – Standing Updates</w:t>
      </w:r>
    </w:p>
    <w:p w:rsidR="00B05C12" w:rsidRDefault="00B05C12" w:rsidP="00B05C12">
      <w:pPr>
        <w:pStyle w:val="List"/>
      </w:pPr>
      <w:r>
        <w:t>REC Update</w:t>
      </w:r>
    </w:p>
    <w:p w:rsidR="00B05C12" w:rsidRDefault="00B05C12" w:rsidP="00B05C12">
      <w:pPr>
        <w:pStyle w:val="List2"/>
      </w:pPr>
      <w:r>
        <w:t>No REC update was provided for this meeting.</w:t>
      </w:r>
    </w:p>
    <w:p w:rsidR="00B05C12" w:rsidRDefault="00B05C12" w:rsidP="00B05C12">
      <w:pPr>
        <w:pStyle w:val="List"/>
      </w:pPr>
      <w:r>
        <w:t>Panel Update</w:t>
      </w:r>
    </w:p>
    <w:p w:rsidR="00B05C12" w:rsidRDefault="00B05C12" w:rsidP="00B05C12">
      <w:pPr>
        <w:pStyle w:val="List2"/>
      </w:pPr>
      <w:r>
        <w:t>Elexon provided the PAB with an update on the most recent BSC Panel meeting.</w:t>
      </w:r>
    </w:p>
    <w:p w:rsidR="00B05C12" w:rsidRDefault="00B05C12" w:rsidP="00B05C12">
      <w:pPr>
        <w:pStyle w:val="List2"/>
      </w:pPr>
      <w:r>
        <w:t>The PAB:</w:t>
      </w:r>
    </w:p>
    <w:p w:rsidR="00B05C12" w:rsidRDefault="00B05C12" w:rsidP="00B05C12">
      <w:pPr>
        <w:pStyle w:val="List4"/>
      </w:pPr>
      <w:r>
        <w:rPr>
          <w:b/>
        </w:rPr>
        <w:t xml:space="preserve">NOTED </w:t>
      </w:r>
      <w:r>
        <w:t>the Panel Update.</w:t>
      </w:r>
    </w:p>
    <w:p w:rsidR="00B05C12" w:rsidRDefault="00B05C12" w:rsidP="00B05C12">
      <w:pPr>
        <w:pStyle w:val="List"/>
      </w:pPr>
      <w:r>
        <w:t>PAB Actions and Qual</w:t>
      </w:r>
      <w:r w:rsidR="00B4382A">
        <w:t>ification Actions</w:t>
      </w:r>
    </w:p>
    <w:p w:rsidR="00B05C12" w:rsidRDefault="00B05C12" w:rsidP="00B05C12">
      <w:pPr>
        <w:pStyle w:val="List2"/>
      </w:pPr>
      <w:r>
        <w:t>Elexon provided an update on the Actions and Qualification Actions.</w:t>
      </w:r>
    </w:p>
    <w:p w:rsidR="00B05C12" w:rsidRDefault="00B05C12" w:rsidP="00B05C12">
      <w:pPr>
        <w:pStyle w:val="List2"/>
      </w:pPr>
      <w:r>
        <w:t>The PAB:</w:t>
      </w:r>
    </w:p>
    <w:p w:rsidR="00B05C12" w:rsidRDefault="00B05C12" w:rsidP="00B05C12">
      <w:pPr>
        <w:pStyle w:val="List4"/>
      </w:pPr>
      <w:r>
        <w:rPr>
          <w:b/>
        </w:rPr>
        <w:t xml:space="preserve">APPROVED </w:t>
      </w:r>
      <w:r>
        <w:t>the PAB Actions and the Qualification Actions.</w:t>
      </w:r>
    </w:p>
    <w:p w:rsidR="00B05C12" w:rsidRDefault="00B05C12" w:rsidP="00B05C12">
      <w:pPr>
        <w:pStyle w:val="List"/>
      </w:pPr>
      <w:r>
        <w:t>Minutes from PAB277</w:t>
      </w:r>
    </w:p>
    <w:p w:rsidR="00B05C12" w:rsidRDefault="00B05C12" w:rsidP="00B05C12">
      <w:pPr>
        <w:pStyle w:val="List2"/>
      </w:pPr>
      <w:r>
        <w:lastRenderedPageBreak/>
        <w:t>Elexon provided the PAB with the Minutes of meeting PAB277.</w:t>
      </w:r>
    </w:p>
    <w:p w:rsidR="00B05C12" w:rsidRDefault="00B05C12" w:rsidP="00B05C12">
      <w:pPr>
        <w:pStyle w:val="List2"/>
      </w:pPr>
      <w:r>
        <w:t>The PAB:</w:t>
      </w:r>
    </w:p>
    <w:p w:rsidR="00103DE9" w:rsidRPr="00103DE9" w:rsidRDefault="00B05C12" w:rsidP="0097769C">
      <w:pPr>
        <w:pStyle w:val="List4"/>
      </w:pPr>
      <w:r>
        <w:rPr>
          <w:b/>
        </w:rPr>
        <w:t xml:space="preserve">APPROVED </w:t>
      </w:r>
      <w:r>
        <w:t>the minutes from PAB277.</w:t>
      </w:r>
      <w:r w:rsidR="00F251A3" w:rsidRPr="00B60DBC">
        <w:t xml:space="preserve"> </w:t>
      </w:r>
    </w:p>
    <w:sectPr w:rsidR="00103DE9" w:rsidRPr="00103DE9" w:rsidSect="008345B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38" w:rsidRDefault="002A5138" w:rsidP="00867046">
      <w:r>
        <w:separator/>
      </w:r>
    </w:p>
  </w:endnote>
  <w:endnote w:type="continuationSeparator" w:id="0">
    <w:p w:rsidR="002A5138" w:rsidRDefault="002A5138" w:rsidP="008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814011"/>
      <w:docPartObj>
        <w:docPartGallery w:val="Page Numbers (Bottom of Page)"/>
        <w:docPartUnique/>
      </w:docPartObj>
    </w:sdtPr>
    <w:sdtEndPr/>
    <w:sdtContent>
      <w:sdt>
        <w:sdtPr>
          <w:id w:val="-2019068503"/>
          <w:docPartObj>
            <w:docPartGallery w:val="Page Numbers (Top of Page)"/>
            <w:docPartUnique/>
          </w:docPartObj>
        </w:sdtPr>
        <w:sdtEndPr/>
        <w:sdtContent>
          <w:p w:rsidR="00AC33B2" w:rsidRPr="000811CC" w:rsidRDefault="000811CC" w:rsidP="000811C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B4382A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31CC3">
              <w:rPr>
                <w:noProof/>
              </w:rPr>
              <w:t>4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31CC3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45BA" w:rsidRPr="00B60DBC" w:rsidRDefault="000811CC" w:rsidP="00B60DB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B4382A">
              <w:rPr>
                <w:noProof/>
              </w:rPr>
              <w:t>2024</w:t>
            </w:r>
            <w:r>
              <w:fldChar w:fldCharType="end"/>
            </w:r>
            <w:r w:rsidR="00B60DBC">
              <w:tab/>
            </w:r>
            <w:r w:rsidR="00B60DBC">
              <w:tab/>
            </w:r>
            <w:r w:rsidR="00B60DBC" w:rsidRPr="008345BA">
              <w:t xml:space="preserve">Page </w:t>
            </w:r>
            <w:r w:rsidR="00B60DBC" w:rsidRPr="008345BA">
              <w:fldChar w:fldCharType="begin"/>
            </w:r>
            <w:r w:rsidR="00B60DBC" w:rsidRPr="008345BA">
              <w:instrText xml:space="preserve"> PAGE </w:instrText>
            </w:r>
            <w:r w:rsidR="00B60DBC" w:rsidRPr="008345BA">
              <w:fldChar w:fldCharType="separate"/>
            </w:r>
            <w:r w:rsidR="00731CC3">
              <w:rPr>
                <w:noProof/>
              </w:rPr>
              <w:t>1</w:t>
            </w:r>
            <w:r w:rsidR="00B60DBC" w:rsidRPr="008345BA">
              <w:fldChar w:fldCharType="end"/>
            </w:r>
            <w:r w:rsidR="00B60DBC" w:rsidRPr="008345BA">
              <w:t xml:space="preserve"> of </w:t>
            </w:r>
            <w:r w:rsidR="00B60DBC">
              <w:fldChar w:fldCharType="begin"/>
            </w:r>
            <w:r w:rsidR="00B60DBC">
              <w:instrText xml:space="preserve"> NUMPAGES  </w:instrText>
            </w:r>
            <w:r w:rsidR="00B60DBC">
              <w:fldChar w:fldCharType="separate"/>
            </w:r>
            <w:r w:rsidR="00731CC3">
              <w:rPr>
                <w:noProof/>
              </w:rPr>
              <w:t>4</w:t>
            </w:r>
            <w:r w:rsidR="00B60DBC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38" w:rsidRDefault="002A5138" w:rsidP="00867046">
      <w:r>
        <w:separator/>
      </w:r>
    </w:p>
  </w:footnote>
  <w:footnote w:type="continuationSeparator" w:id="0">
    <w:p w:rsidR="002A5138" w:rsidRDefault="002A5138" w:rsidP="0086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D0" w:rsidRDefault="00A342D0" w:rsidP="00867046"/>
  <w:p w:rsidR="00A342D0" w:rsidRDefault="00A342D0" w:rsidP="00867046"/>
  <w:p w:rsidR="00A342D0" w:rsidRDefault="00731CC3" w:rsidP="00867046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Headline report</w:t>
    </w:r>
    <w:r>
      <w:rPr>
        <w:noProof/>
      </w:rPr>
      <w:fldChar w:fldCharType="end"/>
    </w:r>
  </w:p>
  <w:p w:rsidR="00585BA3" w:rsidRPr="00585BA3" w:rsidRDefault="00585BA3" w:rsidP="008670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A" w:rsidRDefault="008345BA" w:rsidP="00867046">
    <w:pPr>
      <w:rPr>
        <w:noProof/>
      </w:rPr>
    </w:pPr>
  </w:p>
  <w:p w:rsidR="008345BA" w:rsidRDefault="008345BA" w:rsidP="00867046">
    <w:pPr>
      <w:rPr>
        <w:noProof/>
      </w:rPr>
    </w:pPr>
  </w:p>
  <w:p w:rsidR="008345BA" w:rsidRDefault="008345BA" w:rsidP="00867046">
    <w:pPr>
      <w:rPr>
        <w:noProof/>
      </w:rPr>
    </w:pPr>
  </w:p>
  <w:p w:rsidR="008345BA" w:rsidRDefault="00531ADF" w:rsidP="00867046">
    <w:pPr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1690BA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607B4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:rsidR="008345BA" w:rsidRDefault="008345BA" w:rsidP="00867046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BF6053E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44150CDF"/>
    <w:multiLevelType w:val="multilevel"/>
    <w:tmpl w:val="6CFC974A"/>
    <w:numStyleLink w:val="Elexonnumber"/>
  </w:abstractNum>
  <w:abstractNum w:abstractNumId="6" w15:restartNumberingAfterBreak="0">
    <w:nsid w:val="70A12913"/>
    <w:multiLevelType w:val="multilevel"/>
    <w:tmpl w:val="C98A6482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66268CE"/>
    <w:multiLevelType w:val="multilevel"/>
    <w:tmpl w:val="1040AE9E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7"/>
  </w:num>
  <w:num w:numId="10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11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13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0"/>
  </w:num>
  <w:num w:numId="20">
    <w:abstractNumId w:val="3"/>
  </w:num>
  <w:num w:numId="21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811CC"/>
    <w:rsid w:val="000B7B0D"/>
    <w:rsid w:val="00103DE9"/>
    <w:rsid w:val="00105583"/>
    <w:rsid w:val="001D58BD"/>
    <w:rsid w:val="001E19B7"/>
    <w:rsid w:val="001E2C15"/>
    <w:rsid w:val="00221E16"/>
    <w:rsid w:val="002226BD"/>
    <w:rsid w:val="00231CAE"/>
    <w:rsid w:val="002A5138"/>
    <w:rsid w:val="002D3DEB"/>
    <w:rsid w:val="002F2D1A"/>
    <w:rsid w:val="002F6C5F"/>
    <w:rsid w:val="003411EC"/>
    <w:rsid w:val="00355967"/>
    <w:rsid w:val="0036112A"/>
    <w:rsid w:val="00456B64"/>
    <w:rsid w:val="004B3328"/>
    <w:rsid w:val="00531ADF"/>
    <w:rsid w:val="00535B5A"/>
    <w:rsid w:val="0055302B"/>
    <w:rsid w:val="00557AB3"/>
    <w:rsid w:val="00585BA3"/>
    <w:rsid w:val="005A7D30"/>
    <w:rsid w:val="005C457D"/>
    <w:rsid w:val="005D2B2E"/>
    <w:rsid w:val="005E75E0"/>
    <w:rsid w:val="00660862"/>
    <w:rsid w:val="00731CC3"/>
    <w:rsid w:val="007351BE"/>
    <w:rsid w:val="007B21B5"/>
    <w:rsid w:val="007F1A2A"/>
    <w:rsid w:val="007F6823"/>
    <w:rsid w:val="008345BA"/>
    <w:rsid w:val="00867046"/>
    <w:rsid w:val="008946DB"/>
    <w:rsid w:val="008A015D"/>
    <w:rsid w:val="00904932"/>
    <w:rsid w:val="00932D69"/>
    <w:rsid w:val="00946851"/>
    <w:rsid w:val="0097769C"/>
    <w:rsid w:val="00996912"/>
    <w:rsid w:val="00A10A25"/>
    <w:rsid w:val="00A342D0"/>
    <w:rsid w:val="00A677F5"/>
    <w:rsid w:val="00AC33B2"/>
    <w:rsid w:val="00AD50AF"/>
    <w:rsid w:val="00B04CE3"/>
    <w:rsid w:val="00B05C12"/>
    <w:rsid w:val="00B4382A"/>
    <w:rsid w:val="00B60DBC"/>
    <w:rsid w:val="00B63954"/>
    <w:rsid w:val="00BA06BC"/>
    <w:rsid w:val="00BA0E67"/>
    <w:rsid w:val="00BA3D8A"/>
    <w:rsid w:val="00C22ED1"/>
    <w:rsid w:val="00C83B00"/>
    <w:rsid w:val="00CD605A"/>
    <w:rsid w:val="00CE2CB3"/>
    <w:rsid w:val="00D27FDF"/>
    <w:rsid w:val="00D9183C"/>
    <w:rsid w:val="00DB0285"/>
    <w:rsid w:val="00E35A1D"/>
    <w:rsid w:val="00EA0A1C"/>
    <w:rsid w:val="00F14B16"/>
    <w:rsid w:val="00F251A3"/>
    <w:rsid w:val="00F346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368D7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B7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1E19B7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1E19B7"/>
    <w:pPr>
      <w:numPr>
        <w:numId w:val="9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1E19B7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1E19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9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B7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1E19B7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9B7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E19B7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19B7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1E19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1E19B7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1E19B7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1E19B7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1E19B7"/>
    <w:rPr>
      <w:sz w:val="22"/>
    </w:rPr>
  </w:style>
  <w:style w:type="paragraph" w:customStyle="1" w:styleId="NoParagraphStyle">
    <w:name w:val="[No Paragraph Style]"/>
    <w:rsid w:val="001E19B7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E19B7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1E19B7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E19B7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1E19B7"/>
    <w:pPr>
      <w:numPr>
        <w:numId w:val="21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1E19B7"/>
    <w:pPr>
      <w:numPr>
        <w:ilvl w:val="1"/>
        <w:numId w:val="21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1E19B7"/>
    <w:pPr>
      <w:numPr>
        <w:ilvl w:val="2"/>
        <w:numId w:val="21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1E19B7"/>
    <w:pPr>
      <w:numPr>
        <w:ilvl w:val="2"/>
        <w:numId w:val="20"/>
      </w:numPr>
      <w:contextualSpacing/>
    </w:pPr>
  </w:style>
  <w:style w:type="paragraph" w:styleId="ListNumber">
    <w:name w:val="List Number"/>
    <w:basedOn w:val="Normal"/>
    <w:uiPriority w:val="99"/>
    <w:unhideWhenUsed/>
    <w:rsid w:val="001E19B7"/>
    <w:pPr>
      <w:numPr>
        <w:numId w:val="19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1E19B7"/>
    <w:pPr>
      <w:numPr>
        <w:ilvl w:val="1"/>
        <w:numId w:val="9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1E19B7"/>
    <w:rPr>
      <w:color w:val="808080"/>
    </w:rPr>
  </w:style>
  <w:style w:type="character" w:customStyle="1" w:styleId="Regular">
    <w:name w:val="Regular"/>
    <w:basedOn w:val="DefaultParagraphFont"/>
    <w:uiPriority w:val="1"/>
    <w:rsid w:val="001E19B7"/>
    <w:rPr>
      <w:color w:val="auto"/>
    </w:rPr>
  </w:style>
  <w:style w:type="paragraph" w:styleId="ListBullet">
    <w:name w:val="List Bullet"/>
    <w:basedOn w:val="Normal"/>
    <w:uiPriority w:val="99"/>
    <w:unhideWhenUsed/>
    <w:qFormat/>
    <w:rsid w:val="001E19B7"/>
    <w:pPr>
      <w:numPr>
        <w:numId w:val="17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1E19B7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1E19B7"/>
    <w:pPr>
      <w:numPr>
        <w:ilvl w:val="1"/>
        <w:numId w:val="17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1E19B7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1E19B7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1E19B7"/>
    <w:pPr>
      <w:numPr>
        <w:ilvl w:val="4"/>
        <w:numId w:val="21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basedOn w:val="Normal"/>
    <w:uiPriority w:val="99"/>
    <w:unhideWhenUsed/>
    <w:qFormat/>
    <w:rsid w:val="001E19B7"/>
    <w:pPr>
      <w:numPr>
        <w:ilvl w:val="2"/>
        <w:numId w:val="17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1E19B7"/>
    <w:pPr>
      <w:numPr>
        <w:ilvl w:val="3"/>
        <w:numId w:val="17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867046"/>
    <w:pPr>
      <w:ind w:left="720"/>
    </w:pPr>
  </w:style>
  <w:style w:type="paragraph" w:styleId="List5">
    <w:name w:val="List 5"/>
    <w:basedOn w:val="Normal"/>
    <w:uiPriority w:val="99"/>
    <w:unhideWhenUsed/>
    <w:qFormat/>
    <w:rsid w:val="001E19B7"/>
    <w:pPr>
      <w:tabs>
        <w:tab w:val="num" w:pos="4536"/>
      </w:tabs>
      <w:ind w:left="907" w:hanging="227"/>
      <w:contextualSpacing/>
    </w:pPr>
  </w:style>
  <w:style w:type="character" w:styleId="LineNumber">
    <w:name w:val="line number"/>
    <w:basedOn w:val="DefaultParagraphFont"/>
    <w:uiPriority w:val="99"/>
    <w:unhideWhenUsed/>
    <w:rsid w:val="00B60DBC"/>
  </w:style>
  <w:style w:type="paragraph" w:styleId="List4">
    <w:name w:val="List 4"/>
    <w:basedOn w:val="List3"/>
    <w:uiPriority w:val="99"/>
    <w:unhideWhenUsed/>
    <w:qFormat/>
    <w:rsid w:val="001E19B7"/>
    <w:pPr>
      <w:numPr>
        <w:ilvl w:val="3"/>
      </w:numPr>
    </w:pPr>
  </w:style>
  <w:style w:type="paragraph" w:styleId="ListBullet5">
    <w:name w:val="List Bullet 5"/>
    <w:basedOn w:val="Normal"/>
    <w:uiPriority w:val="99"/>
    <w:unhideWhenUsed/>
    <w:rsid w:val="001E19B7"/>
    <w:pPr>
      <w:numPr>
        <w:ilvl w:val="4"/>
        <w:numId w:val="1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B7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1E19B7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1E19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E19B7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9B7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E19B7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9B7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1E19B7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1E19B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E19B7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9B7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E19B7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1E19B7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1E19B7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1E19B7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9B7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1E19B7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1E19B7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E19B7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E19B7"/>
    <w:pPr>
      <w:spacing w:after="480" w:line="480" w:lineRule="atLeast"/>
    </w:pPr>
  </w:style>
  <w:style w:type="character" w:customStyle="1" w:styleId="ui-provider">
    <w:name w:val="ui-provider"/>
    <w:basedOn w:val="DefaultParagraphFont"/>
    <w:rsid w:val="0073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82B192624546A487C831AA77CA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0640-7538-41FD-BFDD-927A49A8F411}"/>
      </w:docPartPr>
      <w:docPartBody>
        <w:p w:rsidR="00E17279" w:rsidRDefault="006D617C" w:rsidP="006D617C">
          <w:pPr>
            <w:pStyle w:val="8482B192624546A487C831AA77CAB3ED"/>
          </w:pPr>
          <w:r w:rsidRPr="00F251A3">
            <w:t>[Click to choose a classification]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2A0F36"/>
    <w:rsid w:val="003E7CE0"/>
    <w:rsid w:val="00621C6D"/>
    <w:rsid w:val="006D617C"/>
    <w:rsid w:val="007B612D"/>
    <w:rsid w:val="00873492"/>
    <w:rsid w:val="00A04C3B"/>
    <w:rsid w:val="00A81362"/>
    <w:rsid w:val="00CA2E56"/>
    <w:rsid w:val="00D55021"/>
    <w:rsid w:val="00E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17C"/>
    <w:rPr>
      <w:color w:val="808080"/>
    </w:rPr>
  </w:style>
  <w:style w:type="character" w:styleId="Strong">
    <w:name w:val="Strong"/>
    <w:aliases w:val="Blue Bold"/>
    <w:basedOn w:val="DefaultParagraphFont"/>
    <w:uiPriority w:val="22"/>
    <w:qFormat/>
    <w:rsid w:val="006D617C"/>
    <w:rPr>
      <w:b/>
      <w:bCs/>
      <w:color w:val="000000" w:themeColor="text1"/>
    </w:rPr>
  </w:style>
  <w:style w:type="paragraph" w:customStyle="1" w:styleId="8482B192624546A487C831AA77CAB3ED">
    <w:name w:val="8482B192624546A487C831AA77CAB3ED"/>
    <w:rsid w:val="006D6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Meggitt</dc:creator>
  <cp:keywords/>
  <dc:description/>
  <cp:lastModifiedBy>Segun Kehinde</cp:lastModifiedBy>
  <cp:revision>3</cp:revision>
  <dcterms:created xsi:type="dcterms:W3CDTF">2024-03-29T11:15:00Z</dcterms:created>
  <dcterms:modified xsi:type="dcterms:W3CDTF">2024-04-03T15:28:00Z</dcterms:modified>
</cp:coreProperties>
</file>