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2494"/>
        <w:gridCol w:w="15"/>
        <w:gridCol w:w="7809"/>
      </w:tblGrid>
      <w:tr w:rsidR="003A1CE2" w:rsidRPr="00C03F6C" w:rsidTr="000078F3">
        <w:trPr>
          <w:trHeight w:val="550"/>
        </w:trPr>
        <w:tc>
          <w:tcPr>
            <w:tcW w:w="10318" w:type="dxa"/>
            <w:gridSpan w:val="3"/>
            <w:tcBorders>
              <w:bottom w:val="single" w:sz="36" w:space="0" w:color="0090AB" w:themeColor="text2"/>
            </w:tcBorders>
          </w:tcPr>
          <w:p w:rsidR="003A1CE2" w:rsidRPr="00C03F6C" w:rsidRDefault="00A45174" w:rsidP="00C03F6C">
            <w:pPr>
              <w:pStyle w:val="Title"/>
            </w:pPr>
            <w:r w:rsidRPr="00A45174">
              <w:t>Approach to agreeing whether SVA Metering Systems should be treated as recording volumes of exempt supply</w:t>
            </w:r>
          </w:p>
        </w:tc>
      </w:tr>
      <w:tr w:rsidR="00270DC2" w:rsidRPr="00E11F1F" w:rsidTr="00506E22">
        <w:trPr>
          <w:trHeight w:val="482"/>
        </w:trPr>
        <w:tc>
          <w:tcPr>
            <w:tcW w:w="2509" w:type="dxa"/>
            <w:gridSpan w:val="2"/>
            <w:tcBorders>
              <w:top w:val="single" w:sz="36" w:space="0" w:color="0090AB" w:themeColor="text2"/>
              <w:bottom w:val="single" w:sz="36" w:space="0" w:color="DCDCDC" w:themeColor="accent3"/>
            </w:tcBorders>
            <w:vAlign w:val="center"/>
          </w:tcPr>
          <w:p w:rsidR="00270DC2" w:rsidRPr="005423DC" w:rsidRDefault="00EB4318" w:rsidP="00051D61">
            <w:pPr>
              <w:pStyle w:val="Introtabletextblue"/>
            </w:pPr>
            <w:r>
              <w:t>Meeting</w:t>
            </w:r>
            <w:r w:rsidR="00051D61">
              <w:t xml:space="preserve"> name</w:t>
            </w:r>
          </w:p>
        </w:tc>
        <w:tc>
          <w:tcPr>
            <w:tcW w:w="7809" w:type="dxa"/>
            <w:tcBorders>
              <w:top w:val="single" w:sz="36" w:space="0" w:color="0090AB" w:themeColor="text2"/>
              <w:bottom w:val="single" w:sz="36" w:space="0" w:color="DCDCDC" w:themeColor="accent3"/>
            </w:tcBorders>
            <w:vAlign w:val="center"/>
          </w:tcPr>
          <w:p w:rsidR="00270DC2" w:rsidRPr="00C03F6C" w:rsidRDefault="00A45174" w:rsidP="00C03F6C">
            <w:pPr>
              <w:pStyle w:val="Introtabletext"/>
            </w:pPr>
            <w:r>
              <w:t>SVG 215</w:t>
            </w:r>
          </w:p>
        </w:tc>
      </w:tr>
      <w:tr w:rsidR="00506E22" w:rsidTr="00FE5A4F">
        <w:tc>
          <w:tcPr>
            <w:tcW w:w="2494" w:type="dxa"/>
            <w:tcBorders>
              <w:top w:val="single" w:sz="36" w:space="0" w:color="DCDCDC" w:themeColor="accent3"/>
            </w:tcBorders>
            <w:tcMar>
              <w:top w:w="170" w:type="dxa"/>
            </w:tcMar>
          </w:tcPr>
          <w:p w:rsidR="00506E22" w:rsidRDefault="00506E22" w:rsidP="00FE5A4F">
            <w:pPr>
              <w:pStyle w:val="Introtabletextbold"/>
            </w:pPr>
            <w:r>
              <w:t>Date</w:t>
            </w:r>
            <w:r w:rsidR="00EB4318">
              <w:t xml:space="preserve"> of meeting</w:t>
            </w:r>
          </w:p>
        </w:tc>
        <w:tc>
          <w:tcPr>
            <w:tcW w:w="7824" w:type="dxa"/>
            <w:gridSpan w:val="2"/>
            <w:tcBorders>
              <w:top w:val="single" w:sz="36" w:space="0" w:color="DCDCDC" w:themeColor="accent3"/>
            </w:tcBorders>
            <w:tcMar>
              <w:top w:w="170" w:type="dxa"/>
            </w:tcMar>
          </w:tcPr>
          <w:p w:rsidR="00506E22" w:rsidRDefault="00A45174" w:rsidP="00FE5A4F">
            <w:pPr>
              <w:pStyle w:val="Date"/>
            </w:pPr>
            <w:r>
              <w:t>8 January 2019</w:t>
            </w:r>
          </w:p>
        </w:tc>
      </w:tr>
      <w:tr w:rsidR="00EB4318" w:rsidRPr="00E11F1F" w:rsidTr="00FE5A4F">
        <w:tc>
          <w:tcPr>
            <w:tcW w:w="2509" w:type="dxa"/>
            <w:gridSpan w:val="2"/>
            <w:tcMar>
              <w:top w:w="170" w:type="dxa"/>
              <w:bottom w:w="0" w:type="dxa"/>
            </w:tcMar>
          </w:tcPr>
          <w:p w:rsidR="00EB4318" w:rsidRPr="005423DC" w:rsidRDefault="00C63D70" w:rsidP="00FE5A4F">
            <w:pPr>
              <w:pStyle w:val="Introtabletextbold"/>
            </w:pPr>
            <w:r>
              <w:t>Paper number</w:t>
            </w:r>
          </w:p>
        </w:tc>
        <w:tc>
          <w:tcPr>
            <w:tcW w:w="7809" w:type="dxa"/>
            <w:tcMar>
              <w:top w:w="170" w:type="dxa"/>
            </w:tcMar>
          </w:tcPr>
          <w:p w:rsidR="00EB4318" w:rsidRPr="00E11F1F" w:rsidRDefault="00A45174" w:rsidP="00FE5A4F">
            <w:pPr>
              <w:pStyle w:val="Introtabletext"/>
            </w:pPr>
            <w:r>
              <w:t>215/</w:t>
            </w:r>
            <w:r w:rsidR="00F40624">
              <w:t>02</w:t>
            </w:r>
          </w:p>
        </w:tc>
      </w:tr>
      <w:tr w:rsidR="00EB4318" w:rsidRPr="00E11F1F" w:rsidTr="00FE5A4F">
        <w:tc>
          <w:tcPr>
            <w:tcW w:w="2509" w:type="dxa"/>
            <w:gridSpan w:val="2"/>
            <w:tcMar>
              <w:top w:w="170" w:type="dxa"/>
              <w:bottom w:w="0" w:type="dxa"/>
            </w:tcMar>
          </w:tcPr>
          <w:p w:rsidR="00EB4318" w:rsidRPr="005423DC" w:rsidRDefault="00EB4318" w:rsidP="00FE5A4F">
            <w:pPr>
              <w:pStyle w:val="Introtabletextbold"/>
            </w:pPr>
            <w:r>
              <w:t>Owner/a</w:t>
            </w:r>
            <w:r w:rsidRPr="005423DC">
              <w:t>uthor</w:t>
            </w:r>
          </w:p>
        </w:tc>
        <w:tc>
          <w:tcPr>
            <w:tcW w:w="7809" w:type="dxa"/>
            <w:tcMar>
              <w:top w:w="170" w:type="dxa"/>
            </w:tcMar>
          </w:tcPr>
          <w:p w:rsidR="00EB4318" w:rsidRPr="00E11F1F" w:rsidRDefault="00A45174" w:rsidP="00FE5A4F">
            <w:pPr>
              <w:pStyle w:val="Introtabletext"/>
            </w:pPr>
            <w:r>
              <w:t>John Lucas</w:t>
            </w:r>
          </w:p>
        </w:tc>
      </w:tr>
      <w:tr w:rsidR="00270DC2" w:rsidRPr="00E11F1F" w:rsidTr="00FE5A4F">
        <w:tc>
          <w:tcPr>
            <w:tcW w:w="2509" w:type="dxa"/>
            <w:gridSpan w:val="2"/>
            <w:tcMar>
              <w:top w:w="170" w:type="dxa"/>
              <w:bottom w:w="0" w:type="dxa"/>
            </w:tcMar>
          </w:tcPr>
          <w:p w:rsidR="00270DC2" w:rsidRPr="005423DC" w:rsidRDefault="00EB4318" w:rsidP="00FE5A4F">
            <w:pPr>
              <w:pStyle w:val="Introtabletextbold"/>
            </w:pPr>
            <w:r>
              <w:t>Purpose of paper</w:t>
            </w:r>
          </w:p>
        </w:tc>
        <w:tc>
          <w:tcPr>
            <w:tcW w:w="7809" w:type="dxa"/>
            <w:tcMar>
              <w:top w:w="170" w:type="dxa"/>
            </w:tcMar>
          </w:tcPr>
          <w:p w:rsidR="00270DC2" w:rsidRPr="00E11F1F" w:rsidRDefault="00A45174" w:rsidP="00FE5A4F">
            <w:pPr>
              <w:pStyle w:val="Introtabletext"/>
            </w:pPr>
            <w:r>
              <w:t>Decision</w:t>
            </w:r>
          </w:p>
        </w:tc>
      </w:tr>
      <w:tr w:rsidR="00270DC2" w:rsidRPr="00E11F1F" w:rsidTr="00FE5A4F">
        <w:tc>
          <w:tcPr>
            <w:tcW w:w="2509" w:type="dxa"/>
            <w:gridSpan w:val="2"/>
            <w:tcMar>
              <w:top w:w="170" w:type="dxa"/>
              <w:bottom w:w="0" w:type="dxa"/>
            </w:tcMar>
          </w:tcPr>
          <w:p w:rsidR="00270DC2" w:rsidRPr="005423DC" w:rsidRDefault="00EB4318" w:rsidP="00FE5A4F">
            <w:pPr>
              <w:pStyle w:val="Introtabletextbold"/>
            </w:pPr>
            <w:r w:rsidRPr="005423DC">
              <w:t>Classification</w:t>
            </w:r>
          </w:p>
        </w:tc>
        <w:tc>
          <w:tcPr>
            <w:tcW w:w="7809" w:type="dxa"/>
            <w:tcMar>
              <w:top w:w="170" w:type="dxa"/>
            </w:tcMar>
          </w:tcPr>
          <w:p w:rsidR="00270DC2" w:rsidRPr="00C03F6C" w:rsidRDefault="00DC2CAF" w:rsidP="00FE5A4F">
            <w:pPr>
              <w:pStyle w:val="Introtabletext"/>
            </w:pPr>
            <w:sdt>
              <w:sdtPr>
                <w:id w:val="405815754"/>
                <w:placeholder>
                  <w:docPart w:val="18D839FB450446229F3171577C015A45"/>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sdtContent>
                <w:r w:rsidR="00A45174">
                  <w:t>Public</w:t>
                </w:r>
              </w:sdtContent>
            </w:sdt>
          </w:p>
        </w:tc>
      </w:tr>
      <w:tr w:rsidR="00270DC2" w:rsidRPr="00E11F1F" w:rsidTr="00FE5A4F">
        <w:tc>
          <w:tcPr>
            <w:tcW w:w="2509" w:type="dxa"/>
            <w:gridSpan w:val="2"/>
            <w:tcBorders>
              <w:bottom w:val="single" w:sz="36" w:space="0" w:color="0090AB" w:themeColor="text2"/>
            </w:tcBorders>
            <w:tcMar>
              <w:top w:w="170" w:type="dxa"/>
              <w:bottom w:w="170" w:type="dxa"/>
            </w:tcMar>
          </w:tcPr>
          <w:p w:rsidR="00270DC2" w:rsidRPr="005423DC" w:rsidRDefault="00EB4318" w:rsidP="00FE5A4F">
            <w:pPr>
              <w:pStyle w:val="Introtabletextbold"/>
            </w:pPr>
            <w:r w:rsidRPr="005423DC">
              <w:t>Summary</w:t>
            </w:r>
          </w:p>
        </w:tc>
        <w:tc>
          <w:tcPr>
            <w:tcW w:w="7809" w:type="dxa"/>
            <w:tcBorders>
              <w:bottom w:val="single" w:sz="36" w:space="0" w:color="0090AB" w:themeColor="text2"/>
            </w:tcBorders>
            <w:tcMar>
              <w:top w:w="170" w:type="dxa"/>
              <w:bottom w:w="170" w:type="dxa"/>
            </w:tcMar>
          </w:tcPr>
          <w:p w:rsidR="00270DC2" w:rsidRPr="00E11F1F" w:rsidRDefault="00C55AF7" w:rsidP="00F40624">
            <w:pPr>
              <w:pStyle w:val="Introtabletext"/>
            </w:pPr>
            <w:r>
              <w:t>The BSC Panel ha</w:t>
            </w:r>
            <w:r w:rsidR="00F40624">
              <w:t>s</w:t>
            </w:r>
            <w:r>
              <w:t xml:space="preserve"> agreed to delegate to SVG the power to agree which SVA Metering Systems should be treated (for purposes of the BSC and specifically the provision of charging data to EMRS) as recording volumes of exempt supply. ELEXON has drafted</w:t>
            </w:r>
            <w:r w:rsidR="00F50A92">
              <w:t xml:space="preserve"> an approach</w:t>
            </w:r>
            <w:r>
              <w:t xml:space="preserve"> in this paper</w:t>
            </w:r>
            <w:r w:rsidR="00F50A92">
              <w:t xml:space="preserve"> to receiving </w:t>
            </w:r>
            <w:r w:rsidR="00375038">
              <w:t xml:space="preserve">and agreeing </w:t>
            </w:r>
            <w:r w:rsidR="00F50A92">
              <w:t xml:space="preserve">applications for exempt supply volumes </w:t>
            </w:r>
            <w:r w:rsidR="00375038">
              <w:t>(</w:t>
            </w:r>
            <w:r w:rsidR="00F50A92">
              <w:t>to be excluded from the gross demand data reported to EMRS in accordance with Section V of the BSC</w:t>
            </w:r>
            <w:r w:rsidR="00375038">
              <w:t>)</w:t>
            </w:r>
            <w:r w:rsidR="00F50A92">
              <w:t>.</w:t>
            </w:r>
            <w:r>
              <w:t xml:space="preserve"> The SVG is requested to agree this approach.</w:t>
            </w:r>
          </w:p>
        </w:tc>
      </w:tr>
    </w:tbl>
    <w:p w:rsidR="003A1CE2" w:rsidRDefault="003A1CE2" w:rsidP="003D0B17">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C5F0B" w:rsidTr="009B7B08">
        <w:trPr>
          <w:trHeight w:val="159"/>
        </w:trPr>
        <w:tc>
          <w:tcPr>
            <w:tcW w:w="2296" w:type="dxa"/>
            <w:tcBorders>
              <w:top w:val="single" w:sz="36" w:space="0" w:color="0090AB" w:themeColor="text2"/>
            </w:tcBorders>
            <w:shd w:val="clear" w:color="auto" w:fill="FFFFFF" w:themeFill="background1"/>
          </w:tcPr>
          <w:p w:rsidR="007C5F0B" w:rsidRDefault="007C5F0B" w:rsidP="009B7B08">
            <w:pPr>
              <w:pStyle w:val="1pt"/>
            </w:pPr>
          </w:p>
        </w:tc>
        <w:tc>
          <w:tcPr>
            <w:tcW w:w="284" w:type="dxa"/>
            <w:shd w:val="clear" w:color="auto" w:fill="FFFFFF" w:themeFill="background1"/>
          </w:tcPr>
          <w:p w:rsidR="007C5F0B" w:rsidRDefault="007C5F0B" w:rsidP="009B7B08">
            <w:pPr>
              <w:pStyle w:val="1pt"/>
            </w:pPr>
          </w:p>
        </w:tc>
        <w:tc>
          <w:tcPr>
            <w:tcW w:w="2714" w:type="dxa"/>
            <w:tcBorders>
              <w:top w:val="single" w:sz="36" w:space="0" w:color="0090AB" w:themeColor="text2"/>
            </w:tcBorders>
            <w:shd w:val="clear" w:color="auto" w:fill="FFFFFF" w:themeFill="background1"/>
          </w:tcPr>
          <w:p w:rsidR="007C5F0B" w:rsidRDefault="007C5F0B" w:rsidP="009B7B08">
            <w:pPr>
              <w:pStyle w:val="1pt"/>
            </w:pPr>
          </w:p>
        </w:tc>
        <w:tc>
          <w:tcPr>
            <w:tcW w:w="2712" w:type="dxa"/>
            <w:tcBorders>
              <w:top w:val="single" w:sz="36" w:space="0" w:color="0090AB" w:themeColor="text2"/>
            </w:tcBorders>
            <w:shd w:val="clear" w:color="auto" w:fill="FFFFFF" w:themeFill="background1"/>
          </w:tcPr>
          <w:p w:rsidR="007C5F0B" w:rsidRDefault="007C5F0B" w:rsidP="009B7B08">
            <w:pPr>
              <w:pStyle w:val="1pt"/>
            </w:pPr>
          </w:p>
        </w:tc>
        <w:tc>
          <w:tcPr>
            <w:tcW w:w="2301" w:type="dxa"/>
            <w:tcBorders>
              <w:top w:val="single" w:sz="36" w:space="0" w:color="0090AB" w:themeColor="text2"/>
            </w:tcBorders>
            <w:shd w:val="clear" w:color="auto" w:fill="FFFFFF" w:themeFill="background1"/>
          </w:tcPr>
          <w:p w:rsidR="007C5F0B" w:rsidRPr="009845EB" w:rsidRDefault="007C5F0B" w:rsidP="009B7B08">
            <w:pPr>
              <w:pStyle w:val="1pt"/>
            </w:pPr>
          </w:p>
        </w:tc>
      </w:tr>
      <w:tr w:rsidR="007C5F0B" w:rsidTr="009B7B08">
        <w:trPr>
          <w:trHeight w:val="357"/>
        </w:trPr>
        <w:tc>
          <w:tcPr>
            <w:tcW w:w="2296" w:type="dxa"/>
            <w:shd w:val="clear" w:color="auto" w:fill="FFFFFF" w:themeFill="background1"/>
          </w:tcPr>
          <w:p w:rsidR="007C5F0B" w:rsidRPr="00BF573B" w:rsidRDefault="00F50A92" w:rsidP="00F40624">
            <w:pPr>
              <w:pStyle w:val="FooterRef1"/>
              <w:framePr w:hSpace="0" w:wrap="auto" w:vAnchor="margin" w:hAnchor="text" w:yAlign="inline"/>
              <w:suppressOverlap w:val="0"/>
            </w:pPr>
            <w:r>
              <w:t>215/</w:t>
            </w:r>
            <w:r w:rsidR="00F40624">
              <w:t>02</w:t>
            </w:r>
          </w:p>
        </w:tc>
        <w:tc>
          <w:tcPr>
            <w:tcW w:w="284" w:type="dxa"/>
            <w:shd w:val="clear" w:color="auto" w:fill="FFFFFF" w:themeFill="background1"/>
          </w:tcPr>
          <w:p w:rsidR="007C5F0B" w:rsidRDefault="007C5F0B" w:rsidP="009B7B08">
            <w:pPr>
              <w:pStyle w:val="Footer"/>
            </w:pPr>
          </w:p>
        </w:tc>
        <w:tc>
          <w:tcPr>
            <w:tcW w:w="5426" w:type="dxa"/>
            <w:gridSpan w:val="2"/>
            <w:shd w:val="clear" w:color="auto" w:fill="FFFFFF" w:themeFill="background1"/>
          </w:tcPr>
          <w:p w:rsidR="007C5F0B" w:rsidRPr="00B120C5" w:rsidRDefault="007C5F0B" w:rsidP="009B7B08">
            <w:pPr>
              <w:pStyle w:val="FooterRef2"/>
              <w:framePr w:hSpace="0" w:wrap="auto" w:vAnchor="margin" w:hAnchor="text" w:yAlign="inline"/>
              <w:suppressOverlap w:val="0"/>
            </w:pPr>
          </w:p>
        </w:tc>
        <w:tc>
          <w:tcPr>
            <w:tcW w:w="2301" w:type="dxa"/>
            <w:vMerge w:val="restart"/>
            <w:shd w:val="clear" w:color="auto" w:fill="FFFFFF" w:themeFill="background1"/>
            <w:vAlign w:val="bottom"/>
          </w:tcPr>
          <w:p w:rsidR="007C5F0B" w:rsidRDefault="007C5F0B" w:rsidP="009B7B08">
            <w:pPr>
              <w:pStyle w:val="Footer"/>
            </w:pPr>
            <w:r>
              <w:rPr>
                <w:rFonts w:hint="eastAsia"/>
                <w:noProof/>
                <w:lang w:eastAsia="en-GB"/>
              </w:rPr>
              <w:drawing>
                <wp:inline distT="0" distB="0" distL="0" distR="0" wp14:anchorId="508F8512" wp14:editId="2CF0EAB8">
                  <wp:extent cx="146196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C5F0B" w:rsidTr="009B7B08">
        <w:trPr>
          <w:trHeight w:val="295"/>
        </w:trPr>
        <w:tc>
          <w:tcPr>
            <w:tcW w:w="2296" w:type="dxa"/>
            <w:shd w:val="clear" w:color="auto" w:fill="FFFFFF" w:themeFill="background1"/>
          </w:tcPr>
          <w:p w:rsidR="007C5F0B" w:rsidRPr="004873F8" w:rsidRDefault="007C5F0B" w:rsidP="009B7B08">
            <w:pPr>
              <w:pStyle w:val="Footer"/>
            </w:pPr>
            <w:r w:rsidRPr="004873F8">
              <w:t xml:space="preserve">Page </w:t>
            </w:r>
            <w:r>
              <w:fldChar w:fldCharType="begin"/>
            </w:r>
            <w:r>
              <w:instrText xml:space="preserve"> PAGE  \* Arabic  \* MERGEFORMAT </w:instrText>
            </w:r>
            <w:r>
              <w:fldChar w:fldCharType="separate"/>
            </w:r>
            <w:r w:rsidR="005E3CC6">
              <w:rPr>
                <w:noProof/>
              </w:rPr>
              <w:t>1</w:t>
            </w:r>
            <w:r>
              <w:rPr>
                <w:noProof/>
              </w:rPr>
              <w:fldChar w:fldCharType="end"/>
            </w:r>
            <w:r w:rsidRPr="004873F8">
              <w:t xml:space="preserve"> of </w:t>
            </w:r>
            <w:fldSimple w:instr=" NUMPAGES  \* Arabic  \* MERGEFORMAT ">
              <w:r w:rsidR="005E3CC6">
                <w:rPr>
                  <w:noProof/>
                </w:rPr>
                <w:t>4</w:t>
              </w:r>
            </w:fldSimple>
          </w:p>
        </w:tc>
        <w:tc>
          <w:tcPr>
            <w:tcW w:w="284" w:type="dxa"/>
            <w:shd w:val="clear" w:color="auto" w:fill="FFFFFF" w:themeFill="background1"/>
          </w:tcPr>
          <w:p w:rsidR="007C5F0B" w:rsidRDefault="007C5F0B" w:rsidP="009B7B08">
            <w:pPr>
              <w:pStyle w:val="Footer"/>
            </w:pPr>
          </w:p>
        </w:tc>
        <w:tc>
          <w:tcPr>
            <w:tcW w:w="2714" w:type="dxa"/>
            <w:shd w:val="clear" w:color="auto" w:fill="FFFFFF" w:themeFill="background1"/>
          </w:tcPr>
          <w:p w:rsidR="007C5F0B" w:rsidRDefault="00F50A92" w:rsidP="00F40624">
            <w:pPr>
              <w:pStyle w:val="FooterDate"/>
              <w:framePr w:hSpace="0" w:wrap="auto" w:vAnchor="margin" w:hAnchor="text" w:yAlign="inline"/>
              <w:suppressOverlap w:val="0"/>
            </w:pPr>
            <w:r>
              <w:t>V</w:t>
            </w:r>
            <w:r w:rsidR="00F40624">
              <w:t>1.0</w:t>
            </w:r>
          </w:p>
        </w:tc>
        <w:tc>
          <w:tcPr>
            <w:tcW w:w="2712" w:type="dxa"/>
            <w:shd w:val="clear" w:color="auto" w:fill="FFFFFF" w:themeFill="background1"/>
          </w:tcPr>
          <w:p w:rsidR="007C5F0B" w:rsidRDefault="007C5F0B" w:rsidP="009B7B08">
            <w:pPr>
              <w:pStyle w:val="Footer"/>
            </w:pPr>
            <w:r>
              <w:t xml:space="preserve">© ELEXON </w:t>
            </w:r>
            <w:r>
              <w:fldChar w:fldCharType="begin"/>
            </w:r>
            <w:r>
              <w:instrText xml:space="preserve"> DATE  \@ "yyyy" </w:instrText>
            </w:r>
            <w:r>
              <w:fldChar w:fldCharType="separate"/>
            </w:r>
            <w:r w:rsidR="005E3CC6">
              <w:rPr>
                <w:noProof/>
              </w:rPr>
              <w:t>2018</w:t>
            </w:r>
            <w:r>
              <w:fldChar w:fldCharType="end"/>
            </w:r>
          </w:p>
        </w:tc>
        <w:tc>
          <w:tcPr>
            <w:tcW w:w="2301" w:type="dxa"/>
            <w:vMerge/>
            <w:shd w:val="clear" w:color="auto" w:fill="FFFFFF" w:themeFill="background1"/>
          </w:tcPr>
          <w:p w:rsidR="007C5F0B" w:rsidRDefault="007C5F0B" w:rsidP="009B7B08">
            <w:pPr>
              <w:pStyle w:val="Footer"/>
            </w:pPr>
          </w:p>
        </w:tc>
      </w:tr>
    </w:tbl>
    <w:p w:rsidR="007C5F0B" w:rsidRDefault="007C5F0B" w:rsidP="007C5F0B">
      <w:pPr>
        <w:pStyle w:val="1pt"/>
      </w:pPr>
    </w:p>
    <w:p w:rsidR="00D62697" w:rsidRPr="00D62697" w:rsidRDefault="00D62697" w:rsidP="003D0B17">
      <w:pPr>
        <w:pStyle w:val="BodyText"/>
        <w:pageBreakBefore/>
        <w:sectPr w:rsidR="00D62697" w:rsidRPr="00D62697" w:rsidSect="005A3992">
          <w:headerReference w:type="default" r:id="rId10"/>
          <w:footerReference w:type="default" r:id="rId11"/>
          <w:pgSz w:w="11906" w:h="16838" w:code="9"/>
          <w:pgMar w:top="1162" w:right="794" w:bottom="1928" w:left="794" w:header="879" w:footer="539" w:gutter="0"/>
          <w:cols w:space="708"/>
          <w:titlePg/>
          <w:docGrid w:linePitch="360"/>
        </w:sectPr>
      </w:pPr>
    </w:p>
    <w:p w:rsidR="00BC620F" w:rsidRDefault="00E63727" w:rsidP="00BC620F">
      <w:pPr>
        <w:pStyle w:val="Numberheading"/>
        <w:numPr>
          <w:ilvl w:val="0"/>
          <w:numId w:val="21"/>
        </w:numPr>
      </w:pPr>
      <w:r>
        <w:lastRenderedPageBreak/>
        <w:t>Background</w:t>
      </w:r>
    </w:p>
    <w:p w:rsidR="00F96103" w:rsidRDefault="00F96103" w:rsidP="00F96103">
      <w:pPr>
        <w:pStyle w:val="Numberbodytext1"/>
      </w:pPr>
      <w:r>
        <w:t xml:space="preserve">The Low Carbon </w:t>
      </w:r>
      <w:r w:rsidRPr="00F96103">
        <w:t xml:space="preserve">Contracts Company </w:t>
      </w:r>
      <w:r>
        <w:t xml:space="preserve">(LCCC) </w:t>
      </w:r>
      <w:r w:rsidRPr="00F96103">
        <w:t>and the Electricity Settlements Company</w:t>
      </w:r>
      <w:r>
        <w:t xml:space="preserve"> (ESC) are the Government-owned private limited companies responsible for settlement of Contracts for Difference (CFDs) and the Capacity Market (CM). Payments made to generators and capacity </w:t>
      </w:r>
      <w:r w:rsidR="00701392">
        <w:t>providers under these schemes are funded by payments from licensed electricity Suppliers, collected in accordance with relevant secondary legislation.</w:t>
      </w:r>
    </w:p>
    <w:p w:rsidR="00701392" w:rsidRDefault="00E63727" w:rsidP="00242B52">
      <w:pPr>
        <w:pStyle w:val="Numberbodytext1"/>
      </w:pPr>
      <w:r>
        <w:t xml:space="preserve">Sections V5 and C11.2 of the BSC require ELEXON (or its appointed BSC Agents) </w:t>
      </w:r>
      <w:r w:rsidR="00701392">
        <w:t>to</w:t>
      </w:r>
      <w:r>
        <w:t xml:space="preserve"> provide LCCC and ESC (or </w:t>
      </w:r>
      <w:r w:rsidR="00242B52" w:rsidRPr="00242B52">
        <w:t xml:space="preserve">EMR Settlement Limited (EMRS), </w:t>
      </w:r>
      <w:r>
        <w:t>their appointed EMR S</w:t>
      </w:r>
      <w:r w:rsidR="00701392">
        <w:t xml:space="preserve">ettlement </w:t>
      </w:r>
      <w:r>
        <w:t>S</w:t>
      </w:r>
      <w:r w:rsidR="00701392">
        <w:t xml:space="preserve">ervices </w:t>
      </w:r>
      <w:r>
        <w:t>P</w:t>
      </w:r>
      <w:r w:rsidR="00701392">
        <w:t>rovider</w:t>
      </w:r>
      <w:r>
        <w:t>) with any data required for purposes of EMR Settlement (“EMR Settlement Data”)</w:t>
      </w:r>
      <w:r w:rsidR="00701392">
        <w:t xml:space="preserve">. The specific data items required are agreed by the BSC Panel, and include gross demand data for licensed Suppliers, which </w:t>
      </w:r>
      <w:r w:rsidR="00A2513E">
        <w:t>are</w:t>
      </w:r>
      <w:r w:rsidR="00701392">
        <w:t xml:space="preserve"> used to calculate CFD and CM charges</w:t>
      </w:r>
      <w:r w:rsidR="00A2513E">
        <w:rPr>
          <w:rStyle w:val="FootnoteReference"/>
        </w:rPr>
        <w:footnoteReference w:id="1"/>
      </w:r>
      <w:r w:rsidR="00701392">
        <w:t>.</w:t>
      </w:r>
    </w:p>
    <w:p w:rsidR="007C4811" w:rsidRDefault="00D85247" w:rsidP="00E63727">
      <w:pPr>
        <w:pStyle w:val="Numberbodytext1"/>
      </w:pPr>
      <w:r>
        <w:t xml:space="preserve">ELEXON’s role in calculating the supply volumes used to calculate CFD charges is set out in the </w:t>
      </w:r>
      <w:hyperlink r:id="rId12" w:history="1">
        <w:r w:rsidRPr="00D85247">
          <w:rPr>
            <w:rStyle w:val="Hyperlink"/>
          </w:rPr>
          <w:t>Contracts for Difference (Electricity Supplier Obligations) Regulations 2014</w:t>
        </w:r>
      </w:hyperlink>
      <w:r w:rsidRPr="00D85247">
        <w:t>, as amended,</w:t>
      </w:r>
      <w:r>
        <w:t xml:space="preserve"> which require charges to be calculated based on “the amount of electricity which the </w:t>
      </w:r>
      <w:proofErr w:type="spellStart"/>
      <w:r>
        <w:t>BSCCo</w:t>
      </w:r>
      <w:proofErr w:type="spellEnd"/>
      <w:r>
        <w:t xml:space="preserve"> determines was supplied </w:t>
      </w:r>
      <w:r w:rsidR="00DE3712">
        <w:t xml:space="preserve">[to premises in Great Britain] </w:t>
      </w:r>
      <w:r>
        <w:t xml:space="preserve">by that </w:t>
      </w:r>
      <w:r w:rsidR="005C6277">
        <w:t>S</w:t>
      </w:r>
      <w:r>
        <w:t>upplier</w:t>
      </w:r>
      <w:r w:rsidR="00DE3712">
        <w:t xml:space="preserve">”. This severely limits any discretion that LCCC might have to adjust the values provided by ELEXON. </w:t>
      </w:r>
    </w:p>
    <w:p w:rsidR="00DE3712" w:rsidRDefault="00DE3712" w:rsidP="00E63727">
      <w:pPr>
        <w:pStyle w:val="Numberbodytext1"/>
      </w:pPr>
      <w:r>
        <w:t xml:space="preserve">As a result, the correct determination of CFD charges is in effect dependent on ELEXON and the BSC Panel ensuring that the gross demand data provided to </w:t>
      </w:r>
      <w:r w:rsidR="00242B52">
        <w:t>EMRS</w:t>
      </w:r>
      <w:r>
        <w:t xml:space="preserve"> does accurately reflect the amount of electricity each licensed Supplier has supplied to premises in Great Britain in each half hour.</w:t>
      </w:r>
      <w:r w:rsidR="00205D10">
        <w:t xml:space="preserve"> </w:t>
      </w:r>
      <w:r w:rsidR="007C4811">
        <w:t xml:space="preserve">This is not necessarily the same as </w:t>
      </w:r>
      <w:r w:rsidR="00F50A92">
        <w:t xml:space="preserve">the </w:t>
      </w:r>
      <w:r w:rsidR="00205D10">
        <w:t>amount of electricity each licensed Supplier is responsible for in</w:t>
      </w:r>
      <w:r w:rsidR="007C4811">
        <w:t xml:space="preserve"> Imbalance Settlement (which is the volume that Supplier Volume Allocation processes were originally designed to determine).</w:t>
      </w:r>
      <w:r w:rsidR="00205D10">
        <w:t xml:space="preserve"> </w:t>
      </w:r>
    </w:p>
    <w:p w:rsidR="00051D61" w:rsidRDefault="007C4811" w:rsidP="00051D61">
      <w:pPr>
        <w:pStyle w:val="Numberheading"/>
      </w:pPr>
      <w:r>
        <w:lastRenderedPageBreak/>
        <w:t>ELEXON Consultation on Aligning BSC Reporting with EMR Regulations</w:t>
      </w:r>
    </w:p>
    <w:p w:rsidR="00051D61" w:rsidRDefault="00242B52" w:rsidP="00051D61">
      <w:pPr>
        <w:pStyle w:val="Numberbodytext1"/>
      </w:pPr>
      <w:r>
        <w:t>On 15 October 2018, we published a consultation on ‘</w:t>
      </w:r>
      <w:hyperlink r:id="rId13" w:history="1">
        <w:r w:rsidRPr="00F50A92">
          <w:rPr>
            <w:rStyle w:val="Hyperlink"/>
          </w:rPr>
          <w:t>Aligning BSC Reporting with EMR Regulations</w:t>
        </w:r>
      </w:hyperlink>
      <w:r>
        <w:t>’. This document identified two specific instances where the gross demand data</w:t>
      </w:r>
      <w:r w:rsidR="005C6277">
        <w:t>,</w:t>
      </w:r>
      <w:r>
        <w:t xml:space="preserve"> currently reported to EMRS</w:t>
      </w:r>
      <w:r w:rsidR="005C6277">
        <w:t>,</w:t>
      </w:r>
      <w:r>
        <w:t xml:space="preserve"> does not accurately reflect the amount of electricity each licensed Supplier has supplied to premises in Great Britain</w:t>
      </w:r>
      <w:r w:rsidR="005C6277">
        <w:t>. These are where</w:t>
      </w:r>
      <w:r>
        <w:t>:</w:t>
      </w:r>
    </w:p>
    <w:p w:rsidR="009436B7" w:rsidRDefault="00242B52" w:rsidP="009436B7">
      <w:pPr>
        <w:pStyle w:val="ListBullet"/>
      </w:pPr>
      <w:r>
        <w:t xml:space="preserve">Electricity </w:t>
      </w:r>
      <w:r w:rsidR="005E3CC6">
        <w:t xml:space="preserve">is </w:t>
      </w:r>
      <w:r>
        <w:t xml:space="preserve">provided </w:t>
      </w:r>
      <w:r w:rsidR="009436B7">
        <w:t xml:space="preserve">by a licensed Supplier </w:t>
      </w:r>
      <w:r>
        <w:t>to an SVA-registered Licensed Generator (for purposes of</w:t>
      </w:r>
      <w:r w:rsidR="009436B7">
        <w:t xml:space="preserve"> licensed generation).</w:t>
      </w:r>
      <w:r>
        <w:t xml:space="preserve"> </w:t>
      </w:r>
      <w:r w:rsidR="009436B7">
        <w:t xml:space="preserve">This falls outside the definition of ‘supply’ in the Electricity Act, and is therefore not subject to CFD or CM charges (as stated in action 1.3 in the </w:t>
      </w:r>
      <w:hyperlink r:id="rId14" w:history="1">
        <w:r w:rsidR="009436B7" w:rsidRPr="009436B7">
          <w:rPr>
            <w:rStyle w:val="Hyperlink"/>
          </w:rPr>
          <w:t>Smart Systems and Flexibility Plan</w:t>
        </w:r>
      </w:hyperlink>
      <w:r w:rsidR="009436B7">
        <w:t>, published by the Department for Business, Energy and Industrial Strategy (BE</w:t>
      </w:r>
      <w:r w:rsidR="005E3CC6">
        <w:t>IS) and Ofgem in July 2017); or</w:t>
      </w:r>
    </w:p>
    <w:p w:rsidR="009436B7" w:rsidRDefault="009436B7" w:rsidP="009436B7">
      <w:pPr>
        <w:pStyle w:val="ListBullet"/>
      </w:pPr>
      <w:r>
        <w:t>Electricity</w:t>
      </w:r>
      <w:r w:rsidR="005E3CC6">
        <w:t xml:space="preserve"> is</w:t>
      </w:r>
      <w:r>
        <w:t xml:space="preserve"> provided to a customer by an exempt Supplier across the Distribution System, w</w:t>
      </w:r>
      <w:r w:rsidR="005E3CC6">
        <w:t>ith</w:t>
      </w:r>
      <w:r>
        <w:t xml:space="preserve"> a licensed Supplier facilitating the supply (by providing meter registration services)</w:t>
      </w:r>
      <w:r w:rsidR="00C65419">
        <w:t xml:space="preserve">. In this scenario the licensed Supplier will be responsible for the electricity in Imbalance Settlement, but will not be supplying it. The </w:t>
      </w:r>
      <w:hyperlink r:id="rId15" w:history="1">
        <w:r w:rsidR="00C65419" w:rsidRPr="003C6A55">
          <w:rPr>
            <w:rStyle w:val="Hyperlink"/>
          </w:rPr>
          <w:t xml:space="preserve">Class </w:t>
        </w:r>
        <w:proofErr w:type="gramStart"/>
        <w:r w:rsidR="00C65419" w:rsidRPr="003C6A55">
          <w:rPr>
            <w:rStyle w:val="Hyperlink"/>
          </w:rPr>
          <w:t>A</w:t>
        </w:r>
        <w:proofErr w:type="gramEnd"/>
        <w:r w:rsidR="00C65419" w:rsidRPr="003C6A55">
          <w:rPr>
            <w:rStyle w:val="Hyperlink"/>
          </w:rPr>
          <w:t xml:space="preserve"> exemption for small Suppliers</w:t>
        </w:r>
      </w:hyperlink>
      <w:r w:rsidR="00C65419">
        <w:t xml:space="preserve"> allows an exempt </w:t>
      </w:r>
      <w:r w:rsidR="005C6277">
        <w:t>S</w:t>
      </w:r>
      <w:r w:rsidR="00C65419">
        <w:t>upplier to supply</w:t>
      </w:r>
      <w:r>
        <w:t xml:space="preserve"> </w:t>
      </w:r>
      <w:r w:rsidR="00C65419">
        <w:t>up to 5 MW of electricity they have generated themselves across the Distribution System (2.5 MW to domestic customers).</w:t>
      </w:r>
    </w:p>
    <w:p w:rsidR="000B11AF" w:rsidRDefault="00C65419" w:rsidP="007B2501">
      <w:pPr>
        <w:pStyle w:val="Numberbodytext1"/>
      </w:pPr>
      <w:r>
        <w:t>On 8 November 2018 we presented the responses to this consultation</w:t>
      </w:r>
      <w:r w:rsidR="0069396C">
        <w:t xml:space="preserve"> to the BSC Panel (</w:t>
      </w:r>
      <w:hyperlink r:id="rId16" w:history="1">
        <w:r w:rsidR="0069396C" w:rsidRPr="0069396C">
          <w:rPr>
            <w:rStyle w:val="Hyperlink"/>
          </w:rPr>
          <w:t>paper 284/07</w:t>
        </w:r>
      </w:hyperlink>
      <w:r w:rsidR="0069396C">
        <w:t>), who agreed an approach to addr</w:t>
      </w:r>
      <w:r w:rsidR="007B2501">
        <w:t xml:space="preserve">essing these issues. </w:t>
      </w:r>
      <w:r w:rsidR="0069396C">
        <w:t xml:space="preserve">In the case of </w:t>
      </w:r>
      <w:r w:rsidR="000B11AF">
        <w:t>electricity provided to SVA-registered licensed Generators, the Panel has agreed a two-stage approach:</w:t>
      </w:r>
    </w:p>
    <w:p w:rsidR="007B2501" w:rsidRDefault="000B11AF" w:rsidP="000B11AF">
      <w:pPr>
        <w:pStyle w:val="ListBullet"/>
      </w:pPr>
      <w:r>
        <w:t xml:space="preserve">In the short term, </w:t>
      </w:r>
      <w:r w:rsidR="001D3F6A">
        <w:t xml:space="preserve">we will establish </w:t>
      </w:r>
      <w:r>
        <w:t xml:space="preserve">an interim solution to deal with the more straightforward case of SVA Metering systems that record only Imports to licensed Generation (i.e. not including licensed Generation ‘behind the Settlement Meter’). This solution will operate under BSC governance and the control of the BSC Panel, but will be implemented by LCCC and EMRS. </w:t>
      </w:r>
      <w:r w:rsidR="007B2501">
        <w:t xml:space="preserve">On 22 November 2018 </w:t>
      </w:r>
      <w:r>
        <w:t xml:space="preserve">EMRS </w:t>
      </w:r>
      <w:r w:rsidR="007B2501">
        <w:t xml:space="preserve">issued </w:t>
      </w:r>
      <w:hyperlink r:id="rId17" w:history="1">
        <w:r w:rsidRPr="007B2501">
          <w:rPr>
            <w:rStyle w:val="Hyperlink"/>
          </w:rPr>
          <w:t>EMR Circular 170</w:t>
        </w:r>
      </w:hyperlink>
      <w:r>
        <w:t xml:space="preserve"> notifying Supplier</w:t>
      </w:r>
      <w:r w:rsidR="007B2501">
        <w:t>s of how the solution will work</w:t>
      </w:r>
      <w:r w:rsidR="001D3F6A">
        <w:t>; and</w:t>
      </w:r>
    </w:p>
    <w:p w:rsidR="0069396C" w:rsidRDefault="007B2501" w:rsidP="000B11AF">
      <w:pPr>
        <w:pStyle w:val="ListBullet"/>
      </w:pPr>
      <w:r>
        <w:t xml:space="preserve">In the longer term, we propose that a BSC Modification Proposal </w:t>
      </w:r>
      <w:r w:rsidR="001D3F6A">
        <w:t>is</w:t>
      </w:r>
      <w:r>
        <w:t xml:space="preserve"> required to de</w:t>
      </w:r>
      <w:r w:rsidR="001D3F6A">
        <w:t>fine, assess and agree</w:t>
      </w:r>
      <w:r>
        <w:t xml:space="preserve"> an appropriate </w:t>
      </w:r>
      <w:r w:rsidR="001D3F6A">
        <w:t>enduring</w:t>
      </w:r>
      <w:r>
        <w:t xml:space="preserve"> solution. We anticipate that </w:t>
      </w:r>
      <w:proofErr w:type="spellStart"/>
      <w:r>
        <w:t>Ofgem’s</w:t>
      </w:r>
      <w:proofErr w:type="spellEnd"/>
      <w:r>
        <w:t xml:space="preserve"> decision on </w:t>
      </w:r>
      <w:r w:rsidR="004D209C">
        <w:t>their 27 November 2017 consultation on ‘</w:t>
      </w:r>
      <w:hyperlink r:id="rId18" w:history="1">
        <w:r w:rsidR="004D209C" w:rsidRPr="004D209C">
          <w:rPr>
            <w:rStyle w:val="Hyperlink"/>
          </w:rPr>
          <w:t>Clarifying the regulatory framework for electricity storage</w:t>
        </w:r>
      </w:hyperlink>
      <w:r w:rsidR="004D209C">
        <w:t>’ may be helpful in clarifying the issues that such a Modification Proposal will need to address.</w:t>
      </w:r>
      <w:r w:rsidR="0069396C">
        <w:t xml:space="preserve"> </w:t>
      </w:r>
    </w:p>
    <w:p w:rsidR="004D209C" w:rsidRDefault="004D209C" w:rsidP="00C65419">
      <w:pPr>
        <w:pStyle w:val="Numberbodytext1"/>
      </w:pPr>
      <w:r>
        <w:t>Similarly, the consultation proposed a two-stage approach to the question of electricity supplied by customers by exempt suppliers:</w:t>
      </w:r>
    </w:p>
    <w:p w:rsidR="005535B5" w:rsidRDefault="004D209C" w:rsidP="005535B5">
      <w:pPr>
        <w:pStyle w:val="ListBullet"/>
      </w:pPr>
      <w:r>
        <w:t xml:space="preserve">A long-term solution would depend on the development of new industry processes for tracking how much electricity each customer has purchased from exempt suppliers. In April 2018 we published a </w:t>
      </w:r>
      <w:hyperlink r:id="rId19" w:history="1">
        <w:r w:rsidRPr="00884223">
          <w:rPr>
            <w:rStyle w:val="Hyperlink"/>
          </w:rPr>
          <w:t>white paper</w:t>
        </w:r>
      </w:hyperlink>
      <w:r>
        <w:t xml:space="preserve"> on enabling customers to buy power from multiple providers, which outlined our views on how such processes could be delivered. </w:t>
      </w:r>
      <w:r w:rsidR="005535B5">
        <w:t xml:space="preserve">We are optimistic that a BSC Party will raise a Modification Proposal to progress these ideas shortly, but the timescales for assessing a Modification Proposal and making system changes are such that this could not be </w:t>
      </w:r>
      <w:r>
        <w:t>delivered before 2020.</w:t>
      </w:r>
    </w:p>
    <w:p w:rsidR="008072A3" w:rsidRDefault="008072A3" w:rsidP="005535B5">
      <w:pPr>
        <w:pStyle w:val="ListBullet"/>
      </w:pPr>
      <w:r>
        <w:t xml:space="preserve">In the meantime, the Panel agreed to delegate to SVG the power to agree which SVA Metering Systems should be treated (for </w:t>
      </w:r>
      <w:r w:rsidR="004A4ABC">
        <w:t>purposes of the BSC</w:t>
      </w:r>
      <w:r>
        <w:t xml:space="preserve"> and specifically the provision of charging data to EMRS) as recording volumes of exempt supply.</w:t>
      </w:r>
      <w:r w:rsidR="005E3CC6">
        <w:t xml:space="preserve"> Where SVG makes such a decision, the SVA Metering System will be treated as non-chargeable for CFD and CM purposes using the same interim processes established for SVA</w:t>
      </w:r>
      <w:r w:rsidR="005E3CC6">
        <w:noBreakHyphen/>
        <w:t>registered licensed Generation.</w:t>
      </w:r>
    </w:p>
    <w:p w:rsidR="008072A3" w:rsidRDefault="001D3F6A" w:rsidP="005E3CC6">
      <w:pPr>
        <w:pStyle w:val="Numberheading"/>
        <w:keepNext/>
      </w:pPr>
      <w:r>
        <w:lastRenderedPageBreak/>
        <w:t xml:space="preserve">ELEXON’s </w:t>
      </w:r>
      <w:r w:rsidR="008072A3">
        <w:t>Proposed Approach to Agreeing to Treat SVA Metered Data as Exempt Supply</w:t>
      </w:r>
    </w:p>
    <w:p w:rsidR="00C316FC" w:rsidRDefault="005C33EB" w:rsidP="005C33EB">
      <w:pPr>
        <w:pStyle w:val="Numberbodytext1"/>
      </w:pPr>
      <w:r>
        <w:t>Because the Class A exemption for small supply only covers electricity</w:t>
      </w:r>
      <w:r w:rsidR="005E3CC6">
        <w:t xml:space="preserve"> that</w:t>
      </w:r>
      <w:r w:rsidR="00C316FC">
        <w:t xml:space="preserve"> the exempt </w:t>
      </w:r>
      <w:r w:rsidR="001D3F6A">
        <w:t>S</w:t>
      </w:r>
      <w:r w:rsidR="00C316FC">
        <w:t>upplier has generated themselves, an accurate long-term solution requires a process of matching metered data from:</w:t>
      </w:r>
    </w:p>
    <w:p w:rsidR="00C316FC" w:rsidRDefault="00C316FC" w:rsidP="00C316FC">
      <w:pPr>
        <w:pStyle w:val="ListBullet"/>
      </w:pPr>
      <w:r>
        <w:t>The Half Hourly Export Metering System(s) recording the electricity exported to the Distribution System; and</w:t>
      </w:r>
    </w:p>
    <w:p w:rsidR="00C316FC" w:rsidRDefault="00C316FC" w:rsidP="00C316FC">
      <w:pPr>
        <w:pStyle w:val="ListBullet"/>
      </w:pPr>
      <w:r>
        <w:t>The Half Hourly Import Metering System(s) recording the electricity supplied to customers.</w:t>
      </w:r>
    </w:p>
    <w:p w:rsidR="00F432EC" w:rsidRDefault="00C316FC" w:rsidP="005C33EB">
      <w:pPr>
        <w:pStyle w:val="Numberbodytext1"/>
      </w:pPr>
      <w:r>
        <w:t xml:space="preserve">In the context of the enduring solution, we expect that the </w:t>
      </w:r>
      <w:r w:rsidR="00F432EC">
        <w:t xml:space="preserve">Modification </w:t>
      </w:r>
      <w:r>
        <w:t>Workgroup will wish to consider the systems and processes needed to perform this matching.</w:t>
      </w:r>
      <w:r w:rsidR="00A2513E">
        <w:t xml:space="preserve"> </w:t>
      </w:r>
      <w:r w:rsidR="00F432EC">
        <w:t>However,</w:t>
      </w:r>
      <w:r w:rsidR="00A2513E">
        <w:t xml:space="preserve"> these</w:t>
      </w:r>
      <w:r w:rsidR="00F432EC">
        <w:t xml:space="preserve"> systems</w:t>
      </w:r>
      <w:r w:rsidR="00A2513E">
        <w:t xml:space="preserve"> will not be available for an interim solution. </w:t>
      </w:r>
    </w:p>
    <w:p w:rsidR="008F16A7" w:rsidRDefault="00A2513E" w:rsidP="009616DC">
      <w:pPr>
        <w:pStyle w:val="Numberbodytext1"/>
      </w:pPr>
      <w:r>
        <w:t xml:space="preserve">We therefore propose </w:t>
      </w:r>
      <w:r w:rsidR="00F432EC">
        <w:t xml:space="preserve">for the interim solution </w:t>
      </w:r>
      <w:r>
        <w:t>that any decision to treat the volumes recorded on an SVA Metering System as exempt supply (for purposes of CFD and CM charg</w:t>
      </w:r>
      <w:r w:rsidR="008F16A7">
        <w:t xml:space="preserve">es) should </w:t>
      </w:r>
      <w:r w:rsidR="009E1452" w:rsidRPr="00DC2CAF">
        <w:rPr>
          <w:b/>
        </w:rPr>
        <w:t>not</w:t>
      </w:r>
      <w:r w:rsidR="009E1452">
        <w:t xml:space="preserve"> be based on </w:t>
      </w:r>
      <w:r w:rsidR="009E1452" w:rsidRPr="009E1452">
        <w:rPr>
          <w:i/>
        </w:rPr>
        <w:t>ex post</w:t>
      </w:r>
      <w:r w:rsidR="009E1452">
        <w:t xml:space="preserve"> analysis of metered data in each Settlement Period. Instead the decision would be made on the basis of a credible argument (based on historic metered data and other evidence provided by the </w:t>
      </w:r>
      <w:r w:rsidR="008F16A7">
        <w:t>exempt supplier and/or licensed suppler</w:t>
      </w:r>
      <w:r w:rsidR="009E1452">
        <w:t>) that</w:t>
      </w:r>
      <w:r w:rsidR="008F16A7">
        <w:t>, under normal circumstances, all metered data recorded on the Metering System is supplied under a supply licence exemption.</w:t>
      </w:r>
    </w:p>
    <w:p w:rsidR="008F16A7" w:rsidRDefault="008F16A7" w:rsidP="005C33EB">
      <w:pPr>
        <w:pStyle w:val="Numberbodytext1"/>
      </w:pPr>
      <w:r>
        <w:t>A request to SVG to make such a decision could relat</w:t>
      </w:r>
      <w:bookmarkStart w:id="0" w:name="_GoBack"/>
      <w:bookmarkEnd w:id="0"/>
      <w:r>
        <w:t>e to either:</w:t>
      </w:r>
    </w:p>
    <w:p w:rsidR="008F16A7" w:rsidRDefault="008F16A7" w:rsidP="00EF73BD">
      <w:pPr>
        <w:pStyle w:val="ListBullet"/>
      </w:pPr>
      <w:r>
        <w:t>An Import Metering System (with accompanying evidence that, under normal circumstances, the exempt supplier would always be generating enough electricity to meet the demand); or</w:t>
      </w:r>
    </w:p>
    <w:p w:rsidR="00EF73BD" w:rsidRDefault="008F16A7" w:rsidP="00EF73BD">
      <w:pPr>
        <w:pStyle w:val="ListBullet"/>
      </w:pPr>
      <w:r>
        <w:t xml:space="preserve">An Export Metering System (with </w:t>
      </w:r>
      <w:r w:rsidR="00295BCB">
        <w:t>accompanying evidence</w:t>
      </w:r>
      <w:r w:rsidR="00EF73BD">
        <w:t xml:space="preserve"> that, under normal circumstances, the exempt supplier would have enough customers to use the generation).</w:t>
      </w:r>
    </w:p>
    <w:p w:rsidR="00A26DFB" w:rsidRDefault="00EF73BD" w:rsidP="005C33EB">
      <w:pPr>
        <w:pStyle w:val="Numberbodytext1"/>
      </w:pPr>
      <w:r>
        <w:t xml:space="preserve">Clearly such an approach raises the possibility that under abnormal circumstances (such as generator outage or customer disconnection) volumes recorded on the Metering System </w:t>
      </w:r>
      <w:r w:rsidR="009E1452">
        <w:t xml:space="preserve">in one or more Settlement Periods </w:t>
      </w:r>
      <w:r>
        <w:t xml:space="preserve">might be incorrectly treated as exempt supply. However, </w:t>
      </w:r>
      <w:r w:rsidR="00A26DFB">
        <w:t>the error involved would be much smaller than that currently (where all the volumes recorded on the Metering System under normal circumstances are incorrectly treated as licensed supply).</w:t>
      </w:r>
    </w:p>
    <w:p w:rsidR="00E3751A" w:rsidRDefault="009E1452" w:rsidP="005C33EB">
      <w:pPr>
        <w:pStyle w:val="Numberbodytext1"/>
      </w:pPr>
      <w:r>
        <w:t xml:space="preserve">ELEXON has </w:t>
      </w:r>
      <w:r w:rsidR="00A26DFB">
        <w:t xml:space="preserve">limited knowledge or experience of </w:t>
      </w:r>
      <w:r w:rsidR="00F432EC">
        <w:t>C</w:t>
      </w:r>
      <w:r w:rsidR="00A26DFB">
        <w:t>lass A exempt supply. Our understanding is that these arrangements have been little-used in the past</w:t>
      </w:r>
      <w:r w:rsidR="0098676B">
        <w:t>. However,</w:t>
      </w:r>
      <w:r w:rsidR="00A26DFB">
        <w:t xml:space="preserve"> the level of interest is currently increasing, with innovation funding (available from government and Ofgem) being used to support a number of trials in areas such as licence exempt peer-to-peer trading. We therefore suggest that it would be premature to operationalise the process of applying to SVG (e.g. by creating </w:t>
      </w:r>
      <w:r w:rsidR="00E3751A">
        <w:t xml:space="preserve">a </w:t>
      </w:r>
      <w:r w:rsidR="00E3751A" w:rsidRPr="00E3751A">
        <w:rPr>
          <w:i/>
        </w:rPr>
        <w:t>pro forma</w:t>
      </w:r>
      <w:r w:rsidR="00E3751A">
        <w:t xml:space="preserve"> for applications). We propose a less formal process, in which ELEXON will support interested parties in presenting any application to SVG in the form of a paper, with attached evidence. This will allow each application to be treated as an opportunity for ELEXON (and SVG) to support </w:t>
      </w:r>
      <w:r w:rsidR="004A4ABC">
        <w:t xml:space="preserve">trials of </w:t>
      </w:r>
      <w:r w:rsidR="00E3751A">
        <w:t>innovation, and learn about the issues facing exempt suppliers.</w:t>
      </w:r>
    </w:p>
    <w:p w:rsidR="001D7AD3" w:rsidRDefault="00E3751A" w:rsidP="005C33EB">
      <w:pPr>
        <w:pStyle w:val="Numberbodytext1"/>
      </w:pPr>
      <w:r>
        <w:t xml:space="preserve">The Panel has agreed that ELEXON should report to them by August 2019 (or sooner if appropriate) on the level of take-up and the learning achieved. We hope the </w:t>
      </w:r>
      <w:r w:rsidR="001D7AD3">
        <w:t xml:space="preserve">learning from the </w:t>
      </w:r>
      <w:r>
        <w:t xml:space="preserve">process will also </w:t>
      </w:r>
      <w:r w:rsidR="001D7AD3">
        <w:t xml:space="preserve">be helpful to the </w:t>
      </w:r>
      <w:r w:rsidR="009E1452">
        <w:t xml:space="preserve">Modification </w:t>
      </w:r>
      <w:r w:rsidR="001D7AD3">
        <w:t xml:space="preserve">Workgroup </w:t>
      </w:r>
      <w:r w:rsidR="004A4ABC">
        <w:t xml:space="preserve">that </w:t>
      </w:r>
      <w:r w:rsidR="001D7AD3">
        <w:t>progress</w:t>
      </w:r>
      <w:r w:rsidR="004A4ABC">
        <w:t>es</w:t>
      </w:r>
      <w:r w:rsidR="001D7AD3">
        <w:t xml:space="preserve"> an enduring solution to allow customers to buy power from multiple providers.</w:t>
      </w:r>
    </w:p>
    <w:p w:rsidR="008072A3" w:rsidRDefault="001D7AD3" w:rsidP="005C33EB">
      <w:pPr>
        <w:pStyle w:val="Numberbodytext1"/>
      </w:pPr>
      <w:r>
        <w:t>Clearly the approach proposed here does not prevent SVG from adopting a more formal and operationalised process at a later date, once experience has been gained</w:t>
      </w:r>
      <w:r w:rsidR="0098676B">
        <w:t>, say after 6 months of operation</w:t>
      </w:r>
      <w:r>
        <w:t>.</w:t>
      </w:r>
    </w:p>
    <w:p w:rsidR="001D7AD3" w:rsidRDefault="001D7AD3" w:rsidP="005C33EB">
      <w:pPr>
        <w:pStyle w:val="Numberbodytext1"/>
      </w:pPr>
      <w:r>
        <w:lastRenderedPageBreak/>
        <w:t xml:space="preserve">The BSC Panel also noted that the BSC Sandbox process (introduced by Modification P362) represents another potential route </w:t>
      </w:r>
      <w:r w:rsidR="004A4ABC">
        <w:t xml:space="preserve">(not involving SVG) </w:t>
      </w:r>
      <w:r>
        <w:t xml:space="preserve">for exempt suppliers wishing to be treated in a different manner to that outlined by the usual BSC rules. </w:t>
      </w:r>
    </w:p>
    <w:p w:rsidR="00051D61" w:rsidRDefault="005535B5" w:rsidP="005535B5">
      <w:pPr>
        <w:pStyle w:val="Numberheading"/>
      </w:pPr>
      <w:r>
        <w:t xml:space="preserve"> </w:t>
      </w:r>
      <w:r w:rsidR="00051D61">
        <w:t>Recommendations</w:t>
      </w:r>
    </w:p>
    <w:p w:rsidR="00051D61" w:rsidRPr="00051D61" w:rsidRDefault="00051D61" w:rsidP="00051D61">
      <w:pPr>
        <w:pStyle w:val="Numberbodytext1"/>
      </w:pPr>
      <w:r>
        <w:t>We invite you to:</w:t>
      </w:r>
    </w:p>
    <w:p w:rsidR="005A52C4" w:rsidRDefault="001D7AD3" w:rsidP="00BC620F">
      <w:pPr>
        <w:pStyle w:val="ListNumber"/>
        <w:numPr>
          <w:ilvl w:val="0"/>
          <w:numId w:val="22"/>
        </w:numPr>
      </w:pPr>
      <w:r w:rsidRPr="001D7AD3">
        <w:rPr>
          <w:b/>
        </w:rPr>
        <w:t>NOTE</w:t>
      </w:r>
      <w:r>
        <w:t xml:space="preserve"> that the BSC Panel has delegated to SVG the power to agree that SVA Metering Systems should be treated (for purposes of the BSC, and specifically the provision of charging data to EMRS</w:t>
      </w:r>
      <w:r w:rsidR="005A52C4">
        <w:t>) as re</w:t>
      </w:r>
      <w:r w:rsidR="004A4ABC">
        <w:t>c</w:t>
      </w:r>
      <w:r w:rsidR="005A52C4">
        <w:t>ording volumes of exempt supply;</w:t>
      </w:r>
    </w:p>
    <w:p w:rsidR="005A52C4" w:rsidRDefault="001D7AD3" w:rsidP="005A52C4">
      <w:pPr>
        <w:pStyle w:val="ListParagraph"/>
        <w:numPr>
          <w:ilvl w:val="0"/>
          <w:numId w:val="22"/>
        </w:numPr>
      </w:pPr>
      <w:r w:rsidRPr="005A52C4">
        <w:rPr>
          <w:b/>
        </w:rPr>
        <w:t>AGREE</w:t>
      </w:r>
      <w:r>
        <w:t xml:space="preserve"> that </w:t>
      </w:r>
      <w:r w:rsidR="005A52C4">
        <w:t xml:space="preserve">SVA Metering Systems should be so treated only if the exempt supplier or licensed supplier has provided </w:t>
      </w:r>
      <w:r w:rsidR="005A52C4" w:rsidRPr="005A52C4">
        <w:t>credible evidence that, under normal circumstances, all metered data recorded on the Metering System is supplied u</w:t>
      </w:r>
      <w:r w:rsidR="005A52C4">
        <w:t>nder a supply licence exemption;</w:t>
      </w:r>
    </w:p>
    <w:p w:rsidR="005A52C4" w:rsidRDefault="005A52C4" w:rsidP="005A52C4">
      <w:pPr>
        <w:pStyle w:val="ListParagraph"/>
        <w:numPr>
          <w:ilvl w:val="0"/>
          <w:numId w:val="22"/>
        </w:numPr>
      </w:pPr>
      <w:r>
        <w:rPr>
          <w:b/>
        </w:rPr>
        <w:t>AGREE</w:t>
      </w:r>
      <w:r w:rsidRPr="005A52C4">
        <w:t xml:space="preserve"> that</w:t>
      </w:r>
      <w:r>
        <w:t xml:space="preserve"> – at this stage – a </w:t>
      </w:r>
      <w:r w:rsidRPr="004A4ABC">
        <w:rPr>
          <w:i/>
        </w:rPr>
        <w:t>pro forma</w:t>
      </w:r>
      <w:r>
        <w:t xml:space="preserve"> for applications is not required, and that ELEXON should support applicants in submitting evidence to SVG in the form of a pap</w:t>
      </w:r>
      <w:r w:rsidR="004A4ABC">
        <w:t>er with appropriate attachments; and</w:t>
      </w:r>
    </w:p>
    <w:p w:rsidR="005A52C4" w:rsidRDefault="005A52C4" w:rsidP="005A52C4">
      <w:pPr>
        <w:pStyle w:val="ListParagraph"/>
        <w:numPr>
          <w:ilvl w:val="0"/>
          <w:numId w:val="22"/>
        </w:numPr>
      </w:pPr>
      <w:r>
        <w:rPr>
          <w:b/>
        </w:rPr>
        <w:t>NOTE</w:t>
      </w:r>
      <w:r w:rsidRPr="005A52C4">
        <w:t xml:space="preserve"> that</w:t>
      </w:r>
      <w:r>
        <w:t xml:space="preserve"> ELEXON must report back to the BSC Panel on the level of up-take and learning achieved by August 2019.</w:t>
      </w:r>
    </w:p>
    <w:p w:rsidR="00BC620F" w:rsidRDefault="00BC620F" w:rsidP="00BC620F">
      <w:pPr>
        <w:pStyle w:val="BodyText"/>
      </w:pPr>
    </w:p>
    <w:p w:rsidR="00BC620F" w:rsidRPr="006112FE" w:rsidRDefault="00BC620F" w:rsidP="006112FE">
      <w:pPr>
        <w:pStyle w:val="Boldheading"/>
      </w:pPr>
      <w:r w:rsidRPr="006112FE">
        <w:t>For more information, please contact:</w:t>
      </w:r>
    </w:p>
    <w:p w:rsidR="00BC620F" w:rsidRDefault="005A52C4" w:rsidP="00BC620F">
      <w:pPr>
        <w:pStyle w:val="BodyText"/>
      </w:pPr>
      <w:r>
        <w:t>John Lucas, ELEXON Design Authority</w:t>
      </w:r>
    </w:p>
    <w:p w:rsidR="00BC620F" w:rsidRDefault="0098676B" w:rsidP="00BC620F">
      <w:pPr>
        <w:pStyle w:val="BodyText"/>
      </w:pPr>
      <w:r>
        <w:t>j</w:t>
      </w:r>
      <w:r w:rsidR="00F50A92">
        <w:t>ohn.</w:t>
      </w:r>
      <w:r>
        <w:t>l</w:t>
      </w:r>
      <w:r w:rsidR="00F50A92">
        <w:t>ucas</w:t>
      </w:r>
      <w:r w:rsidR="00BC620F">
        <w:t>@elexon.co.uk</w:t>
      </w:r>
    </w:p>
    <w:p w:rsidR="00BC620F" w:rsidRDefault="00BC620F" w:rsidP="00AA1AD9">
      <w:pPr>
        <w:pStyle w:val="BodyText"/>
      </w:pPr>
      <w:r>
        <w:t xml:space="preserve">020 7380 </w:t>
      </w:r>
      <w:r w:rsidR="00F50A92">
        <w:t>4345</w:t>
      </w:r>
    </w:p>
    <w:p w:rsidR="00DC2CAF" w:rsidRDefault="00DC2CAF" w:rsidP="00AA1AD9">
      <w:pPr>
        <w:pStyle w:val="BodyText"/>
      </w:pPr>
    </w:p>
    <w:sectPr w:rsidR="00DC2CAF" w:rsidSect="00FA38AF">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162" w:right="794" w:bottom="1928" w:left="794" w:header="87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1B" w:rsidRDefault="00876E1B" w:rsidP="00D00160">
      <w:pPr>
        <w:spacing w:after="0"/>
      </w:pPr>
      <w:r>
        <w:separator/>
      </w:r>
    </w:p>
    <w:p w:rsidR="00876E1B" w:rsidRDefault="00876E1B"/>
  </w:endnote>
  <w:endnote w:type="continuationSeparator" w:id="0">
    <w:p w:rsidR="00876E1B" w:rsidRDefault="00876E1B" w:rsidP="00D00160">
      <w:pPr>
        <w:spacing w:after="0"/>
      </w:pPr>
      <w:r>
        <w:continuationSeparator/>
      </w:r>
    </w:p>
    <w:p w:rsidR="00876E1B" w:rsidRDefault="00876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Pr="000C4DC9" w:rsidRDefault="00E53D37" w:rsidP="00FA790F">
    <w:pPr>
      <w:pStyle w:val="1pt"/>
    </w:pPr>
  </w:p>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D62697" w:rsidTr="00DD219E">
      <w:trPr>
        <w:trHeight w:val="159"/>
      </w:trPr>
      <w:tc>
        <w:tcPr>
          <w:tcW w:w="2296" w:type="dxa"/>
          <w:tcBorders>
            <w:top w:val="single" w:sz="36" w:space="0" w:color="0090AB" w:themeColor="text2"/>
          </w:tcBorders>
        </w:tcPr>
        <w:p w:rsidR="00D62697" w:rsidRDefault="00D62697" w:rsidP="00DD219E">
          <w:pPr>
            <w:pStyle w:val="1pt"/>
          </w:pPr>
        </w:p>
      </w:tc>
      <w:tc>
        <w:tcPr>
          <w:tcW w:w="284" w:type="dxa"/>
        </w:tcPr>
        <w:p w:rsidR="00D62697" w:rsidRDefault="00D62697" w:rsidP="00DD219E">
          <w:pPr>
            <w:pStyle w:val="1pt"/>
          </w:pPr>
        </w:p>
      </w:tc>
      <w:tc>
        <w:tcPr>
          <w:tcW w:w="2714" w:type="dxa"/>
          <w:tcBorders>
            <w:top w:val="single" w:sz="36" w:space="0" w:color="0090AB" w:themeColor="text2"/>
          </w:tcBorders>
        </w:tcPr>
        <w:p w:rsidR="00D62697" w:rsidRDefault="00D62697" w:rsidP="00DD219E">
          <w:pPr>
            <w:pStyle w:val="1pt"/>
          </w:pPr>
        </w:p>
      </w:tc>
      <w:tc>
        <w:tcPr>
          <w:tcW w:w="2712" w:type="dxa"/>
          <w:tcBorders>
            <w:top w:val="single" w:sz="36" w:space="0" w:color="0090AB" w:themeColor="text2"/>
          </w:tcBorders>
        </w:tcPr>
        <w:p w:rsidR="00D62697" w:rsidRDefault="00D62697" w:rsidP="00DD219E">
          <w:pPr>
            <w:pStyle w:val="1pt"/>
          </w:pPr>
        </w:p>
      </w:tc>
      <w:tc>
        <w:tcPr>
          <w:tcW w:w="2301" w:type="dxa"/>
          <w:tcBorders>
            <w:top w:val="single" w:sz="36" w:space="0" w:color="0090AB" w:themeColor="text2"/>
          </w:tcBorders>
        </w:tcPr>
        <w:p w:rsidR="00D62697" w:rsidRPr="009845EB" w:rsidRDefault="00D62697" w:rsidP="00DD219E">
          <w:pPr>
            <w:pStyle w:val="1pt"/>
          </w:pPr>
        </w:p>
      </w:tc>
    </w:tr>
    <w:tr w:rsidR="00D62697" w:rsidTr="00DD219E">
      <w:trPr>
        <w:trHeight w:val="357"/>
      </w:trPr>
      <w:tc>
        <w:tcPr>
          <w:tcW w:w="2296" w:type="dxa"/>
        </w:tcPr>
        <w:p w:rsidR="00D62697" w:rsidRPr="00BF573B" w:rsidRDefault="00166D0F" w:rsidP="00DD219E">
          <w:pPr>
            <w:pStyle w:val="Footer"/>
          </w:pPr>
          <w:fldSimple w:instr=" STYLEREF  &quot;Footer Ref 1&quot;  \* MERGEFORMAT ">
            <w:r w:rsidR="005E3CC6">
              <w:rPr>
                <w:noProof/>
              </w:rPr>
              <w:t>215/02</w:t>
            </w:r>
          </w:fldSimple>
        </w:p>
      </w:tc>
      <w:tc>
        <w:tcPr>
          <w:tcW w:w="284" w:type="dxa"/>
        </w:tcPr>
        <w:p w:rsidR="00D62697" w:rsidRDefault="00D62697" w:rsidP="00DD219E">
          <w:pPr>
            <w:pStyle w:val="Footer"/>
          </w:pPr>
        </w:p>
      </w:tc>
      <w:tc>
        <w:tcPr>
          <w:tcW w:w="5426" w:type="dxa"/>
          <w:gridSpan w:val="2"/>
        </w:tcPr>
        <w:p w:rsidR="00D62697" w:rsidRDefault="00166D0F" w:rsidP="00DD219E">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D62697" w:rsidRDefault="00D62697" w:rsidP="00DD219E">
          <w:pPr>
            <w:pStyle w:val="Footer"/>
          </w:pPr>
          <w:r>
            <w:rPr>
              <w:rFonts w:hint="eastAsia"/>
              <w:noProof/>
              <w:lang w:eastAsia="en-GB"/>
            </w:rPr>
            <w:drawing>
              <wp:inline distT="0" distB="0" distL="0" distR="0" wp14:anchorId="77B029B5" wp14:editId="3C3D0E9F">
                <wp:extent cx="1461960" cy="36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D62697" w:rsidTr="00DD219E">
      <w:trPr>
        <w:trHeight w:val="295"/>
      </w:trPr>
      <w:tc>
        <w:tcPr>
          <w:tcW w:w="2296" w:type="dxa"/>
        </w:tcPr>
        <w:p w:rsidR="00D62697" w:rsidRPr="004873F8" w:rsidRDefault="00D62697" w:rsidP="00DD219E">
          <w:pPr>
            <w:pStyle w:val="Footer"/>
          </w:pPr>
          <w:r w:rsidRPr="004873F8">
            <w:t xml:space="preserve">Page </w:t>
          </w:r>
          <w:r>
            <w:fldChar w:fldCharType="begin"/>
          </w:r>
          <w:r>
            <w:instrText xml:space="preserve"> PAGE  \* Arabic  \* MERGEFORMAT </w:instrText>
          </w:r>
          <w:r>
            <w:fldChar w:fldCharType="separate"/>
          </w:r>
          <w:r w:rsidR="003D0B17">
            <w:rPr>
              <w:noProof/>
            </w:rPr>
            <w:t>2</w:t>
          </w:r>
          <w:r>
            <w:rPr>
              <w:noProof/>
            </w:rPr>
            <w:fldChar w:fldCharType="end"/>
          </w:r>
          <w:r w:rsidRPr="004873F8">
            <w:t xml:space="preserve"> of </w:t>
          </w:r>
          <w:fldSimple w:instr=" NUMPAGES  \* Arabic  \* MERGEFORMAT ">
            <w:r w:rsidR="005E3CC6">
              <w:rPr>
                <w:noProof/>
              </w:rPr>
              <w:t>4</w:t>
            </w:r>
          </w:fldSimple>
        </w:p>
      </w:tc>
      <w:tc>
        <w:tcPr>
          <w:tcW w:w="284" w:type="dxa"/>
        </w:tcPr>
        <w:p w:rsidR="00D62697" w:rsidRDefault="00D62697" w:rsidP="00DD219E">
          <w:pPr>
            <w:pStyle w:val="Footer"/>
          </w:pPr>
        </w:p>
      </w:tc>
      <w:tc>
        <w:tcPr>
          <w:tcW w:w="2714" w:type="dxa"/>
        </w:tcPr>
        <w:p w:rsidR="00D62697" w:rsidRDefault="00166D0F" w:rsidP="00DD219E">
          <w:pPr>
            <w:pStyle w:val="Footer"/>
          </w:pPr>
          <w:fldSimple w:instr=" STYLEREF  &quot;Footer Date&quot;  \* MERGEFORMAT ">
            <w:r w:rsidR="005E3CC6">
              <w:rPr>
                <w:noProof/>
              </w:rPr>
              <w:t>V1.0</w:t>
            </w:r>
          </w:fldSimple>
        </w:p>
      </w:tc>
      <w:tc>
        <w:tcPr>
          <w:tcW w:w="2712" w:type="dxa"/>
        </w:tcPr>
        <w:p w:rsidR="00D62697" w:rsidRDefault="00D62697" w:rsidP="00DD219E">
          <w:pPr>
            <w:pStyle w:val="Footer"/>
          </w:pPr>
          <w:r>
            <w:t xml:space="preserve">© ELEXON </w:t>
          </w:r>
          <w:r>
            <w:fldChar w:fldCharType="begin"/>
          </w:r>
          <w:r>
            <w:instrText xml:space="preserve"> DATE  \@ "yyyy" </w:instrText>
          </w:r>
          <w:r>
            <w:fldChar w:fldCharType="separate"/>
          </w:r>
          <w:r w:rsidR="005E3CC6">
            <w:rPr>
              <w:noProof/>
            </w:rPr>
            <w:t>2018</w:t>
          </w:r>
          <w:r>
            <w:fldChar w:fldCharType="end"/>
          </w:r>
        </w:p>
      </w:tc>
      <w:tc>
        <w:tcPr>
          <w:tcW w:w="2301" w:type="dxa"/>
          <w:vMerge/>
        </w:tcPr>
        <w:p w:rsidR="00D62697" w:rsidRDefault="00D62697" w:rsidP="00DD219E">
          <w:pPr>
            <w:pStyle w:val="Footer"/>
          </w:pPr>
        </w:p>
      </w:tc>
    </w:tr>
  </w:tbl>
  <w:p w:rsidR="00E53D37" w:rsidRDefault="00E53D37" w:rsidP="00025A8A">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FA38AF" w:rsidTr="008632A3">
      <w:trPr>
        <w:trHeight w:val="159"/>
      </w:trPr>
      <w:tc>
        <w:tcPr>
          <w:tcW w:w="2296" w:type="dxa"/>
          <w:tcBorders>
            <w:top w:val="single" w:sz="36" w:space="0" w:color="0090AB" w:themeColor="text2"/>
          </w:tcBorders>
        </w:tcPr>
        <w:p w:rsidR="00FA38AF" w:rsidRDefault="00FA38AF" w:rsidP="008632A3">
          <w:pPr>
            <w:pStyle w:val="1pt"/>
          </w:pPr>
        </w:p>
      </w:tc>
      <w:tc>
        <w:tcPr>
          <w:tcW w:w="284" w:type="dxa"/>
        </w:tcPr>
        <w:p w:rsidR="00FA38AF" w:rsidRDefault="00FA38AF" w:rsidP="008632A3">
          <w:pPr>
            <w:pStyle w:val="1pt"/>
          </w:pPr>
        </w:p>
      </w:tc>
      <w:tc>
        <w:tcPr>
          <w:tcW w:w="2714" w:type="dxa"/>
          <w:tcBorders>
            <w:top w:val="single" w:sz="36" w:space="0" w:color="0090AB" w:themeColor="text2"/>
          </w:tcBorders>
        </w:tcPr>
        <w:p w:rsidR="00FA38AF" w:rsidRDefault="00FA38AF" w:rsidP="008632A3">
          <w:pPr>
            <w:pStyle w:val="1pt"/>
          </w:pPr>
        </w:p>
      </w:tc>
      <w:tc>
        <w:tcPr>
          <w:tcW w:w="2712" w:type="dxa"/>
          <w:tcBorders>
            <w:top w:val="single" w:sz="36" w:space="0" w:color="0090AB" w:themeColor="text2"/>
          </w:tcBorders>
        </w:tcPr>
        <w:p w:rsidR="00FA38AF" w:rsidRDefault="00FA38AF" w:rsidP="008632A3">
          <w:pPr>
            <w:pStyle w:val="1pt"/>
          </w:pPr>
        </w:p>
      </w:tc>
      <w:tc>
        <w:tcPr>
          <w:tcW w:w="2301" w:type="dxa"/>
          <w:tcBorders>
            <w:top w:val="single" w:sz="36" w:space="0" w:color="0090AB" w:themeColor="text2"/>
          </w:tcBorders>
        </w:tcPr>
        <w:p w:rsidR="00FA38AF" w:rsidRPr="009845EB" w:rsidRDefault="00FA38AF" w:rsidP="008632A3">
          <w:pPr>
            <w:pStyle w:val="1pt"/>
          </w:pPr>
        </w:p>
      </w:tc>
    </w:tr>
    <w:tr w:rsidR="00FA38AF" w:rsidTr="008632A3">
      <w:trPr>
        <w:trHeight w:val="357"/>
      </w:trPr>
      <w:tc>
        <w:tcPr>
          <w:tcW w:w="2296" w:type="dxa"/>
        </w:tcPr>
        <w:p w:rsidR="00FA38AF" w:rsidRPr="00BF573B" w:rsidRDefault="00DC2CAF" w:rsidP="008632A3">
          <w:pPr>
            <w:pStyle w:val="Footer"/>
          </w:pPr>
          <w:r>
            <w:fldChar w:fldCharType="begin"/>
          </w:r>
          <w:r>
            <w:instrText xml:space="preserve"> STYLEREF  "Footer Ref 1"  \* MERGEFORMAT </w:instrText>
          </w:r>
          <w:r>
            <w:fldChar w:fldCharType="separate"/>
          </w:r>
          <w:r>
            <w:rPr>
              <w:noProof/>
            </w:rPr>
            <w:t>215/02</w:t>
          </w:r>
          <w:r>
            <w:rPr>
              <w:noProof/>
            </w:rPr>
            <w:fldChar w:fldCharType="end"/>
          </w:r>
        </w:p>
      </w:tc>
      <w:tc>
        <w:tcPr>
          <w:tcW w:w="284" w:type="dxa"/>
        </w:tcPr>
        <w:p w:rsidR="00FA38AF" w:rsidRDefault="00FA38AF" w:rsidP="008632A3">
          <w:pPr>
            <w:pStyle w:val="Footer"/>
          </w:pPr>
        </w:p>
      </w:tc>
      <w:tc>
        <w:tcPr>
          <w:tcW w:w="5426" w:type="dxa"/>
          <w:gridSpan w:val="2"/>
        </w:tcPr>
        <w:p w:rsidR="00FA38AF" w:rsidRDefault="00FA38AF"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FA38AF" w:rsidRDefault="00FA38AF" w:rsidP="008632A3">
          <w:pPr>
            <w:pStyle w:val="Footer"/>
          </w:pPr>
          <w:r>
            <w:rPr>
              <w:rFonts w:hint="eastAsia"/>
              <w:noProof/>
              <w:lang w:eastAsia="en-GB"/>
            </w:rPr>
            <w:drawing>
              <wp:inline distT="0" distB="0" distL="0" distR="0" wp14:anchorId="65A7173C" wp14:editId="56334A03">
                <wp:extent cx="1461960" cy="3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FA38AF" w:rsidTr="008632A3">
      <w:trPr>
        <w:trHeight w:val="295"/>
      </w:trPr>
      <w:tc>
        <w:tcPr>
          <w:tcW w:w="2296" w:type="dxa"/>
        </w:tcPr>
        <w:p w:rsidR="00FA38AF" w:rsidRPr="004873F8" w:rsidRDefault="00FA38AF" w:rsidP="008632A3">
          <w:pPr>
            <w:pStyle w:val="Footer"/>
          </w:pPr>
          <w:r w:rsidRPr="004873F8">
            <w:t xml:space="preserve">Page </w:t>
          </w:r>
          <w:r>
            <w:fldChar w:fldCharType="begin"/>
          </w:r>
          <w:r>
            <w:instrText xml:space="preserve"> PAGE  \* Arabic  \* MERGEFORMAT </w:instrText>
          </w:r>
          <w:r>
            <w:fldChar w:fldCharType="separate"/>
          </w:r>
          <w:r w:rsidR="00DC2CAF">
            <w:rPr>
              <w:noProof/>
            </w:rPr>
            <w:t>2</w:t>
          </w:r>
          <w:r>
            <w:rPr>
              <w:noProof/>
            </w:rPr>
            <w:fldChar w:fldCharType="end"/>
          </w:r>
          <w:r w:rsidRPr="004873F8">
            <w:t xml:space="preserve"> of </w:t>
          </w:r>
          <w:fldSimple w:instr=" NUMPAGES  \* Arabic  \* MERGEFORMAT ">
            <w:r w:rsidR="00DC2CAF">
              <w:rPr>
                <w:noProof/>
              </w:rPr>
              <w:t>4</w:t>
            </w:r>
          </w:fldSimple>
        </w:p>
      </w:tc>
      <w:tc>
        <w:tcPr>
          <w:tcW w:w="284" w:type="dxa"/>
        </w:tcPr>
        <w:p w:rsidR="00FA38AF" w:rsidRDefault="00FA38AF" w:rsidP="008632A3">
          <w:pPr>
            <w:pStyle w:val="Footer"/>
          </w:pPr>
        </w:p>
      </w:tc>
      <w:tc>
        <w:tcPr>
          <w:tcW w:w="2714" w:type="dxa"/>
        </w:tcPr>
        <w:p w:rsidR="00FA38AF" w:rsidRDefault="00DC2CAF" w:rsidP="008632A3">
          <w:pPr>
            <w:pStyle w:val="Footer"/>
          </w:pPr>
          <w:r>
            <w:fldChar w:fldCharType="begin"/>
          </w:r>
          <w:r>
            <w:instrText xml:space="preserve"> STYLEREF  "Footer Date"  \* MERGEFORMAT </w:instrText>
          </w:r>
          <w:r>
            <w:fldChar w:fldCharType="separate"/>
          </w:r>
          <w:r>
            <w:rPr>
              <w:noProof/>
            </w:rPr>
            <w:t>V1.0</w:t>
          </w:r>
          <w:r>
            <w:rPr>
              <w:noProof/>
            </w:rPr>
            <w:fldChar w:fldCharType="end"/>
          </w:r>
        </w:p>
      </w:tc>
      <w:tc>
        <w:tcPr>
          <w:tcW w:w="2712" w:type="dxa"/>
        </w:tcPr>
        <w:p w:rsidR="00FA38AF" w:rsidRDefault="00FA38AF" w:rsidP="008632A3">
          <w:pPr>
            <w:pStyle w:val="Footer"/>
          </w:pPr>
          <w:r>
            <w:t xml:space="preserve">© ELEXON </w:t>
          </w:r>
          <w:r>
            <w:fldChar w:fldCharType="begin"/>
          </w:r>
          <w:r>
            <w:instrText xml:space="preserve"> DATE  \@ "yyyy" </w:instrText>
          </w:r>
          <w:r>
            <w:fldChar w:fldCharType="separate"/>
          </w:r>
          <w:r w:rsidR="005E3CC6">
            <w:rPr>
              <w:noProof/>
            </w:rPr>
            <w:t>2018</w:t>
          </w:r>
          <w:r>
            <w:fldChar w:fldCharType="end"/>
          </w:r>
        </w:p>
      </w:tc>
      <w:tc>
        <w:tcPr>
          <w:tcW w:w="2301" w:type="dxa"/>
          <w:vMerge/>
        </w:tcPr>
        <w:p w:rsidR="00FA38AF" w:rsidRDefault="00FA38AF" w:rsidP="008632A3">
          <w:pPr>
            <w:pStyle w:val="Footer"/>
          </w:pPr>
        </w:p>
      </w:tc>
    </w:tr>
  </w:tbl>
  <w:p w:rsidR="00FA38AF" w:rsidRDefault="00FA38AF" w:rsidP="00025A8A">
    <w:pPr>
      <w:pStyle w:val="1p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1B" w:rsidRDefault="00876E1B" w:rsidP="00D00160">
      <w:pPr>
        <w:spacing w:after="0"/>
      </w:pPr>
      <w:r>
        <w:separator/>
      </w:r>
    </w:p>
    <w:p w:rsidR="00876E1B" w:rsidRDefault="00876E1B"/>
  </w:footnote>
  <w:footnote w:type="continuationSeparator" w:id="0">
    <w:p w:rsidR="00876E1B" w:rsidRDefault="00876E1B" w:rsidP="00D00160">
      <w:pPr>
        <w:spacing w:after="0"/>
      </w:pPr>
      <w:r>
        <w:continuationSeparator/>
      </w:r>
    </w:p>
    <w:p w:rsidR="00876E1B" w:rsidRDefault="00876E1B"/>
  </w:footnote>
  <w:footnote w:id="1">
    <w:p w:rsidR="00A2513E" w:rsidRDefault="00A2513E">
      <w:pPr>
        <w:pStyle w:val="FootnoteText"/>
      </w:pPr>
      <w:r>
        <w:rPr>
          <w:rStyle w:val="FootnoteReference"/>
        </w:rPr>
        <w:footnoteRef/>
      </w:r>
      <w:r>
        <w:t xml:space="preserve"> Collection of CM charges is currently suspended</w:t>
      </w:r>
      <w:r w:rsidR="005C6277">
        <w:t>. This</w:t>
      </w:r>
      <w:r w:rsidR="005E3CC6">
        <w:t xml:space="preserve"> </w:t>
      </w:r>
      <w:r>
        <w:t>follow</w:t>
      </w:r>
      <w:r w:rsidR="005E3CC6">
        <w:t>s</w:t>
      </w:r>
      <w:r>
        <w:t xml:space="preserve"> a </w:t>
      </w:r>
      <w:r w:rsidRPr="00A2513E">
        <w:t xml:space="preserve">European Court judgment that the European Commission should have conducted a formal investigation of the </w:t>
      </w:r>
      <w:r w:rsidR="008F16A7">
        <w:t xml:space="preserve">compatibility of the CM with rules regarding </w:t>
      </w:r>
      <w:r w:rsidRPr="00A2513E">
        <w:t>State Aid</w:t>
      </w:r>
      <w:r w:rsidR="008F16A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5A3992" w:rsidRPr="009D47D6" w:rsidTr="005A3992">
      <w:trPr>
        <w:cantSplit/>
        <w:trHeight w:hRule="exact" w:val="284"/>
      </w:trPr>
      <w:tc>
        <w:tcPr>
          <w:tcW w:w="10318" w:type="dxa"/>
          <w:tcBorders>
            <w:top w:val="nil"/>
            <w:bottom w:val="nil"/>
          </w:tcBorders>
        </w:tcPr>
        <w:p w:rsidR="005A3992" w:rsidRDefault="005A3992" w:rsidP="005A3992">
          <w:pPr>
            <w:pStyle w:val="BodyText"/>
          </w:pPr>
        </w:p>
      </w:tc>
    </w:tr>
    <w:tr w:rsidR="00E53D37" w:rsidRPr="009D47D6" w:rsidTr="003D0B17">
      <w:trPr>
        <w:cantSplit/>
        <w:trHeight w:val="550"/>
      </w:trPr>
      <w:tc>
        <w:tcPr>
          <w:tcW w:w="10318" w:type="dxa"/>
          <w:tcBorders>
            <w:top w:val="nil"/>
          </w:tcBorders>
        </w:tcPr>
        <w:p w:rsidR="00E53D37" w:rsidRPr="009D47D6" w:rsidRDefault="000C7695" w:rsidP="009D47D6">
          <w:pPr>
            <w:pStyle w:val="Title"/>
          </w:pPr>
          <w:fldSimple w:instr=" STYLEREF  Title  \* MERGEFORMAT ">
            <w:r w:rsidR="005E3CC6">
              <w:rPr>
                <w:noProof/>
              </w:rPr>
              <w:t>Approach to agreeing whether SVA Metering Systems should be treated as recording volumes of exempt supply</w:t>
            </w:r>
          </w:fldSimple>
        </w:p>
      </w:tc>
    </w:tr>
    <w:tr w:rsidR="007B1DAF" w:rsidRPr="009D47D6" w:rsidTr="003A1CE2">
      <w:trPr>
        <w:cantSplit/>
        <w:trHeight w:hRule="exact" w:val="397"/>
      </w:trPr>
      <w:tc>
        <w:tcPr>
          <w:tcW w:w="10318" w:type="dxa"/>
        </w:tcPr>
        <w:p w:rsidR="007B1DAF" w:rsidRPr="009D47D6" w:rsidRDefault="007B1DAF" w:rsidP="007B1DAF">
          <w:pPr>
            <w:pStyle w:val="BodyText"/>
          </w:pPr>
        </w:p>
      </w:tc>
    </w:tr>
  </w:tbl>
  <w:p w:rsidR="007B1DAF" w:rsidRPr="000C4DC9" w:rsidRDefault="007B1DAF" w:rsidP="007B1DAF">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FA38AF" w:rsidRPr="009D47D6" w:rsidTr="008632A3">
      <w:trPr>
        <w:cantSplit/>
        <w:trHeight w:hRule="exact" w:val="284"/>
      </w:trPr>
      <w:tc>
        <w:tcPr>
          <w:tcW w:w="10318" w:type="dxa"/>
          <w:tcBorders>
            <w:top w:val="nil"/>
            <w:bottom w:val="nil"/>
          </w:tcBorders>
        </w:tcPr>
        <w:p w:rsidR="00FA38AF" w:rsidRDefault="00FA38AF" w:rsidP="008632A3">
          <w:pPr>
            <w:pStyle w:val="BodyText"/>
          </w:pPr>
        </w:p>
      </w:tc>
    </w:tr>
    <w:tr w:rsidR="00FA38AF" w:rsidRPr="009D47D6" w:rsidTr="003D0B17">
      <w:trPr>
        <w:cantSplit/>
        <w:trHeight w:val="550"/>
      </w:trPr>
      <w:tc>
        <w:tcPr>
          <w:tcW w:w="10318" w:type="dxa"/>
          <w:tcBorders>
            <w:top w:val="nil"/>
          </w:tcBorders>
        </w:tcPr>
        <w:p w:rsidR="00FA38AF" w:rsidRPr="009D47D6" w:rsidRDefault="00DC2CAF" w:rsidP="008632A3">
          <w:pPr>
            <w:pStyle w:val="Title"/>
          </w:pPr>
          <w:r>
            <w:fldChar w:fldCharType="begin"/>
          </w:r>
          <w:r>
            <w:instrText xml:space="preserve"> STYLEREF  Title  \* MERGEFORMAT </w:instrText>
          </w:r>
          <w:r>
            <w:fldChar w:fldCharType="separate"/>
          </w:r>
          <w:r>
            <w:rPr>
              <w:noProof/>
            </w:rPr>
            <w:t>Approach to agreeing whether SVA Metering Systems should be treated as recording volumes of exempt supply</w:t>
          </w:r>
          <w:r>
            <w:rPr>
              <w:noProof/>
            </w:rPr>
            <w:fldChar w:fldCharType="end"/>
          </w:r>
        </w:p>
      </w:tc>
    </w:tr>
    <w:tr w:rsidR="00FA38AF" w:rsidRPr="009D47D6" w:rsidTr="008632A3">
      <w:trPr>
        <w:cantSplit/>
        <w:trHeight w:hRule="exact" w:val="369"/>
      </w:trPr>
      <w:tc>
        <w:tcPr>
          <w:tcW w:w="10318" w:type="dxa"/>
        </w:tcPr>
        <w:p w:rsidR="00FA38AF" w:rsidRPr="009D47D6" w:rsidRDefault="00FA38AF" w:rsidP="008632A3">
          <w:pPr>
            <w:pStyle w:val="BodyText"/>
          </w:pPr>
        </w:p>
      </w:tc>
    </w:tr>
  </w:tbl>
  <w:p w:rsidR="00FA38AF" w:rsidRDefault="00FA38AF" w:rsidP="00025A8A">
    <w:pPr>
      <w:pStyle w:val="1p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76743A"/>
    <w:lvl w:ilvl="0">
      <w:start w:val="1"/>
      <w:numFmt w:val="decimal"/>
      <w:lvlText w:val="%1."/>
      <w:lvlJc w:val="left"/>
      <w:pPr>
        <w:tabs>
          <w:tab w:val="num" w:pos="1492"/>
        </w:tabs>
        <w:ind w:left="1492" w:hanging="360"/>
      </w:pPr>
    </w:lvl>
  </w:abstractNum>
  <w:abstractNum w:abstractNumId="1">
    <w:nsid w:val="FFFFFF7D"/>
    <w:multiLevelType w:val="singleLevel"/>
    <w:tmpl w:val="CBDE83E0"/>
    <w:lvl w:ilvl="0">
      <w:start w:val="1"/>
      <w:numFmt w:val="decimal"/>
      <w:lvlText w:val="%1."/>
      <w:lvlJc w:val="left"/>
      <w:pPr>
        <w:tabs>
          <w:tab w:val="num" w:pos="1209"/>
        </w:tabs>
        <w:ind w:left="1209" w:hanging="360"/>
      </w:pPr>
    </w:lvl>
  </w:abstractNum>
  <w:abstractNum w:abstractNumId="2">
    <w:nsid w:val="FFFFFF80"/>
    <w:multiLevelType w:val="singleLevel"/>
    <w:tmpl w:val="BDA29E2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DC6A65CC"/>
    <w:lvl w:ilvl="0">
      <w:start w:val="1"/>
      <w:numFmt w:val="bullet"/>
      <w:lvlText w:val=""/>
      <w:lvlJc w:val="left"/>
      <w:pPr>
        <w:tabs>
          <w:tab w:val="num" w:pos="1209"/>
        </w:tabs>
        <w:ind w:left="1209" w:hanging="360"/>
      </w:pPr>
      <w:rPr>
        <w:rFonts w:ascii="Symbol" w:hAnsi="Symbol" w:hint="default"/>
      </w:rPr>
    </w:lvl>
  </w:abstractNum>
  <w:abstractNum w:abstractNumId="4">
    <w:nsid w:val="0DF34DA6"/>
    <w:multiLevelType w:val="multilevel"/>
    <w:tmpl w:val="2E4EC6B8"/>
    <w:numStyleLink w:val="ListBullets"/>
  </w:abstractNum>
  <w:abstractNum w:abstractNumId="5">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6">
    <w:nsid w:val="1E9B4FFB"/>
    <w:multiLevelType w:val="multilevel"/>
    <w:tmpl w:val="6DDC093C"/>
    <w:numStyleLink w:val="ListNumbers"/>
  </w:abstractNum>
  <w:abstractNum w:abstractNumId="7">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nsid w:val="2C0F7816"/>
    <w:multiLevelType w:val="multilevel"/>
    <w:tmpl w:val="A28EC53E"/>
    <w:numStyleLink w:val="ListHeadings"/>
  </w:abstractNum>
  <w:abstractNum w:abstractNumId="9">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1">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E225E17"/>
    <w:multiLevelType w:val="multilevel"/>
    <w:tmpl w:val="A28EC53E"/>
    <w:numStyleLink w:val="ListHeadings"/>
  </w:abstractNum>
  <w:abstractNum w:abstractNumId="13">
    <w:nsid w:val="46A73215"/>
    <w:multiLevelType w:val="multilevel"/>
    <w:tmpl w:val="2E4EC6B8"/>
    <w:numStyleLink w:val="ListBullets"/>
  </w:abstractNum>
  <w:abstractNum w:abstractNumId="14">
    <w:nsid w:val="4E060A0C"/>
    <w:multiLevelType w:val="multilevel"/>
    <w:tmpl w:val="2E4EC6B8"/>
    <w:numStyleLink w:val="ListBullets"/>
  </w:abstractNum>
  <w:abstractNum w:abstractNumId="15">
    <w:nsid w:val="5D596BEA"/>
    <w:multiLevelType w:val="multilevel"/>
    <w:tmpl w:val="A28EC53E"/>
    <w:numStyleLink w:val="ListHeadings"/>
  </w:abstractNum>
  <w:abstractNum w:abstractNumId="16">
    <w:nsid w:val="60E33CAB"/>
    <w:multiLevelType w:val="multilevel"/>
    <w:tmpl w:val="2E4EC6B8"/>
    <w:numStyleLink w:val="ListBullets"/>
  </w:abstractNum>
  <w:abstractNum w:abstractNumId="17">
    <w:nsid w:val="73D63850"/>
    <w:multiLevelType w:val="multilevel"/>
    <w:tmpl w:val="269C7F9C"/>
    <w:numStyleLink w:val="ListTable"/>
  </w:abstractNum>
  <w:abstractNum w:abstractNumId="18">
    <w:nsid w:val="73FF3C1E"/>
    <w:multiLevelType w:val="multilevel"/>
    <w:tmpl w:val="2E4EC6B8"/>
    <w:numStyleLink w:val="ListBullets"/>
  </w:abstractNum>
  <w:abstractNum w:abstractNumId="19">
    <w:nsid w:val="7D004CA6"/>
    <w:multiLevelType w:val="multilevel"/>
    <w:tmpl w:val="2E4EC6B8"/>
    <w:numStyleLink w:val="ListBullets"/>
  </w:abstractNum>
  <w:abstractNum w:abstractNumId="20">
    <w:nsid w:val="7DE21902"/>
    <w:multiLevelType w:val="multilevel"/>
    <w:tmpl w:val="6DDC093C"/>
    <w:numStyleLink w:val="ListNumbers"/>
  </w:abstractNum>
  <w:abstractNum w:abstractNumId="21">
    <w:nsid w:val="7F0825B4"/>
    <w:multiLevelType w:val="multilevel"/>
    <w:tmpl w:val="2E4EC6B8"/>
    <w:numStyleLink w:val="ListBullets"/>
  </w:abstractNum>
  <w:num w:numId="1">
    <w:abstractNumId w:val="10"/>
  </w:num>
  <w:num w:numId="2">
    <w:abstractNumId w:val="5"/>
  </w:num>
  <w:num w:numId="3">
    <w:abstractNumId w:val="7"/>
  </w:num>
  <w:num w:numId="4">
    <w:abstractNumId w:val="15"/>
  </w:num>
  <w:num w:numId="5">
    <w:abstractNumId w:val="11"/>
  </w:num>
  <w:num w:numId="6">
    <w:abstractNumId w:val="14"/>
  </w:num>
  <w:num w:numId="7">
    <w:abstractNumId w:val="6"/>
  </w:num>
  <w:num w:numId="8">
    <w:abstractNumId w:val="3"/>
  </w:num>
  <w:num w:numId="9">
    <w:abstractNumId w:val="2"/>
  </w:num>
  <w:num w:numId="10">
    <w:abstractNumId w:val="1"/>
  </w:num>
  <w:num w:numId="11">
    <w:abstractNumId w:val="0"/>
  </w:num>
  <w:num w:numId="12">
    <w:abstractNumId w:val="13"/>
  </w:num>
  <w:num w:numId="13">
    <w:abstractNumId w:val="16"/>
  </w:num>
  <w:num w:numId="14">
    <w:abstractNumId w:val="4"/>
  </w:num>
  <w:num w:numId="15">
    <w:abstractNumId w:val="21"/>
  </w:num>
  <w:num w:numId="16">
    <w:abstractNumId w:val="18"/>
  </w:num>
  <w:num w:numId="17">
    <w:abstractNumId w:val="8"/>
  </w:num>
  <w:num w:numId="18">
    <w:abstractNumId w:val="19"/>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num>
  <w:num w:numId="25">
    <w:abstractNumId w:val="7"/>
  </w:num>
  <w:num w:numId="26">
    <w:abstractNumId w:val="9"/>
  </w:num>
  <w:num w:numId="27">
    <w:abstractNumId w:val="12"/>
  </w:num>
  <w:num w:numId="28">
    <w:abstractNumId w:val="12"/>
  </w:num>
  <w:num w:numId="29">
    <w:abstractNumId w:val="12"/>
  </w:num>
  <w:num w:numId="30">
    <w:abstractNumId w:val="17"/>
  </w:num>
  <w:num w:numId="31">
    <w:abstractNumId w:val="19"/>
  </w:num>
  <w:num w:numId="32">
    <w:abstractNumId w:val="19"/>
  </w:num>
  <w:num w:numId="33">
    <w:abstractNumId w:val="19"/>
  </w:num>
  <w:num w:numId="34">
    <w:abstractNumId w:val="12"/>
  </w:num>
  <w:num w:numId="35">
    <w:abstractNumId w:val="12"/>
  </w:num>
  <w:num w:numId="36">
    <w:abstractNumId w:val="12"/>
  </w:num>
  <w:num w:numId="37">
    <w:abstractNumId w:val="12"/>
  </w:num>
  <w:num w:numId="38">
    <w:abstractNumId w:val="12"/>
  </w:num>
  <w:num w:numId="39">
    <w:abstractNumId w:val="19"/>
  </w:num>
  <w:num w:numId="40">
    <w:abstractNumId w:val="12"/>
  </w:num>
  <w:num w:numId="4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10241"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1B"/>
    <w:rsid w:val="00003DBA"/>
    <w:rsid w:val="000078F3"/>
    <w:rsid w:val="000128C9"/>
    <w:rsid w:val="00015631"/>
    <w:rsid w:val="00015705"/>
    <w:rsid w:val="0001665B"/>
    <w:rsid w:val="00022399"/>
    <w:rsid w:val="0002328B"/>
    <w:rsid w:val="00024FCF"/>
    <w:rsid w:val="00025108"/>
    <w:rsid w:val="00025A8A"/>
    <w:rsid w:val="00026FC0"/>
    <w:rsid w:val="000343CB"/>
    <w:rsid w:val="00035FC0"/>
    <w:rsid w:val="00041EC1"/>
    <w:rsid w:val="00045857"/>
    <w:rsid w:val="00047923"/>
    <w:rsid w:val="00050889"/>
    <w:rsid w:val="00051C54"/>
    <w:rsid w:val="00051D61"/>
    <w:rsid w:val="000573F4"/>
    <w:rsid w:val="0006412A"/>
    <w:rsid w:val="0006470B"/>
    <w:rsid w:val="00074A17"/>
    <w:rsid w:val="00083A4B"/>
    <w:rsid w:val="00084BB0"/>
    <w:rsid w:val="000A03BE"/>
    <w:rsid w:val="000A32E3"/>
    <w:rsid w:val="000B0BF6"/>
    <w:rsid w:val="000B11AF"/>
    <w:rsid w:val="000B64DB"/>
    <w:rsid w:val="000C0795"/>
    <w:rsid w:val="000C4DC9"/>
    <w:rsid w:val="000C4F41"/>
    <w:rsid w:val="000C543E"/>
    <w:rsid w:val="000C7695"/>
    <w:rsid w:val="000D4049"/>
    <w:rsid w:val="000D559A"/>
    <w:rsid w:val="000E25F9"/>
    <w:rsid w:val="000F670D"/>
    <w:rsid w:val="00105F47"/>
    <w:rsid w:val="001063E6"/>
    <w:rsid w:val="001069B5"/>
    <w:rsid w:val="001120E5"/>
    <w:rsid w:val="00114B30"/>
    <w:rsid w:val="001226F1"/>
    <w:rsid w:val="00123FE3"/>
    <w:rsid w:val="0012434E"/>
    <w:rsid w:val="00125B2A"/>
    <w:rsid w:val="0012760C"/>
    <w:rsid w:val="00127CD0"/>
    <w:rsid w:val="00130B0E"/>
    <w:rsid w:val="00130CF5"/>
    <w:rsid w:val="0014452C"/>
    <w:rsid w:val="00151EA9"/>
    <w:rsid w:val="00155174"/>
    <w:rsid w:val="0016442A"/>
    <w:rsid w:val="00164C03"/>
    <w:rsid w:val="00166D0F"/>
    <w:rsid w:val="00184103"/>
    <w:rsid w:val="0019370E"/>
    <w:rsid w:val="00193B3A"/>
    <w:rsid w:val="001A04A1"/>
    <w:rsid w:val="001A3219"/>
    <w:rsid w:val="001A5418"/>
    <w:rsid w:val="001B01E6"/>
    <w:rsid w:val="001D09C2"/>
    <w:rsid w:val="001D222B"/>
    <w:rsid w:val="001D362E"/>
    <w:rsid w:val="001D3F6A"/>
    <w:rsid w:val="001D7AD3"/>
    <w:rsid w:val="001E0DED"/>
    <w:rsid w:val="001E2050"/>
    <w:rsid w:val="001F5FF8"/>
    <w:rsid w:val="00200719"/>
    <w:rsid w:val="0020255E"/>
    <w:rsid w:val="002050E1"/>
    <w:rsid w:val="00205D10"/>
    <w:rsid w:val="00224CBF"/>
    <w:rsid w:val="00227464"/>
    <w:rsid w:val="00241ED6"/>
    <w:rsid w:val="00242B52"/>
    <w:rsid w:val="00243F75"/>
    <w:rsid w:val="00253B86"/>
    <w:rsid w:val="0025704F"/>
    <w:rsid w:val="00270DC2"/>
    <w:rsid w:val="00272B0C"/>
    <w:rsid w:val="00275E71"/>
    <w:rsid w:val="00276651"/>
    <w:rsid w:val="002811FE"/>
    <w:rsid w:val="002836E6"/>
    <w:rsid w:val="00283B5E"/>
    <w:rsid w:val="002850A8"/>
    <w:rsid w:val="00287A11"/>
    <w:rsid w:val="00290EEC"/>
    <w:rsid w:val="00293848"/>
    <w:rsid w:val="00295BCB"/>
    <w:rsid w:val="002A1873"/>
    <w:rsid w:val="002A4FFD"/>
    <w:rsid w:val="002B2467"/>
    <w:rsid w:val="002B60FA"/>
    <w:rsid w:val="002B64C3"/>
    <w:rsid w:val="002C2A71"/>
    <w:rsid w:val="002C4253"/>
    <w:rsid w:val="002D4ED7"/>
    <w:rsid w:val="002E1537"/>
    <w:rsid w:val="002E4FC5"/>
    <w:rsid w:val="002E52AF"/>
    <w:rsid w:val="002E7A18"/>
    <w:rsid w:val="002F138B"/>
    <w:rsid w:val="002F2F81"/>
    <w:rsid w:val="002F6971"/>
    <w:rsid w:val="00305EA8"/>
    <w:rsid w:val="00306E69"/>
    <w:rsid w:val="00312A7C"/>
    <w:rsid w:val="00326268"/>
    <w:rsid w:val="00333E34"/>
    <w:rsid w:val="00334D94"/>
    <w:rsid w:val="00350F5E"/>
    <w:rsid w:val="00351A33"/>
    <w:rsid w:val="0035504E"/>
    <w:rsid w:val="00356E74"/>
    <w:rsid w:val="00360453"/>
    <w:rsid w:val="00362D93"/>
    <w:rsid w:val="00370AB7"/>
    <w:rsid w:val="00375038"/>
    <w:rsid w:val="00375CC5"/>
    <w:rsid w:val="003812E8"/>
    <w:rsid w:val="00383845"/>
    <w:rsid w:val="003A1CE2"/>
    <w:rsid w:val="003A5A5F"/>
    <w:rsid w:val="003A60F6"/>
    <w:rsid w:val="003B1693"/>
    <w:rsid w:val="003B566A"/>
    <w:rsid w:val="003C2435"/>
    <w:rsid w:val="003C6FA2"/>
    <w:rsid w:val="003D0B17"/>
    <w:rsid w:val="003D20BC"/>
    <w:rsid w:val="003D2F63"/>
    <w:rsid w:val="003E3D26"/>
    <w:rsid w:val="0040030D"/>
    <w:rsid w:val="00401A30"/>
    <w:rsid w:val="004022EE"/>
    <w:rsid w:val="00412CE1"/>
    <w:rsid w:val="004133F4"/>
    <w:rsid w:val="004204F4"/>
    <w:rsid w:val="0043259F"/>
    <w:rsid w:val="0043358D"/>
    <w:rsid w:val="00456823"/>
    <w:rsid w:val="004626FC"/>
    <w:rsid w:val="00464C7E"/>
    <w:rsid w:val="00465A5E"/>
    <w:rsid w:val="00467F86"/>
    <w:rsid w:val="00474B80"/>
    <w:rsid w:val="0048235F"/>
    <w:rsid w:val="0048274B"/>
    <w:rsid w:val="00483183"/>
    <w:rsid w:val="004844C2"/>
    <w:rsid w:val="004849C8"/>
    <w:rsid w:val="00486E3A"/>
    <w:rsid w:val="004873F8"/>
    <w:rsid w:val="004904CA"/>
    <w:rsid w:val="00492353"/>
    <w:rsid w:val="00493A65"/>
    <w:rsid w:val="0049503B"/>
    <w:rsid w:val="0049627F"/>
    <w:rsid w:val="004A135F"/>
    <w:rsid w:val="004A4ABC"/>
    <w:rsid w:val="004A5FDA"/>
    <w:rsid w:val="004B4F5D"/>
    <w:rsid w:val="004B51B6"/>
    <w:rsid w:val="004C143F"/>
    <w:rsid w:val="004C753B"/>
    <w:rsid w:val="004D209C"/>
    <w:rsid w:val="004D4201"/>
    <w:rsid w:val="004D4C4F"/>
    <w:rsid w:val="004E3651"/>
    <w:rsid w:val="00506E22"/>
    <w:rsid w:val="00510487"/>
    <w:rsid w:val="00511557"/>
    <w:rsid w:val="005129DD"/>
    <w:rsid w:val="00526528"/>
    <w:rsid w:val="00526D98"/>
    <w:rsid w:val="00541E77"/>
    <w:rsid w:val="005423DC"/>
    <w:rsid w:val="005535B5"/>
    <w:rsid w:val="00555C8C"/>
    <w:rsid w:val="00556B2F"/>
    <w:rsid w:val="005600ED"/>
    <w:rsid w:val="0057310D"/>
    <w:rsid w:val="005745BE"/>
    <w:rsid w:val="005806C8"/>
    <w:rsid w:val="00580B4F"/>
    <w:rsid w:val="00583067"/>
    <w:rsid w:val="00593D67"/>
    <w:rsid w:val="00596B83"/>
    <w:rsid w:val="005A3992"/>
    <w:rsid w:val="005A3FBE"/>
    <w:rsid w:val="005A5015"/>
    <w:rsid w:val="005A52C4"/>
    <w:rsid w:val="005C33EB"/>
    <w:rsid w:val="005C6277"/>
    <w:rsid w:val="005C63AE"/>
    <w:rsid w:val="005D267A"/>
    <w:rsid w:val="005D6CAB"/>
    <w:rsid w:val="005E1A46"/>
    <w:rsid w:val="005E2F8F"/>
    <w:rsid w:val="005E3CC6"/>
    <w:rsid w:val="005F4F9F"/>
    <w:rsid w:val="005F6761"/>
    <w:rsid w:val="00603C7D"/>
    <w:rsid w:val="00604929"/>
    <w:rsid w:val="006112FE"/>
    <w:rsid w:val="006119C2"/>
    <w:rsid w:val="00617BEE"/>
    <w:rsid w:val="00627B7E"/>
    <w:rsid w:val="00643DB1"/>
    <w:rsid w:val="00660CB1"/>
    <w:rsid w:val="006713C4"/>
    <w:rsid w:val="00671888"/>
    <w:rsid w:val="006807CF"/>
    <w:rsid w:val="00691A37"/>
    <w:rsid w:val="0069396C"/>
    <w:rsid w:val="00693B09"/>
    <w:rsid w:val="0069564B"/>
    <w:rsid w:val="0069663A"/>
    <w:rsid w:val="00696C07"/>
    <w:rsid w:val="006A1050"/>
    <w:rsid w:val="006A1AF5"/>
    <w:rsid w:val="006A3242"/>
    <w:rsid w:val="006C0DD4"/>
    <w:rsid w:val="006C2D4C"/>
    <w:rsid w:val="006C5231"/>
    <w:rsid w:val="006C7661"/>
    <w:rsid w:val="006D188B"/>
    <w:rsid w:val="006D5BC0"/>
    <w:rsid w:val="006E1377"/>
    <w:rsid w:val="006E445E"/>
    <w:rsid w:val="006F2B4C"/>
    <w:rsid w:val="00700125"/>
    <w:rsid w:val="00701392"/>
    <w:rsid w:val="00701B7D"/>
    <w:rsid w:val="00705107"/>
    <w:rsid w:val="00713AA5"/>
    <w:rsid w:val="00714E30"/>
    <w:rsid w:val="0072343F"/>
    <w:rsid w:val="00724E12"/>
    <w:rsid w:val="0073692C"/>
    <w:rsid w:val="00740CE6"/>
    <w:rsid w:val="00740D57"/>
    <w:rsid w:val="0074339D"/>
    <w:rsid w:val="0074369E"/>
    <w:rsid w:val="007455F6"/>
    <w:rsid w:val="00751685"/>
    <w:rsid w:val="0075650A"/>
    <w:rsid w:val="0077420B"/>
    <w:rsid w:val="00776261"/>
    <w:rsid w:val="007845B9"/>
    <w:rsid w:val="00793CE4"/>
    <w:rsid w:val="00794941"/>
    <w:rsid w:val="007A5271"/>
    <w:rsid w:val="007A750B"/>
    <w:rsid w:val="007B1DAF"/>
    <w:rsid w:val="007B2501"/>
    <w:rsid w:val="007C16D2"/>
    <w:rsid w:val="007C4811"/>
    <w:rsid w:val="007C5F0B"/>
    <w:rsid w:val="007C73F7"/>
    <w:rsid w:val="007D0E52"/>
    <w:rsid w:val="007D59DF"/>
    <w:rsid w:val="007E0107"/>
    <w:rsid w:val="007F1200"/>
    <w:rsid w:val="007F32EE"/>
    <w:rsid w:val="007F3DA5"/>
    <w:rsid w:val="007F7133"/>
    <w:rsid w:val="008072A3"/>
    <w:rsid w:val="00807E70"/>
    <w:rsid w:val="0082633E"/>
    <w:rsid w:val="0087420B"/>
    <w:rsid w:val="00874A5B"/>
    <w:rsid w:val="00876E1B"/>
    <w:rsid w:val="00882677"/>
    <w:rsid w:val="00886BFD"/>
    <w:rsid w:val="00887848"/>
    <w:rsid w:val="008902C0"/>
    <w:rsid w:val="0089353A"/>
    <w:rsid w:val="0089428A"/>
    <w:rsid w:val="008A6595"/>
    <w:rsid w:val="008A719F"/>
    <w:rsid w:val="008B4235"/>
    <w:rsid w:val="008B638A"/>
    <w:rsid w:val="008C340B"/>
    <w:rsid w:val="008C3527"/>
    <w:rsid w:val="008C6D28"/>
    <w:rsid w:val="008C73C7"/>
    <w:rsid w:val="008D59F5"/>
    <w:rsid w:val="008F16A7"/>
    <w:rsid w:val="00901842"/>
    <w:rsid w:val="00917F4B"/>
    <w:rsid w:val="00931FB4"/>
    <w:rsid w:val="009434FC"/>
    <w:rsid w:val="009436B7"/>
    <w:rsid w:val="0094690D"/>
    <w:rsid w:val="00951E4D"/>
    <w:rsid w:val="00956807"/>
    <w:rsid w:val="0095774A"/>
    <w:rsid w:val="009607E7"/>
    <w:rsid w:val="009616DC"/>
    <w:rsid w:val="009767A7"/>
    <w:rsid w:val="009845EB"/>
    <w:rsid w:val="0098676B"/>
    <w:rsid w:val="009933A5"/>
    <w:rsid w:val="009A2B72"/>
    <w:rsid w:val="009B0B9A"/>
    <w:rsid w:val="009B55EE"/>
    <w:rsid w:val="009C201C"/>
    <w:rsid w:val="009D47D6"/>
    <w:rsid w:val="009E0473"/>
    <w:rsid w:val="009E1452"/>
    <w:rsid w:val="009E60A3"/>
    <w:rsid w:val="009F2EBE"/>
    <w:rsid w:val="009F343D"/>
    <w:rsid w:val="009F5D5B"/>
    <w:rsid w:val="00A02821"/>
    <w:rsid w:val="00A07452"/>
    <w:rsid w:val="00A15967"/>
    <w:rsid w:val="00A22973"/>
    <w:rsid w:val="00A24BDB"/>
    <w:rsid w:val="00A2513E"/>
    <w:rsid w:val="00A26DFB"/>
    <w:rsid w:val="00A3488D"/>
    <w:rsid w:val="00A34C37"/>
    <w:rsid w:val="00A426A7"/>
    <w:rsid w:val="00A437F9"/>
    <w:rsid w:val="00A44D3F"/>
    <w:rsid w:val="00A45174"/>
    <w:rsid w:val="00A54E9C"/>
    <w:rsid w:val="00A611C5"/>
    <w:rsid w:val="00A66BB4"/>
    <w:rsid w:val="00A750A5"/>
    <w:rsid w:val="00A856D3"/>
    <w:rsid w:val="00A85FF7"/>
    <w:rsid w:val="00A87081"/>
    <w:rsid w:val="00A93917"/>
    <w:rsid w:val="00A96528"/>
    <w:rsid w:val="00AA1AD9"/>
    <w:rsid w:val="00AA7567"/>
    <w:rsid w:val="00AB167D"/>
    <w:rsid w:val="00AC5D47"/>
    <w:rsid w:val="00AE0441"/>
    <w:rsid w:val="00AF1D0B"/>
    <w:rsid w:val="00B02E85"/>
    <w:rsid w:val="00B108A3"/>
    <w:rsid w:val="00B14FE6"/>
    <w:rsid w:val="00B26AD0"/>
    <w:rsid w:val="00B3012A"/>
    <w:rsid w:val="00B31080"/>
    <w:rsid w:val="00B3185B"/>
    <w:rsid w:val="00B331F4"/>
    <w:rsid w:val="00B33B99"/>
    <w:rsid w:val="00B35660"/>
    <w:rsid w:val="00B429C6"/>
    <w:rsid w:val="00B439F2"/>
    <w:rsid w:val="00B46CCE"/>
    <w:rsid w:val="00B55CA0"/>
    <w:rsid w:val="00B67341"/>
    <w:rsid w:val="00B71C2A"/>
    <w:rsid w:val="00B7564F"/>
    <w:rsid w:val="00B77FF5"/>
    <w:rsid w:val="00B81BE7"/>
    <w:rsid w:val="00B9589B"/>
    <w:rsid w:val="00BA2E49"/>
    <w:rsid w:val="00BA3308"/>
    <w:rsid w:val="00BA785C"/>
    <w:rsid w:val="00BB4AA3"/>
    <w:rsid w:val="00BC620F"/>
    <w:rsid w:val="00BD0A71"/>
    <w:rsid w:val="00BD0D82"/>
    <w:rsid w:val="00BD50EA"/>
    <w:rsid w:val="00BD6651"/>
    <w:rsid w:val="00BE4267"/>
    <w:rsid w:val="00BE42C6"/>
    <w:rsid w:val="00BF2952"/>
    <w:rsid w:val="00BF34AF"/>
    <w:rsid w:val="00BF573B"/>
    <w:rsid w:val="00BF77C5"/>
    <w:rsid w:val="00C01DE5"/>
    <w:rsid w:val="00C03F6C"/>
    <w:rsid w:val="00C0552D"/>
    <w:rsid w:val="00C05636"/>
    <w:rsid w:val="00C273C7"/>
    <w:rsid w:val="00C316FC"/>
    <w:rsid w:val="00C37641"/>
    <w:rsid w:val="00C460D2"/>
    <w:rsid w:val="00C551D7"/>
    <w:rsid w:val="00C55AF7"/>
    <w:rsid w:val="00C611AB"/>
    <w:rsid w:val="00C63D70"/>
    <w:rsid w:val="00C65419"/>
    <w:rsid w:val="00C743B0"/>
    <w:rsid w:val="00C74D3E"/>
    <w:rsid w:val="00C75A66"/>
    <w:rsid w:val="00C82766"/>
    <w:rsid w:val="00C93633"/>
    <w:rsid w:val="00C940BA"/>
    <w:rsid w:val="00C95E62"/>
    <w:rsid w:val="00CB5F37"/>
    <w:rsid w:val="00CB7A8B"/>
    <w:rsid w:val="00CB7C94"/>
    <w:rsid w:val="00CC46F9"/>
    <w:rsid w:val="00CD2C04"/>
    <w:rsid w:val="00CD3EF7"/>
    <w:rsid w:val="00CF5112"/>
    <w:rsid w:val="00D00160"/>
    <w:rsid w:val="00D00244"/>
    <w:rsid w:val="00D0366B"/>
    <w:rsid w:val="00D0445E"/>
    <w:rsid w:val="00D11E7F"/>
    <w:rsid w:val="00D1615A"/>
    <w:rsid w:val="00D1638A"/>
    <w:rsid w:val="00D213E4"/>
    <w:rsid w:val="00D24333"/>
    <w:rsid w:val="00D24E79"/>
    <w:rsid w:val="00D30752"/>
    <w:rsid w:val="00D3680B"/>
    <w:rsid w:val="00D43CD5"/>
    <w:rsid w:val="00D43DAD"/>
    <w:rsid w:val="00D45918"/>
    <w:rsid w:val="00D55D00"/>
    <w:rsid w:val="00D5644A"/>
    <w:rsid w:val="00D565CB"/>
    <w:rsid w:val="00D62697"/>
    <w:rsid w:val="00D65E4C"/>
    <w:rsid w:val="00D85247"/>
    <w:rsid w:val="00DA1A39"/>
    <w:rsid w:val="00DA2D6E"/>
    <w:rsid w:val="00DB17C4"/>
    <w:rsid w:val="00DC1F44"/>
    <w:rsid w:val="00DC2CAF"/>
    <w:rsid w:val="00DC2EFA"/>
    <w:rsid w:val="00DC4705"/>
    <w:rsid w:val="00DD1C68"/>
    <w:rsid w:val="00DD3BD8"/>
    <w:rsid w:val="00DD52A5"/>
    <w:rsid w:val="00DD5553"/>
    <w:rsid w:val="00DD585B"/>
    <w:rsid w:val="00DD63DB"/>
    <w:rsid w:val="00DE3712"/>
    <w:rsid w:val="00DE39AB"/>
    <w:rsid w:val="00DE514C"/>
    <w:rsid w:val="00DE6E04"/>
    <w:rsid w:val="00DF3077"/>
    <w:rsid w:val="00DF5F62"/>
    <w:rsid w:val="00E06062"/>
    <w:rsid w:val="00E070A1"/>
    <w:rsid w:val="00E12272"/>
    <w:rsid w:val="00E12298"/>
    <w:rsid w:val="00E24332"/>
    <w:rsid w:val="00E25D80"/>
    <w:rsid w:val="00E27439"/>
    <w:rsid w:val="00E3751A"/>
    <w:rsid w:val="00E437C6"/>
    <w:rsid w:val="00E53D37"/>
    <w:rsid w:val="00E564AD"/>
    <w:rsid w:val="00E63727"/>
    <w:rsid w:val="00E63D63"/>
    <w:rsid w:val="00E66CE7"/>
    <w:rsid w:val="00E677BA"/>
    <w:rsid w:val="00E7331F"/>
    <w:rsid w:val="00E80574"/>
    <w:rsid w:val="00E87AB5"/>
    <w:rsid w:val="00E900F9"/>
    <w:rsid w:val="00EA7C4C"/>
    <w:rsid w:val="00EB351A"/>
    <w:rsid w:val="00EB369B"/>
    <w:rsid w:val="00EB4318"/>
    <w:rsid w:val="00EB511E"/>
    <w:rsid w:val="00EB6671"/>
    <w:rsid w:val="00EC0669"/>
    <w:rsid w:val="00ED2D03"/>
    <w:rsid w:val="00ED3B54"/>
    <w:rsid w:val="00ED5ACF"/>
    <w:rsid w:val="00ED5B33"/>
    <w:rsid w:val="00EE0A4D"/>
    <w:rsid w:val="00EE1AF2"/>
    <w:rsid w:val="00EE2050"/>
    <w:rsid w:val="00EF2549"/>
    <w:rsid w:val="00EF73BD"/>
    <w:rsid w:val="00F11B7F"/>
    <w:rsid w:val="00F1614F"/>
    <w:rsid w:val="00F16C0B"/>
    <w:rsid w:val="00F16F05"/>
    <w:rsid w:val="00F2113E"/>
    <w:rsid w:val="00F26D0B"/>
    <w:rsid w:val="00F31705"/>
    <w:rsid w:val="00F40624"/>
    <w:rsid w:val="00F432EC"/>
    <w:rsid w:val="00F465BA"/>
    <w:rsid w:val="00F50671"/>
    <w:rsid w:val="00F50A92"/>
    <w:rsid w:val="00F57A62"/>
    <w:rsid w:val="00F57B58"/>
    <w:rsid w:val="00F7272D"/>
    <w:rsid w:val="00F73B18"/>
    <w:rsid w:val="00F764F7"/>
    <w:rsid w:val="00F8313F"/>
    <w:rsid w:val="00F9053D"/>
    <w:rsid w:val="00F96103"/>
    <w:rsid w:val="00F96D9D"/>
    <w:rsid w:val="00FA38AF"/>
    <w:rsid w:val="00FA790F"/>
    <w:rsid w:val="00FB13C1"/>
    <w:rsid w:val="00FB7E85"/>
    <w:rsid w:val="00FC37B4"/>
    <w:rsid w:val="00FD188E"/>
    <w:rsid w:val="00FD3155"/>
    <w:rsid w:val="00FD70B6"/>
    <w:rsid w:val="00FE11CB"/>
    <w:rsid w:val="00FE28DA"/>
    <w:rsid w:val="00FE3421"/>
    <w:rsid w:val="00FE5A4F"/>
    <w:rsid w:val="00FF06DE"/>
    <w:rsid w:val="00FF08FC"/>
    <w:rsid w:val="00FF1696"/>
    <w:rsid w:val="00FF17CF"/>
    <w:rsid w:val="00FF7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62697"/>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5806C8"/>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5806C8"/>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5806C8"/>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5806C8"/>
    <w:pPr>
      <w:numPr>
        <w:numId w:val="33"/>
      </w:numPr>
    </w:pPr>
  </w:style>
  <w:style w:type="paragraph" w:styleId="ListBullet2">
    <w:name w:val="List Bullet 2"/>
    <w:aliases w:val="Bullet 2"/>
    <w:basedOn w:val="ListBullet"/>
    <w:uiPriority w:val="7"/>
    <w:unhideWhenUsed/>
    <w:qFormat/>
    <w:rsid w:val="005806C8"/>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5806C8"/>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5"/>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5806C8"/>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5806C8"/>
    <w:pPr>
      <w:numPr>
        <w:ilvl w:val="1"/>
        <w:numId w:val="29"/>
      </w:numPr>
    </w:pPr>
  </w:style>
  <w:style w:type="paragraph" w:customStyle="1" w:styleId="Numberbodytext2">
    <w:name w:val="Number body text 2"/>
    <w:basedOn w:val="Numberbodytext1"/>
    <w:uiPriority w:val="3"/>
    <w:unhideWhenUsed/>
    <w:qFormat/>
    <w:rsid w:val="005806C8"/>
    <w:pPr>
      <w:numPr>
        <w:ilvl w:val="2"/>
      </w:numPr>
    </w:pPr>
  </w:style>
  <w:style w:type="paragraph" w:customStyle="1" w:styleId="Numberheading">
    <w:name w:val="Number heading"/>
    <w:basedOn w:val="Heading"/>
    <w:next w:val="Numberbodytext1"/>
    <w:uiPriority w:val="2"/>
    <w:qFormat/>
    <w:rsid w:val="005806C8"/>
    <w:pPr>
      <w:numPr>
        <w:numId w:val="29"/>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5806C8"/>
    <w:pPr>
      <w:numPr>
        <w:numId w:val="26"/>
      </w:numPr>
    </w:pPr>
  </w:style>
  <w:style w:type="paragraph" w:customStyle="1" w:styleId="Tablenumbered">
    <w:name w:val="Table numbered"/>
    <w:basedOn w:val="Tabletext"/>
    <w:uiPriority w:val="9"/>
    <w:qFormat/>
    <w:rsid w:val="005806C8"/>
    <w:pPr>
      <w:numPr>
        <w:numId w:val="30"/>
      </w:numPr>
    </w:pPr>
  </w:style>
  <w:style w:type="character" w:styleId="FollowedHyperlink">
    <w:name w:val="FollowedHyperlink"/>
    <w:basedOn w:val="DefaultParagraphFont"/>
    <w:uiPriority w:val="99"/>
    <w:semiHidden/>
    <w:unhideWhenUsed/>
    <w:rsid w:val="00D85247"/>
    <w:rPr>
      <w:color w:val="213871" w:themeColor="followedHyperlink"/>
      <w:u w:val="single"/>
    </w:rPr>
  </w:style>
  <w:style w:type="character" w:styleId="FootnoteReference">
    <w:name w:val="footnote reference"/>
    <w:basedOn w:val="DefaultParagraphFont"/>
    <w:uiPriority w:val="99"/>
    <w:semiHidden/>
    <w:unhideWhenUsed/>
    <w:rsid w:val="00A2513E"/>
    <w:rPr>
      <w:vertAlign w:val="superscript"/>
    </w:rPr>
  </w:style>
  <w:style w:type="character" w:styleId="CommentReference">
    <w:name w:val="annotation reference"/>
    <w:basedOn w:val="DefaultParagraphFont"/>
    <w:uiPriority w:val="99"/>
    <w:semiHidden/>
    <w:unhideWhenUsed/>
    <w:rsid w:val="001D3F6A"/>
    <w:rPr>
      <w:sz w:val="16"/>
      <w:szCs w:val="16"/>
    </w:rPr>
  </w:style>
  <w:style w:type="paragraph" w:styleId="CommentText">
    <w:name w:val="annotation text"/>
    <w:basedOn w:val="Normal"/>
    <w:link w:val="CommentTextChar"/>
    <w:uiPriority w:val="99"/>
    <w:semiHidden/>
    <w:unhideWhenUsed/>
    <w:rsid w:val="001D3F6A"/>
    <w:pPr>
      <w:spacing w:line="240" w:lineRule="auto"/>
    </w:pPr>
  </w:style>
  <w:style w:type="character" w:customStyle="1" w:styleId="CommentTextChar">
    <w:name w:val="Comment Text Char"/>
    <w:basedOn w:val="DefaultParagraphFont"/>
    <w:link w:val="CommentText"/>
    <w:uiPriority w:val="99"/>
    <w:semiHidden/>
    <w:rsid w:val="001D3F6A"/>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D3F6A"/>
    <w:rPr>
      <w:b/>
      <w:bCs/>
    </w:rPr>
  </w:style>
  <w:style w:type="character" w:customStyle="1" w:styleId="CommentSubjectChar">
    <w:name w:val="Comment Subject Char"/>
    <w:basedOn w:val="CommentTextChar"/>
    <w:link w:val="CommentSubject"/>
    <w:uiPriority w:val="99"/>
    <w:semiHidden/>
    <w:rsid w:val="001D3F6A"/>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62697"/>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5806C8"/>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5806C8"/>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5806C8"/>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5806C8"/>
    <w:pPr>
      <w:numPr>
        <w:numId w:val="33"/>
      </w:numPr>
    </w:pPr>
  </w:style>
  <w:style w:type="paragraph" w:styleId="ListBullet2">
    <w:name w:val="List Bullet 2"/>
    <w:aliases w:val="Bullet 2"/>
    <w:basedOn w:val="ListBullet"/>
    <w:uiPriority w:val="7"/>
    <w:unhideWhenUsed/>
    <w:qFormat/>
    <w:rsid w:val="005806C8"/>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5806C8"/>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5"/>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5806C8"/>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5806C8"/>
    <w:pPr>
      <w:numPr>
        <w:ilvl w:val="1"/>
        <w:numId w:val="29"/>
      </w:numPr>
    </w:pPr>
  </w:style>
  <w:style w:type="paragraph" w:customStyle="1" w:styleId="Numberbodytext2">
    <w:name w:val="Number body text 2"/>
    <w:basedOn w:val="Numberbodytext1"/>
    <w:uiPriority w:val="3"/>
    <w:unhideWhenUsed/>
    <w:qFormat/>
    <w:rsid w:val="005806C8"/>
    <w:pPr>
      <w:numPr>
        <w:ilvl w:val="2"/>
      </w:numPr>
    </w:pPr>
  </w:style>
  <w:style w:type="paragraph" w:customStyle="1" w:styleId="Numberheading">
    <w:name w:val="Number heading"/>
    <w:basedOn w:val="Heading"/>
    <w:next w:val="Numberbodytext1"/>
    <w:uiPriority w:val="2"/>
    <w:qFormat/>
    <w:rsid w:val="005806C8"/>
    <w:pPr>
      <w:numPr>
        <w:numId w:val="29"/>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5806C8"/>
    <w:pPr>
      <w:numPr>
        <w:numId w:val="26"/>
      </w:numPr>
    </w:pPr>
  </w:style>
  <w:style w:type="paragraph" w:customStyle="1" w:styleId="Tablenumbered">
    <w:name w:val="Table numbered"/>
    <w:basedOn w:val="Tabletext"/>
    <w:uiPriority w:val="9"/>
    <w:qFormat/>
    <w:rsid w:val="005806C8"/>
    <w:pPr>
      <w:numPr>
        <w:numId w:val="30"/>
      </w:numPr>
    </w:pPr>
  </w:style>
  <w:style w:type="character" w:styleId="FollowedHyperlink">
    <w:name w:val="FollowedHyperlink"/>
    <w:basedOn w:val="DefaultParagraphFont"/>
    <w:uiPriority w:val="99"/>
    <w:semiHidden/>
    <w:unhideWhenUsed/>
    <w:rsid w:val="00D85247"/>
    <w:rPr>
      <w:color w:val="213871" w:themeColor="followedHyperlink"/>
      <w:u w:val="single"/>
    </w:rPr>
  </w:style>
  <w:style w:type="character" w:styleId="FootnoteReference">
    <w:name w:val="footnote reference"/>
    <w:basedOn w:val="DefaultParagraphFont"/>
    <w:uiPriority w:val="99"/>
    <w:semiHidden/>
    <w:unhideWhenUsed/>
    <w:rsid w:val="00A2513E"/>
    <w:rPr>
      <w:vertAlign w:val="superscript"/>
    </w:rPr>
  </w:style>
  <w:style w:type="character" w:styleId="CommentReference">
    <w:name w:val="annotation reference"/>
    <w:basedOn w:val="DefaultParagraphFont"/>
    <w:uiPriority w:val="99"/>
    <w:semiHidden/>
    <w:unhideWhenUsed/>
    <w:rsid w:val="001D3F6A"/>
    <w:rPr>
      <w:sz w:val="16"/>
      <w:szCs w:val="16"/>
    </w:rPr>
  </w:style>
  <w:style w:type="paragraph" w:styleId="CommentText">
    <w:name w:val="annotation text"/>
    <w:basedOn w:val="Normal"/>
    <w:link w:val="CommentTextChar"/>
    <w:uiPriority w:val="99"/>
    <w:semiHidden/>
    <w:unhideWhenUsed/>
    <w:rsid w:val="001D3F6A"/>
    <w:pPr>
      <w:spacing w:line="240" w:lineRule="auto"/>
    </w:pPr>
  </w:style>
  <w:style w:type="character" w:customStyle="1" w:styleId="CommentTextChar">
    <w:name w:val="Comment Text Char"/>
    <w:basedOn w:val="DefaultParagraphFont"/>
    <w:link w:val="CommentText"/>
    <w:uiPriority w:val="99"/>
    <w:semiHidden/>
    <w:rsid w:val="001D3F6A"/>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D3F6A"/>
    <w:rPr>
      <w:b/>
      <w:bCs/>
    </w:rPr>
  </w:style>
  <w:style w:type="character" w:customStyle="1" w:styleId="CommentSubjectChar">
    <w:name w:val="Comment Subject Char"/>
    <w:basedOn w:val="CommentTextChar"/>
    <w:link w:val="CommentSubject"/>
    <w:uiPriority w:val="99"/>
    <w:semiHidden/>
    <w:rsid w:val="001D3F6A"/>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lexon.co.uk/consultation/consultation-align-bsc-reporting-emr-regulations/" TargetMode="External"/><Relationship Id="rId18" Type="http://schemas.openxmlformats.org/officeDocument/2006/relationships/hyperlink" Target="https://www.ofgem.gov.uk/publications-and-updates/clarifying-regulatory-framework-electricity-storage-licens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legislation.gov.uk/uksi/2014/2014/contents/made" TargetMode="External"/><Relationship Id="rId17" Type="http://schemas.openxmlformats.org/officeDocument/2006/relationships/hyperlink" Target="https://www.emrsettlement.co.uk/interim-solution-exempting-electricity-supplied-licensed-generators-storage-facilitie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elexon.co.uk/documents/groups/panel/2018-meetings/284-november/284-07-aligning-bsc-reporting-with-emr-regul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legislation.gov.uk/uksi/2001/3270/schedule/4/made"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elexon.co.uk/about/innovation-developments-industry/enabling-customers-buy-power-multiple-provider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gov.uk/government/publications/upgrading-our-energy-system-smart-systems-and-flexibility-plan" TargetMode="External"/><Relationship Id="rId22" Type="http://schemas.openxmlformats.org/officeDocument/2006/relationships/footer" Target="footer2.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Paper_portrait&amp;landscap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D839FB450446229F3171577C015A45"/>
        <w:category>
          <w:name w:val="General"/>
          <w:gallery w:val="placeholder"/>
        </w:category>
        <w:types>
          <w:type w:val="bbPlcHdr"/>
        </w:types>
        <w:behaviors>
          <w:behavior w:val="content"/>
        </w:behaviors>
        <w:guid w:val="{60C80DC8-2F11-49CB-8BC7-63278509293C}"/>
      </w:docPartPr>
      <w:docPartBody>
        <w:p w:rsidR="00F05A12" w:rsidRDefault="00F05A12">
          <w:pPr>
            <w:pStyle w:val="18D839FB450446229F3171577C015A45"/>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12"/>
    <w:rsid w:val="00F05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8D839FB450446229F3171577C015A45">
    <w:name w:val="18D839FB450446229F3171577C015A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8D839FB450446229F3171577C015A45">
    <w:name w:val="18D839FB450446229F3171577C015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D59E-365B-4074-A46A-BD3838DD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Paper_portrait&amp;landscape.dotm</Template>
  <TotalTime>20</TotalTime>
  <Pages>4</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Paper</vt:lpstr>
    </vt:vector>
  </TitlesOfParts>
  <Company>Elexon</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John Lucas</dc:creator>
  <cp:lastModifiedBy>John Lucas</cp:lastModifiedBy>
  <cp:revision>3</cp:revision>
  <cp:lastPrinted>2018-12-14T13:40:00Z</cp:lastPrinted>
  <dcterms:created xsi:type="dcterms:W3CDTF">2018-12-14T13:40:00Z</dcterms:created>
  <dcterms:modified xsi:type="dcterms:W3CDTF">2018-12-14T13:56:00Z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