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5A11" w14:textId="4C4F18AE" w:rsidR="00B63954" w:rsidRPr="00881961" w:rsidRDefault="00FF4CAE" w:rsidP="00B63954">
      <w:pPr>
        <w:pStyle w:val="Heading1"/>
      </w:pPr>
      <w:r w:rsidRPr="00FF4CAE">
        <w:t xml:space="preserve">Metering Dispensation Review Group </w:t>
      </w:r>
      <w:r w:rsidR="00597EE5">
        <w:t xml:space="preserve">- </w:t>
      </w:r>
      <w:r w:rsidR="00430F50" w:rsidRPr="00430F50">
        <w:t>D/544 – CP1553</w:t>
      </w:r>
    </w:p>
    <w:p w14:paraId="24B5E8AA" w14:textId="77777777" w:rsidR="00B63954" w:rsidRPr="00881961" w:rsidRDefault="00FF4CAE" w:rsidP="00694395">
      <w:pPr>
        <w:pStyle w:val="Heading2"/>
      </w:pPr>
      <w:r>
        <w:rPr>
          <w:rStyle w:val="Strong"/>
          <w:b/>
          <w:bCs/>
          <w:color w:val="00008C"/>
        </w:rPr>
        <w:t>Supplier Volume Allocation Group (SVG)</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555"/>
        <w:gridCol w:w="3600"/>
      </w:tblGrid>
      <w:tr w:rsidR="00E92F8B" w:rsidRPr="00881961" w14:paraId="07448F3A" w14:textId="77777777" w:rsidTr="004F575B">
        <w:trPr>
          <w:trHeight w:val="680"/>
          <w:jc w:val="center"/>
        </w:trPr>
        <w:tc>
          <w:tcPr>
            <w:tcW w:w="1701" w:type="dxa"/>
            <w:tcBorders>
              <w:top w:val="single" w:sz="4" w:space="0" w:color="231F20" w:themeColor="text2"/>
              <w:left w:val="nil"/>
              <w:right w:val="nil"/>
            </w:tcBorders>
          </w:tcPr>
          <w:p w14:paraId="71AB74DB" w14:textId="77777777" w:rsidR="00E92F8B" w:rsidRPr="00881961" w:rsidRDefault="00E92F8B" w:rsidP="00E92F8B">
            <w:pPr>
              <w:pStyle w:val="ElexonTableTextSmall"/>
            </w:pPr>
            <w:r w:rsidRPr="00881961">
              <w:t>Date of meeting</w:t>
            </w:r>
          </w:p>
        </w:tc>
        <w:tc>
          <w:tcPr>
            <w:tcW w:w="3453" w:type="dxa"/>
            <w:tcBorders>
              <w:top w:val="single" w:sz="4" w:space="0" w:color="231F20" w:themeColor="text2"/>
              <w:left w:val="nil"/>
              <w:right w:val="nil"/>
            </w:tcBorders>
          </w:tcPr>
          <w:p w14:paraId="59AEF11D" w14:textId="2299B7BF" w:rsidR="00E92F8B" w:rsidRPr="00881961" w:rsidRDefault="00430F50" w:rsidP="00430F50">
            <w:pPr>
              <w:pStyle w:val="ElexonTableTextLarge"/>
              <w:rPr>
                <w:rStyle w:val="Strong"/>
              </w:rPr>
            </w:pPr>
            <w:r>
              <w:rPr>
                <w:rStyle w:val="Strong"/>
              </w:rPr>
              <w:t>7</w:t>
            </w:r>
            <w:r w:rsidR="00FF4CAE">
              <w:rPr>
                <w:rStyle w:val="Strong"/>
              </w:rPr>
              <w:t xml:space="preserve"> </w:t>
            </w:r>
            <w:r>
              <w:rPr>
                <w:rStyle w:val="Strong"/>
              </w:rPr>
              <w:t>June</w:t>
            </w:r>
            <w:r w:rsidR="00B11FA9">
              <w:rPr>
                <w:rStyle w:val="Strong"/>
              </w:rPr>
              <w:t xml:space="preserve"> 2022</w:t>
            </w:r>
          </w:p>
        </w:tc>
        <w:tc>
          <w:tcPr>
            <w:tcW w:w="237" w:type="dxa"/>
            <w:tcBorders>
              <w:top w:val="nil"/>
              <w:left w:val="nil"/>
              <w:bottom w:val="nil"/>
            </w:tcBorders>
          </w:tcPr>
          <w:p w14:paraId="2764D39B" w14:textId="77777777" w:rsidR="00E92F8B" w:rsidRPr="00881961" w:rsidRDefault="00E92F8B" w:rsidP="00E92F8B"/>
        </w:tc>
        <w:tc>
          <w:tcPr>
            <w:tcW w:w="1555" w:type="dxa"/>
            <w:tcBorders>
              <w:right w:val="nil"/>
            </w:tcBorders>
          </w:tcPr>
          <w:p w14:paraId="6216B4A1" w14:textId="77777777" w:rsidR="00E92F8B" w:rsidRPr="00881961" w:rsidRDefault="00E92F8B" w:rsidP="00E92F8B">
            <w:pPr>
              <w:pStyle w:val="ElexonTableTextSmall"/>
            </w:pPr>
            <w:r w:rsidRPr="00881961">
              <w:t>Paper number</w:t>
            </w:r>
          </w:p>
        </w:tc>
        <w:tc>
          <w:tcPr>
            <w:tcW w:w="3600" w:type="dxa"/>
            <w:tcBorders>
              <w:right w:val="nil"/>
            </w:tcBorders>
          </w:tcPr>
          <w:p w14:paraId="1C1C5DBB" w14:textId="2975065D" w:rsidR="00E92F8B" w:rsidRPr="00881961" w:rsidRDefault="00645689" w:rsidP="00914405">
            <w:pPr>
              <w:pStyle w:val="ElexonTableTextLarge"/>
              <w:rPr>
                <w:rStyle w:val="Strong"/>
              </w:rPr>
            </w:pPr>
            <w:r>
              <w:rPr>
                <w:rStyle w:val="Strong"/>
              </w:rPr>
              <w:t>256</w:t>
            </w:r>
            <w:r w:rsidR="00FF4CAE">
              <w:rPr>
                <w:rStyle w:val="Strong"/>
              </w:rPr>
              <w:t>/</w:t>
            </w:r>
            <w:r w:rsidR="00914405">
              <w:rPr>
                <w:rStyle w:val="Strong"/>
              </w:rPr>
              <w:t>02</w:t>
            </w:r>
          </w:p>
        </w:tc>
      </w:tr>
      <w:tr w:rsidR="00E92F8B" w:rsidRPr="00881961" w14:paraId="2EE26EEA"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6C3751B3" w14:textId="77777777" w:rsidR="00E92F8B" w:rsidRPr="00881961" w:rsidRDefault="00E92F8B" w:rsidP="00E92F8B">
            <w:pPr>
              <w:pStyle w:val="ElexonTableTextSmall"/>
            </w:pPr>
            <w:r w:rsidRPr="00881961">
              <w:t>Owner/author</w:t>
            </w:r>
          </w:p>
        </w:tc>
        <w:tc>
          <w:tcPr>
            <w:tcW w:w="3453" w:type="dxa"/>
            <w:tcBorders>
              <w:top w:val="single" w:sz="4" w:space="0" w:color="231F20" w:themeColor="text2"/>
              <w:left w:val="nil"/>
              <w:bottom w:val="single" w:sz="4" w:space="0" w:color="auto"/>
              <w:right w:val="nil"/>
            </w:tcBorders>
          </w:tcPr>
          <w:p w14:paraId="2146319F" w14:textId="68F1F2F5" w:rsidR="00E92F8B" w:rsidRPr="00881961" w:rsidRDefault="001C3BE5" w:rsidP="00FF4CAE">
            <w:pPr>
              <w:pStyle w:val="ElexonTableTextLarge"/>
              <w:rPr>
                <w:rStyle w:val="Strong"/>
              </w:rPr>
            </w:pPr>
            <w:r>
              <w:rPr>
                <w:rStyle w:val="Strong"/>
              </w:rPr>
              <w:t>Lee Walker</w:t>
            </w:r>
          </w:p>
        </w:tc>
        <w:tc>
          <w:tcPr>
            <w:tcW w:w="237" w:type="dxa"/>
            <w:tcBorders>
              <w:top w:val="nil"/>
              <w:left w:val="nil"/>
              <w:bottom w:val="nil"/>
            </w:tcBorders>
          </w:tcPr>
          <w:p w14:paraId="1CEA6254" w14:textId="77777777" w:rsidR="00E92F8B" w:rsidRPr="00881961" w:rsidRDefault="00E92F8B" w:rsidP="000117E1"/>
        </w:tc>
        <w:tc>
          <w:tcPr>
            <w:tcW w:w="1555" w:type="dxa"/>
            <w:tcBorders>
              <w:right w:val="nil"/>
            </w:tcBorders>
          </w:tcPr>
          <w:p w14:paraId="66CAE184" w14:textId="77777777" w:rsidR="00E92F8B" w:rsidRPr="00881961" w:rsidRDefault="00E92F8B" w:rsidP="00E92F8B">
            <w:pPr>
              <w:pStyle w:val="ElexonTableTextSmall"/>
            </w:pPr>
            <w:r w:rsidRPr="00881961">
              <w:t>Purpose of paper</w:t>
            </w:r>
          </w:p>
        </w:tc>
        <w:tc>
          <w:tcPr>
            <w:tcW w:w="3600" w:type="dxa"/>
            <w:tcBorders>
              <w:right w:val="nil"/>
            </w:tcBorders>
          </w:tcPr>
          <w:p w14:paraId="103A7D37" w14:textId="77777777" w:rsidR="00E92F8B" w:rsidRPr="00881961" w:rsidRDefault="00FF4CAE" w:rsidP="008345BA">
            <w:pPr>
              <w:pStyle w:val="ElexonTableTextLarge"/>
              <w:rPr>
                <w:rStyle w:val="Strong"/>
              </w:rPr>
            </w:pPr>
            <w:r>
              <w:rPr>
                <w:rStyle w:val="Strong"/>
              </w:rPr>
              <w:t>Decision</w:t>
            </w:r>
          </w:p>
        </w:tc>
      </w:tr>
      <w:tr w:rsidR="008375C3" w:rsidRPr="00881961" w14:paraId="2556D7D7"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3FC5C8DF" w14:textId="77777777" w:rsidR="008375C3" w:rsidRPr="00881961" w:rsidRDefault="008375C3" w:rsidP="00E92F8B">
            <w:pPr>
              <w:pStyle w:val="ElexonTableTextSmall"/>
            </w:pPr>
            <w:r w:rsidRPr="00881961">
              <w:t>Classification</w:t>
            </w:r>
          </w:p>
        </w:tc>
        <w:tc>
          <w:tcPr>
            <w:tcW w:w="3453" w:type="dxa"/>
            <w:tcBorders>
              <w:top w:val="single" w:sz="4" w:space="0" w:color="231F20" w:themeColor="text2"/>
              <w:left w:val="nil"/>
              <w:bottom w:val="single" w:sz="4" w:space="0" w:color="auto"/>
              <w:right w:val="nil"/>
            </w:tcBorders>
          </w:tcPr>
          <w:p w14:paraId="21B7DFE4" w14:textId="531C3DB8" w:rsidR="008375C3" w:rsidRPr="00881961" w:rsidRDefault="00B91A1B" w:rsidP="00535B5A">
            <w:pPr>
              <w:pStyle w:val="ElexonTableTextLarge"/>
              <w:rPr>
                <w:rStyle w:val="Strong"/>
              </w:rPr>
            </w:pPr>
            <w:sdt>
              <w:sdtPr>
                <w:rPr>
                  <w:rStyle w:val="Strong"/>
                </w:rPr>
                <w:id w:val="537404265"/>
                <w:placeholder>
                  <w:docPart w:val="FBA330934620417486583590388CBDBA"/>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 w:val="20"/>
                  <w:szCs w:val="20"/>
                </w:rPr>
              </w:sdtEndPr>
              <w:sdtContent>
                <w:r w:rsidR="00376C8B">
                  <w:rPr>
                    <w:rStyle w:val="Strong"/>
                  </w:rPr>
                  <w:t>Public</w:t>
                </w:r>
              </w:sdtContent>
            </w:sdt>
          </w:p>
        </w:tc>
        <w:tc>
          <w:tcPr>
            <w:tcW w:w="237" w:type="dxa"/>
            <w:tcBorders>
              <w:top w:val="nil"/>
              <w:left w:val="nil"/>
              <w:bottom w:val="nil"/>
            </w:tcBorders>
          </w:tcPr>
          <w:p w14:paraId="2614EF3E" w14:textId="77777777" w:rsidR="008375C3" w:rsidRPr="00881961" w:rsidRDefault="008375C3" w:rsidP="000117E1"/>
        </w:tc>
        <w:tc>
          <w:tcPr>
            <w:tcW w:w="1555" w:type="dxa"/>
            <w:tcBorders>
              <w:right w:val="nil"/>
            </w:tcBorders>
          </w:tcPr>
          <w:p w14:paraId="0C2AE6F5" w14:textId="77777777" w:rsidR="008375C3" w:rsidRPr="00881961" w:rsidRDefault="008375C3" w:rsidP="00E92F8B">
            <w:pPr>
              <w:pStyle w:val="ElexonTableTextSmall"/>
            </w:pPr>
            <w:r w:rsidRPr="00881961">
              <w:t>Document version</w:t>
            </w:r>
          </w:p>
        </w:tc>
        <w:tc>
          <w:tcPr>
            <w:tcW w:w="3600" w:type="dxa"/>
            <w:tcBorders>
              <w:right w:val="nil"/>
            </w:tcBorders>
          </w:tcPr>
          <w:p w14:paraId="64EAF8C7" w14:textId="77777777" w:rsidR="008375C3" w:rsidRPr="00881961" w:rsidRDefault="00FF4CAE" w:rsidP="008345BA">
            <w:pPr>
              <w:pStyle w:val="ElexonTableTextLarge"/>
              <w:rPr>
                <w:rStyle w:val="Strong"/>
              </w:rPr>
            </w:pPr>
            <w:r>
              <w:rPr>
                <w:rStyle w:val="Strong"/>
              </w:rPr>
              <w:t>V1.0</w:t>
            </w:r>
          </w:p>
        </w:tc>
      </w:tr>
    </w:tbl>
    <w:p w14:paraId="0FA31C04" w14:textId="77777777" w:rsidR="00694395" w:rsidRPr="00881961" w:rsidRDefault="00694395"/>
    <w:tbl>
      <w:tblPr>
        <w:tblStyle w:val="TableGrid"/>
        <w:tblW w:w="10546" w:type="dxa"/>
        <w:jc w:val="center"/>
        <w:tblBorders>
          <w:left w:val="single" w:sz="4" w:space="0" w:color="auto"/>
          <w:right w:val="single" w:sz="4" w:space="0" w:color="auto"/>
        </w:tblBorders>
        <w:tblCellMar>
          <w:top w:w="227" w:type="dxa"/>
          <w:left w:w="0" w:type="dxa"/>
          <w:bottom w:w="113" w:type="dxa"/>
          <w:right w:w="0" w:type="dxa"/>
        </w:tblCellMar>
        <w:tblLook w:val="04A0" w:firstRow="1" w:lastRow="0" w:firstColumn="1" w:lastColumn="0" w:noHBand="0" w:noVBand="1"/>
      </w:tblPr>
      <w:tblGrid>
        <w:gridCol w:w="1701"/>
        <w:gridCol w:w="8845"/>
      </w:tblGrid>
      <w:tr w:rsidR="009F28C7" w:rsidRPr="00881961" w14:paraId="19915E94" w14:textId="77777777" w:rsidTr="00A1015D">
        <w:trPr>
          <w:trHeight w:val="340"/>
          <w:jc w:val="center"/>
        </w:trPr>
        <w:tc>
          <w:tcPr>
            <w:tcW w:w="1701" w:type="dxa"/>
            <w:tcBorders>
              <w:left w:val="nil"/>
              <w:right w:val="nil"/>
            </w:tcBorders>
            <w:vAlign w:val="top"/>
          </w:tcPr>
          <w:p w14:paraId="7F766ECF" w14:textId="77777777" w:rsidR="009F28C7" w:rsidRPr="00881961" w:rsidRDefault="009F28C7" w:rsidP="00694395">
            <w:pPr>
              <w:pStyle w:val="ElexonTableTextSmall"/>
            </w:pPr>
            <w:r w:rsidRPr="00881961">
              <w:t>Summary</w:t>
            </w:r>
          </w:p>
        </w:tc>
        <w:tc>
          <w:tcPr>
            <w:tcW w:w="8845" w:type="dxa"/>
            <w:tcBorders>
              <w:left w:val="nil"/>
              <w:right w:val="nil"/>
            </w:tcBorders>
            <w:vAlign w:val="top"/>
          </w:tcPr>
          <w:p w14:paraId="4D7F4262" w14:textId="0E5A254B" w:rsidR="00B94717" w:rsidRDefault="00430F50" w:rsidP="00430F50">
            <w:pPr>
              <w:pStyle w:val="ElexonTableTextLarge"/>
              <w:rPr>
                <w:rStyle w:val="Strong"/>
              </w:rPr>
            </w:pPr>
            <w:r>
              <w:rPr>
                <w:rStyle w:val="Strong"/>
              </w:rPr>
              <w:t>Elexon has applied for a Temporary Metering Dispensation (D/544)</w:t>
            </w:r>
            <w:r w:rsidR="009D0A99">
              <w:t xml:space="preserve"> </w:t>
            </w:r>
            <w:r w:rsidR="009D0A99" w:rsidRPr="009D0A99">
              <w:rPr>
                <w:rStyle w:val="Strong"/>
              </w:rPr>
              <w:t>to grant a derogation from the new requirements to be implemented via CP15</w:t>
            </w:r>
            <w:r w:rsidR="009D0A99">
              <w:rPr>
                <w:rStyle w:val="Strong"/>
              </w:rPr>
              <w:t>53</w:t>
            </w:r>
            <w:r w:rsidR="009D0A99" w:rsidRPr="009D0A99">
              <w:rPr>
                <w:rStyle w:val="Strong"/>
              </w:rPr>
              <w:t xml:space="preserve"> from June 2022</w:t>
            </w:r>
            <w:r>
              <w:rPr>
                <w:rStyle w:val="Strong"/>
              </w:rPr>
              <w:t xml:space="preserve">. </w:t>
            </w:r>
            <w:r w:rsidRPr="00206D9B">
              <w:rPr>
                <w:rStyle w:val="Strong"/>
              </w:rPr>
              <w:t xml:space="preserve">The application </w:t>
            </w:r>
            <w:r>
              <w:rPr>
                <w:rStyle w:val="Strong"/>
              </w:rPr>
              <w:t xml:space="preserve">is to give </w:t>
            </w:r>
            <w:r w:rsidR="00914405">
              <w:rPr>
                <w:rStyle w:val="Strong"/>
              </w:rPr>
              <w:t xml:space="preserve">affected </w:t>
            </w:r>
            <w:r>
              <w:rPr>
                <w:rStyle w:val="Strong"/>
              </w:rPr>
              <w:t>parties time to use up existing stock of Class 2 Meters and class 0.5 CTs</w:t>
            </w:r>
            <w:r w:rsidR="00B94717">
              <w:rPr>
                <w:rStyle w:val="Strong"/>
              </w:rPr>
              <w:t xml:space="preserve">. </w:t>
            </w:r>
          </w:p>
          <w:p w14:paraId="7D860597" w14:textId="58BC861A" w:rsidR="009F28C7" w:rsidRPr="00881961" w:rsidRDefault="009F28C7" w:rsidP="008E2C60">
            <w:pPr>
              <w:pStyle w:val="ElexonTableTextLarge"/>
              <w:rPr>
                <w:rStyle w:val="Strong"/>
              </w:rPr>
            </w:pPr>
          </w:p>
        </w:tc>
      </w:tr>
    </w:tbl>
    <w:p w14:paraId="1934F6BA" w14:textId="77777777" w:rsidR="00430F50" w:rsidRPr="00881961" w:rsidRDefault="00430F50" w:rsidP="00430F50">
      <w:pPr>
        <w:pStyle w:val="List"/>
        <w:numPr>
          <w:ilvl w:val="0"/>
          <w:numId w:val="18"/>
        </w:numPr>
      </w:pPr>
      <w:bookmarkStart w:id="0" w:name="_Hlk39571051"/>
      <w:r>
        <w:t>BSC requirements</w:t>
      </w:r>
    </w:p>
    <w:p w14:paraId="1FE9F23F" w14:textId="77777777" w:rsidR="00430F50" w:rsidRPr="00881961" w:rsidRDefault="00430F50" w:rsidP="00430F50">
      <w:pPr>
        <w:pStyle w:val="List2"/>
        <w:numPr>
          <w:ilvl w:val="1"/>
          <w:numId w:val="18"/>
        </w:numPr>
        <w:spacing w:line="276" w:lineRule="auto"/>
      </w:pPr>
      <w:r>
        <w:t>Section L</w:t>
      </w:r>
      <w:r>
        <w:rPr>
          <w:rStyle w:val="FootnoteReference"/>
        </w:rPr>
        <w:footnoteReference w:id="1"/>
      </w:r>
      <w:r>
        <w:t xml:space="preserve"> of the Balancing and Settlement Code (BSC) requires all Metering Equipment to either:</w:t>
      </w:r>
      <w:r w:rsidRPr="00881961">
        <w:t xml:space="preserve"> </w:t>
      </w:r>
    </w:p>
    <w:p w14:paraId="6CFF28F6" w14:textId="77777777" w:rsidR="00430F50" w:rsidRDefault="00430F50" w:rsidP="00430F50">
      <w:pPr>
        <w:pStyle w:val="ListBullet"/>
        <w:spacing w:line="276" w:lineRule="auto"/>
        <w:ind w:left="1077"/>
      </w:pPr>
      <w:r>
        <w:t xml:space="preserve">comply with the requirements set out in the relevant Code of Practice (CoP) at the time the Metering System is first registered for Settlement under the BSC (L3.2.2); or </w:t>
      </w:r>
    </w:p>
    <w:p w14:paraId="13D3498D" w14:textId="77777777" w:rsidR="00430F50" w:rsidRDefault="00430F50" w:rsidP="00430F50">
      <w:pPr>
        <w:pStyle w:val="ListBullet"/>
        <w:spacing w:line="276" w:lineRule="auto"/>
        <w:ind w:left="1077"/>
      </w:pPr>
      <w:r>
        <w:t>Be the subject of, and comply with, a Metering Dispensation (L3.4).</w:t>
      </w:r>
    </w:p>
    <w:p w14:paraId="2BB95428" w14:textId="53B6C1C4" w:rsidR="00430F50" w:rsidRDefault="00430F50" w:rsidP="00430F50">
      <w:pPr>
        <w:pStyle w:val="List2"/>
        <w:numPr>
          <w:ilvl w:val="1"/>
          <w:numId w:val="18"/>
        </w:numPr>
        <w:spacing w:line="276" w:lineRule="auto"/>
      </w:pPr>
      <w:r>
        <w:t>Section L allows the Registrant of a Metering System to apply for a Metering Dispensation if, for financial or practical reasons, Metering Equipment will not or does not comply with some or all the requirements of a CoP.</w:t>
      </w:r>
    </w:p>
    <w:p w14:paraId="25346149" w14:textId="16AB2F48" w:rsidR="00430F50" w:rsidRDefault="00430F50" w:rsidP="00430F50">
      <w:pPr>
        <w:pStyle w:val="List2"/>
        <w:numPr>
          <w:ilvl w:val="1"/>
          <w:numId w:val="18"/>
        </w:numPr>
        <w:spacing w:line="276" w:lineRule="auto"/>
      </w:pPr>
      <w:r>
        <w:t xml:space="preserve">The process for applying for a Metering Dispensation is set out in </w:t>
      </w:r>
      <w:hyperlink r:id="rId8" w:history="1">
        <w:r w:rsidRPr="00D77E4B">
          <w:rPr>
            <w:rStyle w:val="Hyperlink"/>
          </w:rPr>
          <w:t>BSCP32</w:t>
        </w:r>
      </w:hyperlink>
      <w:r w:rsidRPr="00430F50">
        <w:rPr>
          <w:color w:val="00008B" w:themeColor="text1"/>
          <w:u w:val="single"/>
          <w:vertAlign w:val="superscript"/>
        </w:rPr>
        <w:t>2</w:t>
      </w:r>
    </w:p>
    <w:p w14:paraId="78E61CD1" w14:textId="41C22A38" w:rsidR="00710074" w:rsidRPr="00881961" w:rsidRDefault="00430F50" w:rsidP="00D4187D">
      <w:pPr>
        <w:pStyle w:val="List"/>
      </w:pPr>
      <w:r w:rsidRPr="00146F5B">
        <w:t xml:space="preserve">Background to Metering Dispensation </w:t>
      </w:r>
      <w:r>
        <w:t>D/544</w:t>
      </w:r>
    </w:p>
    <w:p w14:paraId="2EEC81F3" w14:textId="65AEFF87" w:rsidR="00710074" w:rsidRDefault="00430F50" w:rsidP="00D4187D">
      <w:pPr>
        <w:pStyle w:val="List2"/>
      </w:pPr>
      <w:r>
        <w:t>This Metering Dispensation is to allow the affected parties to use up old stock of class 2 Meters and Class 0.5 C</w:t>
      </w:r>
      <w:r w:rsidR="00D77E4B">
        <w:t xml:space="preserve">urrent </w:t>
      </w:r>
      <w:r>
        <w:t>T</w:t>
      </w:r>
      <w:r w:rsidR="00D77E4B">
        <w:t>ransformer</w:t>
      </w:r>
      <w:r>
        <w:t>s</w:t>
      </w:r>
      <w:r w:rsidR="00D77E4B">
        <w:t xml:space="preserve"> (CT)</w:t>
      </w:r>
      <w:r>
        <w:t>.</w:t>
      </w:r>
      <w:bookmarkStart w:id="1" w:name="_GoBack"/>
      <w:bookmarkEnd w:id="1"/>
    </w:p>
    <w:p w14:paraId="69322A55" w14:textId="476B80D8" w:rsidR="00430F50" w:rsidRDefault="00D77E4B" w:rsidP="00430F50">
      <w:pPr>
        <w:pStyle w:val="List2"/>
      </w:pPr>
      <w:r>
        <w:t xml:space="preserve">Metering </w:t>
      </w:r>
      <w:r w:rsidR="00430F50" w:rsidRPr="00430F50">
        <w:t>Dispensation D/544 creates a transition period that allows for old stock to be used up whilst encouraging the tighter accuracy classes to be installed when available.</w:t>
      </w:r>
    </w:p>
    <w:bookmarkEnd w:id="0"/>
    <w:p w14:paraId="4AECE815" w14:textId="368DF68B" w:rsidR="00E92F8B" w:rsidRPr="00881961" w:rsidRDefault="00430F50" w:rsidP="00430F50">
      <w:pPr>
        <w:pStyle w:val="List"/>
      </w:pPr>
      <w:r w:rsidRPr="00430F50">
        <w:t>Metering Dispensation D/544 – CP1553</w:t>
      </w:r>
    </w:p>
    <w:p w14:paraId="7D904D9C" w14:textId="408C0CD6" w:rsidR="005B4E86" w:rsidRDefault="00430F50" w:rsidP="00430F50">
      <w:pPr>
        <w:pStyle w:val="List2"/>
      </w:pPr>
      <w:r w:rsidRPr="00430F50">
        <w:t>Elexon has applied for a Temporary Metering Dispensation (D/544) (Attachment A).</w:t>
      </w:r>
    </w:p>
    <w:p w14:paraId="76130CFD" w14:textId="77777777" w:rsidR="006940A5" w:rsidRDefault="006940A5" w:rsidP="006940A5">
      <w:pPr>
        <w:pStyle w:val="List2"/>
        <w:spacing w:after="160" w:line="259" w:lineRule="auto"/>
      </w:pPr>
      <w:r>
        <w:t>The reason for the application is two-fold:</w:t>
      </w:r>
    </w:p>
    <w:p w14:paraId="53E63388" w14:textId="7A03D90B" w:rsidR="006940A5" w:rsidRDefault="003A44B0" w:rsidP="00376C8B">
      <w:pPr>
        <w:pStyle w:val="List2"/>
        <w:numPr>
          <w:ilvl w:val="1"/>
          <w:numId w:val="19"/>
        </w:numPr>
        <w:ind w:left="1021"/>
      </w:pPr>
      <w:r w:rsidRPr="00EF7AF5">
        <w:t>Meter Accuracy Class - Tighten the requirements for minimum accuracy class of Meters to class 1/class B for CoP5, meaning that the accuracy will be within +1</w:t>
      </w:r>
      <w:r>
        <w:t>/-</w:t>
      </w:r>
      <w:r w:rsidRPr="00EF7AF5">
        <w:t>%. This will ensure that a Low Voltage (LV) CoP5 site will always be aligned with the Overall Accuracy of +</w:t>
      </w:r>
      <w:r>
        <w:t>/-</w:t>
      </w:r>
      <w:r w:rsidRPr="00EF7AF5">
        <w:t xml:space="preserve">1.5% as defined for CoP5 meters. As result, where the Calibration Certificates are not provided, the </w:t>
      </w:r>
      <w:r>
        <w:t>Technical Assurance Agent (</w:t>
      </w:r>
      <w:r w:rsidRPr="00EF7AF5">
        <w:t>TAA</w:t>
      </w:r>
      <w:r>
        <w:t>)</w:t>
      </w:r>
      <w:r w:rsidRPr="00EF7AF5">
        <w:t xml:space="preserve"> will not issue Category 2 non-compliances for these Metering Systems potentially being outside the limits of </w:t>
      </w:r>
      <w:r>
        <w:t>O</w:t>
      </w:r>
      <w:r w:rsidRPr="00EF7AF5">
        <w:t xml:space="preserve">verall </w:t>
      </w:r>
      <w:r>
        <w:t>A</w:t>
      </w:r>
      <w:r w:rsidRPr="00EF7AF5">
        <w:t>ccuracy as defi</w:t>
      </w:r>
      <w:r>
        <w:t>ned within CoP5; and</w:t>
      </w:r>
    </w:p>
    <w:p w14:paraId="1A77510B" w14:textId="0BBE51E5" w:rsidR="003A44B0" w:rsidRDefault="003A44B0" w:rsidP="00AA2237">
      <w:pPr>
        <w:pStyle w:val="List2"/>
        <w:numPr>
          <w:ilvl w:val="1"/>
          <w:numId w:val="19"/>
        </w:numPr>
        <w:ind w:left="1021"/>
      </w:pPr>
      <w:r w:rsidRPr="00EF7AF5">
        <w:lastRenderedPageBreak/>
        <w:t>CT Accuracy Class – As BS EN/IEC 61869-2 mandates that class 0.5S CTs are tested (and the permissible error limit defined) to 1% of rated current, the proposal is to tighten the requirements for the minimum class accuracy of CTs from class 0.5 to 0.5S for Co</w:t>
      </w:r>
      <w:r>
        <w:t>Ps</w:t>
      </w:r>
      <w:r w:rsidRPr="00EF7AF5">
        <w:t xml:space="preserve"> 3, 5 and 10.</w:t>
      </w:r>
    </w:p>
    <w:p w14:paraId="6F0BC6CC" w14:textId="43C7B931" w:rsidR="003A44B0" w:rsidRDefault="003A44B0" w:rsidP="008E2C60">
      <w:pPr>
        <w:pStyle w:val="List2"/>
      </w:pPr>
      <w:r w:rsidRPr="003A44B0">
        <w:t xml:space="preserve">This transition period would allow affected parties to use up old existing stocks of Class 2 Meters and Class 0.5 CT’s because of the </w:t>
      </w:r>
      <w:r w:rsidR="008E2C60">
        <w:t xml:space="preserve">current </w:t>
      </w:r>
      <w:r w:rsidRPr="003A44B0">
        <w:t>supply chain issue.</w:t>
      </w:r>
      <w:r>
        <w:t xml:space="preserve"> </w:t>
      </w:r>
    </w:p>
    <w:p w14:paraId="1FEFEEDC" w14:textId="61724187" w:rsidR="003A44B0" w:rsidRDefault="003A44B0" w:rsidP="008E2C60">
      <w:pPr>
        <w:pStyle w:val="List2"/>
      </w:pPr>
      <w:r w:rsidRPr="003A44B0">
        <w:t>Dispensation D/544 allows the transition period to use old stock whilst encouraging the tighter accuracy classes to be installed when available.</w:t>
      </w:r>
      <w:r>
        <w:t xml:space="preserve"> </w:t>
      </w:r>
    </w:p>
    <w:p w14:paraId="3EA31F47" w14:textId="6C35FE6C" w:rsidR="003A44B0" w:rsidRPr="008E2C60" w:rsidRDefault="003A44B0" w:rsidP="008E2C60">
      <w:pPr>
        <w:pStyle w:val="List2"/>
      </w:pPr>
      <w:r w:rsidRPr="003A44B0">
        <w:t xml:space="preserve">This Metering Dispensation only applies to the relevant sections of the CoPs impacted by </w:t>
      </w:r>
      <w:hyperlink r:id="rId9" w:history="1">
        <w:r w:rsidRPr="008E2C60">
          <w:rPr>
            <w:rStyle w:val="Hyperlink"/>
          </w:rPr>
          <w:t>CP1553</w:t>
        </w:r>
      </w:hyperlink>
      <w:r w:rsidR="008E2C60">
        <w:rPr>
          <w:rStyle w:val="FootnoteReference"/>
        </w:rPr>
        <w:footnoteReference w:id="2"/>
      </w:r>
      <w:r w:rsidRPr="003A44B0">
        <w:t>. This Metering Dispensation does not exempt Metering Systems from compliance to any future updates to the relevant CoPs outside of the scope of CP1553.</w:t>
      </w:r>
    </w:p>
    <w:p w14:paraId="4CC16D2B" w14:textId="076DCDA8" w:rsidR="00C928A3" w:rsidRDefault="006940A5" w:rsidP="00C928A3">
      <w:pPr>
        <w:pStyle w:val="List"/>
      </w:pPr>
      <w:r>
        <w:t>MDRG comments</w:t>
      </w:r>
    </w:p>
    <w:p w14:paraId="79305A0D" w14:textId="77777777" w:rsidR="006940A5" w:rsidRDefault="006940A5" w:rsidP="006940A5">
      <w:pPr>
        <w:pStyle w:val="List2"/>
      </w:pPr>
      <w:r>
        <w:t>We circulated the Metering Dispensation application and its attachment to the Metering Dispensation Review Group (MDRG) for comments (Attachments A).</w:t>
      </w:r>
    </w:p>
    <w:p w14:paraId="1DE98826" w14:textId="1F5869F4" w:rsidR="006940A5" w:rsidRDefault="008E2C60" w:rsidP="003A009B">
      <w:pPr>
        <w:pStyle w:val="List2"/>
      </w:pPr>
      <w:r>
        <w:t>There was one</w:t>
      </w:r>
      <w:r w:rsidR="005E46A9">
        <w:t xml:space="preserve"> </w:t>
      </w:r>
      <w:r>
        <w:t>r</w:t>
      </w:r>
      <w:r w:rsidR="005E46A9">
        <w:t>esponse</w:t>
      </w:r>
      <w:r w:rsidR="003A44B0">
        <w:t xml:space="preserve"> </w:t>
      </w:r>
      <w:r w:rsidR="00914405">
        <w:t>–</w:t>
      </w:r>
      <w:r w:rsidR="005E46A9">
        <w:t xml:space="preserve"> </w:t>
      </w:r>
      <w:r w:rsidR="00914405" w:rsidRPr="00AA2237">
        <w:rPr>
          <w:i/>
        </w:rPr>
        <w:t>‘</w:t>
      </w:r>
      <w:r w:rsidR="005E46A9" w:rsidRPr="00AA2237">
        <w:rPr>
          <w:i/>
        </w:rPr>
        <w:t>Whilst I understand the need to use stock that is currently on the shelves and, in principle support the use of this stock of Class 2 Meters and Class 0.5 CTs for CoP5 installations, this does not negate the MOPs obligation to provide an overall accuracy calculation. There has to be reasonable attempts to calculate the overall accuracy class of the installation to conform with the CoP. Where all avenues fail, and for the stated period I think it is reasonable as long as a reasonable attempts to produce an overall accuracy calculation are provided.</w:t>
      </w:r>
      <w:r w:rsidR="00914405" w:rsidRPr="00AA2237">
        <w:rPr>
          <w:i/>
        </w:rPr>
        <w:t>’</w:t>
      </w:r>
    </w:p>
    <w:p w14:paraId="1EAA6A72" w14:textId="58E5B10C" w:rsidR="006940A5" w:rsidRDefault="000E34AB" w:rsidP="006940A5">
      <w:pPr>
        <w:pStyle w:val="List"/>
      </w:pPr>
      <w:r>
        <w:t>Consultation</w:t>
      </w:r>
      <w:r w:rsidRPr="006940A5">
        <w:t xml:space="preserve"> </w:t>
      </w:r>
      <w:r w:rsidR="006940A5" w:rsidRPr="006940A5">
        <w:t>comments</w:t>
      </w:r>
    </w:p>
    <w:p w14:paraId="1AD96D07" w14:textId="5F8D6EC0" w:rsidR="006940A5" w:rsidRDefault="006940A5" w:rsidP="003454CA">
      <w:pPr>
        <w:pStyle w:val="List2"/>
      </w:pPr>
      <w:r w:rsidRPr="008C20C7">
        <w:t xml:space="preserve">We circulated Metering Dispensation </w:t>
      </w:r>
      <w:r w:rsidR="000E34AB">
        <w:t xml:space="preserve">Consultation proforma </w:t>
      </w:r>
      <w:r w:rsidR="000A382C">
        <w:t xml:space="preserve">for Comments </w:t>
      </w:r>
      <w:r>
        <w:t>(</w:t>
      </w:r>
      <w:r w:rsidRPr="006C78B5">
        <w:t xml:space="preserve">Attachment </w:t>
      </w:r>
      <w:r w:rsidR="009A5E2F">
        <w:t>B</w:t>
      </w:r>
      <w:r w:rsidRPr="006C78B5">
        <w:t>).</w:t>
      </w:r>
    </w:p>
    <w:p w14:paraId="29797A31" w14:textId="145A587B" w:rsidR="00AD501F" w:rsidRDefault="000A382C" w:rsidP="003454CA">
      <w:pPr>
        <w:pStyle w:val="List2"/>
      </w:pPr>
      <w:r>
        <w:t>SSE and NPG supported the Metering Dispensation.</w:t>
      </w:r>
    </w:p>
    <w:p w14:paraId="06F65CC0" w14:textId="0D74605D" w:rsidR="008E2C60" w:rsidRDefault="008E2C60" w:rsidP="008E2C60">
      <w:pPr>
        <w:pStyle w:val="List"/>
      </w:pPr>
      <w:r>
        <w:t>Imbalance Settlement Group (ISG)</w:t>
      </w:r>
    </w:p>
    <w:p w14:paraId="69012805" w14:textId="05717067" w:rsidR="008E2C60" w:rsidRDefault="008E2C60" w:rsidP="00AA2237">
      <w:pPr>
        <w:pStyle w:val="List2"/>
      </w:pPr>
      <w:r>
        <w:t xml:space="preserve">According to the </w:t>
      </w:r>
      <w:hyperlink r:id="rId10" w:history="1">
        <w:r w:rsidRPr="001D7143">
          <w:rPr>
            <w:rStyle w:val="Hyperlink"/>
          </w:rPr>
          <w:t>BSC Baseline Statement</w:t>
        </w:r>
      </w:hyperlink>
      <w:r>
        <w:t xml:space="preserve"> the SVG </w:t>
      </w:r>
      <w:r w:rsidR="00914405">
        <w:t xml:space="preserve">is </w:t>
      </w:r>
      <w:r>
        <w:t>solely responsible for CoPs 5 and 10; and jointly responsible, with the ISG, for CoP3. Therefore, we will be taking a similar decision paper to the ISG in respect of CoP 3.</w:t>
      </w:r>
    </w:p>
    <w:p w14:paraId="6730FF3F" w14:textId="4AF14F49" w:rsidR="00AD501F" w:rsidRDefault="00AD501F" w:rsidP="00AD501F">
      <w:pPr>
        <w:pStyle w:val="List"/>
      </w:pPr>
      <w:r>
        <w:t>Elexon’s view</w:t>
      </w:r>
    </w:p>
    <w:p w14:paraId="267B9244" w14:textId="0EF0637A" w:rsidR="00AD501F" w:rsidRPr="00AD501F" w:rsidRDefault="008E6859" w:rsidP="008E2C60">
      <w:pPr>
        <w:pStyle w:val="List2"/>
      </w:pPr>
      <w:r w:rsidRPr="008E2C60">
        <w:t>Elexon supports this Generic Metering Dispensation application as there is no impact to Settlement as the Overall Accuracy limits specified in the CoP are remaining the same.</w:t>
      </w:r>
      <w:r w:rsidR="00AD501F" w:rsidRPr="00AD501F">
        <w:t xml:space="preserve"> </w:t>
      </w:r>
    </w:p>
    <w:p w14:paraId="5DD0410D" w14:textId="4EFB9005" w:rsidR="006247B2" w:rsidRDefault="006A75E4" w:rsidP="006A75E4">
      <w:pPr>
        <w:pStyle w:val="List"/>
      </w:pPr>
      <w:bookmarkStart w:id="2" w:name="_Hlk39571235"/>
      <w:r w:rsidRPr="006A75E4">
        <w:t>Recommendation</w:t>
      </w:r>
      <w:bookmarkEnd w:id="2"/>
      <w:r w:rsidR="00147EAC">
        <w:t>s</w:t>
      </w:r>
    </w:p>
    <w:p w14:paraId="195C7F12" w14:textId="3FCE9B61" w:rsidR="006A75E4" w:rsidRDefault="006A75E4" w:rsidP="006A75E4">
      <w:pPr>
        <w:pStyle w:val="List2"/>
      </w:pPr>
      <w:r w:rsidRPr="001E0E1F">
        <w:t xml:space="preserve">We invite </w:t>
      </w:r>
      <w:r w:rsidR="00AD501F">
        <w:t>SVG</w:t>
      </w:r>
      <w:r w:rsidRPr="001E0E1F">
        <w:t xml:space="preserve"> to</w:t>
      </w:r>
      <w:r w:rsidR="005D41A3">
        <w:t>:</w:t>
      </w:r>
    </w:p>
    <w:p w14:paraId="6BF93104" w14:textId="2F2F22AF" w:rsidR="00AD501F" w:rsidRPr="00AA2237" w:rsidRDefault="00AD501F" w:rsidP="00EF284C">
      <w:pPr>
        <w:pStyle w:val="List4"/>
      </w:pPr>
      <w:r w:rsidRPr="00914405">
        <w:rPr>
          <w:b/>
        </w:rPr>
        <w:t>APPROVE</w:t>
      </w:r>
      <w:r w:rsidRPr="00AA2237">
        <w:t xml:space="preserve"> </w:t>
      </w:r>
      <w:r w:rsidRPr="00914405">
        <w:t xml:space="preserve">Metering Dispensation D/544 </w:t>
      </w:r>
      <w:r w:rsidR="00EF284C" w:rsidRPr="00914405">
        <w:t xml:space="preserve">against Codes of Practice 3, 5 and 10 </w:t>
      </w:r>
      <w:r w:rsidR="00400827" w:rsidRPr="00914405">
        <w:t>on a temporary basis of 18 months from the implementation date of CP1553 (June 2022)</w:t>
      </w:r>
      <w:r w:rsidR="00EF284C" w:rsidRPr="00914405">
        <w:t>, as a generic Metering Dispensation</w:t>
      </w:r>
      <w:r w:rsidR="00400827" w:rsidRPr="00914405">
        <w:t>.</w:t>
      </w:r>
    </w:p>
    <w:p w14:paraId="0E278EDC" w14:textId="6BF1C70D" w:rsidR="00EF284C" w:rsidRPr="00AA2237" w:rsidRDefault="00EF284C" w:rsidP="00EF284C">
      <w:pPr>
        <w:pStyle w:val="List4"/>
      </w:pPr>
      <w:r w:rsidRPr="00914405">
        <w:rPr>
          <w:b/>
        </w:rPr>
        <w:t>NOTE</w:t>
      </w:r>
      <w:r w:rsidRPr="00AA2237">
        <w:t xml:space="preserve"> </w:t>
      </w:r>
      <w:r w:rsidRPr="00914405">
        <w:t xml:space="preserve">we will present a similar paper to the </w:t>
      </w:r>
      <w:r w:rsidR="00914405">
        <w:t>ISG</w:t>
      </w:r>
      <w:r w:rsidRPr="00914405">
        <w:t>, with a similar recommendation, in respect of CoP 3.</w:t>
      </w:r>
    </w:p>
    <w:p w14:paraId="7BB1B59A" w14:textId="77777777" w:rsidR="00E92F8B" w:rsidRPr="00881961" w:rsidRDefault="00E92F8B" w:rsidP="00694395">
      <w:pPr>
        <w:pStyle w:val="Heading2"/>
      </w:pPr>
      <w:r w:rsidRPr="00881961">
        <w:t>Attachments</w:t>
      </w:r>
    </w:p>
    <w:p w14:paraId="6B90E029" w14:textId="321CCC5B" w:rsidR="00E92F8B" w:rsidRDefault="00E92F8B" w:rsidP="00E92F8B">
      <w:pPr>
        <w:pStyle w:val="ElexonBody"/>
      </w:pPr>
      <w:r w:rsidRPr="00881961">
        <w:t xml:space="preserve">Attachment A </w:t>
      </w:r>
      <w:r w:rsidR="005D41A3">
        <w:t>(</w:t>
      </w:r>
      <w:r w:rsidR="00AD501F">
        <w:t>Public</w:t>
      </w:r>
      <w:r w:rsidR="005D41A3">
        <w:t xml:space="preserve">) </w:t>
      </w:r>
      <w:r w:rsidRPr="00881961">
        <w:t xml:space="preserve">– </w:t>
      </w:r>
      <w:r w:rsidR="00AD501F">
        <w:t>Metering Dispensation application D/544 – CP1553</w:t>
      </w:r>
      <w:r w:rsidR="00A84F30">
        <w:t>.</w:t>
      </w:r>
    </w:p>
    <w:p w14:paraId="15D87E9A" w14:textId="3858EE1D" w:rsidR="009A5E2F" w:rsidRDefault="009A5E2F" w:rsidP="00E92F8B">
      <w:pPr>
        <w:pStyle w:val="ElexonBody"/>
      </w:pPr>
      <w:r>
        <w:t>Attachment B (Public) – Metering Dispensation D/544</w:t>
      </w:r>
      <w:r w:rsidR="008E2C60">
        <w:t xml:space="preserve"> Consultation Responses</w:t>
      </w:r>
    </w:p>
    <w:p w14:paraId="4E3AD6CD" w14:textId="77777777" w:rsidR="00E92F8B" w:rsidRPr="00881961" w:rsidRDefault="00E92F8B" w:rsidP="00694395">
      <w:pPr>
        <w:pStyle w:val="Heading2"/>
      </w:pPr>
      <w:r w:rsidRPr="00881961">
        <w:t>For more information, please contact:</w:t>
      </w:r>
    </w:p>
    <w:p w14:paraId="424F5243" w14:textId="11D1DFF6" w:rsidR="00E92F8B" w:rsidRPr="00881961" w:rsidRDefault="00511262" w:rsidP="0089072E">
      <w:pPr>
        <w:pStyle w:val="ElexonBody"/>
      </w:pPr>
      <w:r>
        <w:t>Lee Walker</w:t>
      </w:r>
      <w:r w:rsidR="00E92F8B" w:rsidRPr="00881961">
        <w:t xml:space="preserve">, </w:t>
      </w:r>
      <w:r w:rsidR="005D41A3">
        <w:t>Metering Analyst</w:t>
      </w:r>
    </w:p>
    <w:p w14:paraId="233C6CD8" w14:textId="356E414C" w:rsidR="001620B8" w:rsidRPr="00881961" w:rsidRDefault="00B91A1B" w:rsidP="00535B5A">
      <w:pPr>
        <w:pStyle w:val="ElexonBody"/>
      </w:pPr>
      <w:hyperlink r:id="rId11" w:history="1">
        <w:r w:rsidR="003160D8" w:rsidRPr="007D32EA">
          <w:rPr>
            <w:rStyle w:val="Hyperlink"/>
          </w:rPr>
          <w:t>Lee.Walker@elexon.co.uk</w:t>
        </w:r>
      </w:hyperlink>
      <w:r w:rsidR="00914405">
        <w:t xml:space="preserve">; </w:t>
      </w:r>
      <w:r w:rsidR="00E92F8B" w:rsidRPr="00881961">
        <w:t xml:space="preserve">020 7380 </w:t>
      </w:r>
      <w:r w:rsidR="00511262">
        <w:t>4168</w:t>
      </w:r>
    </w:p>
    <w:sectPr w:rsidR="001620B8" w:rsidRPr="00881961" w:rsidSect="008345BA">
      <w:footerReference w:type="default" r:id="rId12"/>
      <w:headerReference w:type="first" r:id="rId13"/>
      <w:footerReference w:type="first" r:id="rId14"/>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E6D5" w14:textId="77777777" w:rsidR="00FF4CAE" w:rsidRDefault="00FF4CAE" w:rsidP="007F1A2A">
      <w:pPr>
        <w:spacing w:after="0" w:line="240" w:lineRule="auto"/>
      </w:pPr>
      <w:r>
        <w:separator/>
      </w:r>
    </w:p>
  </w:endnote>
  <w:endnote w:type="continuationSeparator" w:id="0">
    <w:p w14:paraId="1205F44C" w14:textId="77777777" w:rsidR="00FF4CAE" w:rsidRDefault="00FF4CAE"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3733" w14:textId="590B8F7F" w:rsidR="00AC33B2" w:rsidRPr="00AC33B2" w:rsidRDefault="00AC33B2" w:rsidP="00AC33B2">
    <w:pPr>
      <w:pStyle w:val="Footer"/>
      <w:tabs>
        <w:tab w:val="clear" w:pos="9360"/>
        <w:tab w:val="right" w:pos="10490"/>
      </w:tabs>
    </w:pPr>
    <w:r w:rsidRPr="00AC33B2">
      <w:t>@ Elexon 202</w:t>
    </w:r>
    <w:r w:rsidR="000171E2">
      <w:t>2</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B91A1B">
              <w:rPr>
                <w:noProof/>
              </w:rPr>
              <w:t>2</w:t>
            </w:r>
            <w:r w:rsidRPr="00AC33B2">
              <w:rPr>
                <w:sz w:val="24"/>
                <w:szCs w:val="24"/>
              </w:rPr>
              <w:fldChar w:fldCharType="end"/>
            </w:r>
            <w:r w:rsidRPr="00AC33B2">
              <w:t xml:space="preserve"> of </w:t>
            </w:r>
            <w:r w:rsidR="003A7978">
              <w:fldChar w:fldCharType="begin"/>
            </w:r>
            <w:r w:rsidR="003A7978">
              <w:instrText xml:space="preserve"> NUMPAGES  </w:instrText>
            </w:r>
            <w:r w:rsidR="003A7978">
              <w:fldChar w:fldCharType="separate"/>
            </w:r>
            <w:r w:rsidR="00B91A1B">
              <w:rPr>
                <w:noProof/>
              </w:rPr>
              <w:t>2</w:t>
            </w:r>
            <w:r w:rsidR="003A797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D3D2CB5" w14:textId="0A258852" w:rsidR="008345BA" w:rsidRPr="008345BA" w:rsidRDefault="008345BA" w:rsidP="008345BA">
            <w:pPr>
              <w:pStyle w:val="Footer"/>
              <w:tabs>
                <w:tab w:val="clear" w:pos="9360"/>
                <w:tab w:val="right" w:pos="10490"/>
              </w:tabs>
            </w:pPr>
            <w:r w:rsidRPr="008345BA">
              <w:t>© Elexon 202</w:t>
            </w:r>
            <w:r w:rsidR="000171E2">
              <w:t>2</w:t>
            </w:r>
            <w:r>
              <w:tab/>
            </w:r>
            <w:r>
              <w:tab/>
            </w:r>
            <w:r w:rsidRPr="008345BA">
              <w:t xml:space="preserve">Page </w:t>
            </w:r>
            <w:r w:rsidRPr="008345BA">
              <w:fldChar w:fldCharType="begin"/>
            </w:r>
            <w:r w:rsidRPr="008345BA">
              <w:instrText xml:space="preserve"> PAGE </w:instrText>
            </w:r>
            <w:r w:rsidRPr="008345BA">
              <w:fldChar w:fldCharType="separate"/>
            </w:r>
            <w:r w:rsidR="00B91A1B">
              <w:rPr>
                <w:noProof/>
              </w:rPr>
              <w:t>1</w:t>
            </w:r>
            <w:r w:rsidRPr="008345BA">
              <w:fldChar w:fldCharType="end"/>
            </w:r>
            <w:r w:rsidRPr="008345BA">
              <w:t xml:space="preserve"> of </w:t>
            </w:r>
            <w:r w:rsidR="003A7978">
              <w:fldChar w:fldCharType="begin"/>
            </w:r>
            <w:r w:rsidR="003A7978">
              <w:instrText xml:space="preserve"> NUMPAGES  </w:instrText>
            </w:r>
            <w:r w:rsidR="003A7978">
              <w:fldChar w:fldCharType="separate"/>
            </w:r>
            <w:r w:rsidR="00B91A1B">
              <w:rPr>
                <w:noProof/>
              </w:rPr>
              <w:t>2</w:t>
            </w:r>
            <w:r w:rsidR="003A797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DB56" w14:textId="77777777" w:rsidR="00FF4CAE" w:rsidRDefault="00FF4CAE" w:rsidP="007F1A2A">
      <w:pPr>
        <w:spacing w:after="0" w:line="240" w:lineRule="auto"/>
      </w:pPr>
      <w:r>
        <w:separator/>
      </w:r>
    </w:p>
  </w:footnote>
  <w:footnote w:type="continuationSeparator" w:id="0">
    <w:p w14:paraId="455F9041" w14:textId="77777777" w:rsidR="00FF4CAE" w:rsidRDefault="00FF4CAE" w:rsidP="007F1A2A">
      <w:pPr>
        <w:spacing w:after="0" w:line="240" w:lineRule="auto"/>
      </w:pPr>
      <w:r>
        <w:continuationSeparator/>
      </w:r>
    </w:p>
  </w:footnote>
  <w:footnote w:id="1">
    <w:p w14:paraId="6CD850A8" w14:textId="77777777" w:rsidR="00AD501F" w:rsidRPr="00154489" w:rsidRDefault="00AD501F" w:rsidP="00AD501F">
      <w:pPr>
        <w:pStyle w:val="FootnoteText"/>
        <w:rPr>
          <w:sz w:val="16"/>
          <w:szCs w:val="16"/>
        </w:rPr>
      </w:pPr>
      <w:r w:rsidRPr="00154489">
        <w:rPr>
          <w:rStyle w:val="FootnoteReference"/>
          <w:sz w:val="16"/>
          <w:szCs w:val="16"/>
        </w:rPr>
        <w:footnoteRef/>
      </w:r>
      <w:r w:rsidRPr="00154489">
        <w:rPr>
          <w:sz w:val="16"/>
          <w:szCs w:val="16"/>
        </w:rPr>
        <w:t xml:space="preserve"> ‘Metering’</w:t>
      </w:r>
    </w:p>
    <w:p w14:paraId="0CC78583" w14:textId="419B21CF" w:rsidR="00430F50" w:rsidRPr="00154489" w:rsidRDefault="00AD501F" w:rsidP="00AD501F">
      <w:pPr>
        <w:pStyle w:val="FootnoteText"/>
        <w:rPr>
          <w:sz w:val="16"/>
          <w:szCs w:val="16"/>
        </w:rPr>
      </w:pPr>
      <w:r w:rsidRPr="00154489">
        <w:rPr>
          <w:rStyle w:val="FootnoteReference"/>
          <w:sz w:val="16"/>
          <w:szCs w:val="16"/>
        </w:rPr>
        <w:footnoteRef/>
      </w:r>
      <w:r w:rsidRPr="00154489">
        <w:rPr>
          <w:sz w:val="16"/>
          <w:szCs w:val="16"/>
        </w:rPr>
        <w:t xml:space="preserve"> ‘Metering Dispensations’</w:t>
      </w:r>
    </w:p>
  </w:footnote>
  <w:footnote w:id="2">
    <w:p w14:paraId="6E6E6E2B" w14:textId="7E212CB1" w:rsidR="008E2C60" w:rsidRDefault="008E2C60">
      <w:pPr>
        <w:pStyle w:val="FootnoteText"/>
      </w:pPr>
      <w:r>
        <w:rPr>
          <w:rStyle w:val="FootnoteReference"/>
        </w:rPr>
        <w:footnoteRef/>
      </w:r>
      <w:r>
        <w:t xml:space="preserve"> </w:t>
      </w:r>
      <w:r w:rsidRPr="008E2C60">
        <w:t>Tightening the requirements for the minimum accuracy classes for Meters and Current Transformers in the CoPs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14B0" w14:textId="77777777" w:rsidR="008345BA" w:rsidRDefault="008345BA">
    <w:pPr>
      <w:pStyle w:val="Header"/>
      <w:rPr>
        <w:noProof/>
      </w:rPr>
    </w:pPr>
  </w:p>
  <w:p w14:paraId="21078CEA" w14:textId="77777777" w:rsidR="008345BA" w:rsidRDefault="008345BA">
    <w:pPr>
      <w:pStyle w:val="Header"/>
      <w:rPr>
        <w:noProof/>
      </w:rPr>
    </w:pPr>
  </w:p>
  <w:p w14:paraId="39B5B2EB" w14:textId="77777777" w:rsidR="008345BA" w:rsidRDefault="008345BA">
    <w:pPr>
      <w:pStyle w:val="Header"/>
      <w:rPr>
        <w:noProof/>
      </w:rPr>
    </w:pPr>
  </w:p>
  <w:p w14:paraId="0A9DA6E8"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5D6CC6A9" wp14:editId="310E24AD">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8688C9"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6A1CE2D" wp14:editId="086F5936">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5FAE"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18DB56"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76743A"/>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F13C4042"/>
    <w:lvl w:ilvl="0">
      <w:start w:val="1"/>
      <w:numFmt w:val="decimal"/>
      <w:pStyle w:val="ListNumber"/>
      <w:lvlText w:val="%1."/>
      <w:lvlJc w:val="left"/>
      <w:pPr>
        <w:tabs>
          <w:tab w:val="num" w:pos="360"/>
        </w:tabs>
        <w:ind w:left="36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B340D03"/>
    <w:multiLevelType w:val="multilevel"/>
    <w:tmpl w:val="BD7CC400"/>
    <w:lvl w:ilvl="0">
      <w:start w:val="1"/>
      <w:numFmt w:val="decimal"/>
      <w:lvlText w:val="%1."/>
      <w:lvlJc w:val="left"/>
      <w:pPr>
        <w:ind w:left="454" w:hanging="454"/>
      </w:pPr>
      <w:rPr>
        <w:rFonts w:asciiTheme="majorHAnsi" w:hAnsiTheme="majorHAnsi" w:cs="Times New Roman" w:hint="default"/>
        <w:b/>
        <w:i w:val="0"/>
        <w:color w:val="00008B" w:themeColor="text1"/>
        <w:sz w:val="20"/>
      </w:rPr>
    </w:lvl>
    <w:lvl w:ilvl="1">
      <w:start w:val="1"/>
      <w:numFmt w:val="bullet"/>
      <w:lvlText w:val=""/>
      <w:lvlJc w:val="left"/>
      <w:pPr>
        <w:ind w:left="454" w:hanging="454"/>
      </w:pPr>
      <w:rPr>
        <w:rFonts w:ascii="Symbol" w:hAnsi="Symbol" w:hint="default"/>
        <w:b w:val="0"/>
        <w:i w:val="0"/>
        <w:sz w:val="20"/>
      </w:rPr>
    </w:lvl>
    <w:lvl w:ilvl="2">
      <w:start w:val="1"/>
      <w:numFmt w:val="decimal"/>
      <w:lvlText w:val="%1.%2.%3"/>
      <w:lvlJc w:val="left"/>
      <w:pPr>
        <w:ind w:left="454" w:hanging="454"/>
      </w:pPr>
      <w:rPr>
        <w:rFonts w:asciiTheme="majorHAnsi" w:hAnsiTheme="majorHAnsi" w:cs="Times New Roman" w:hint="default"/>
        <w:b w:val="0"/>
        <w:i w:val="0"/>
        <w:sz w:val="20"/>
      </w:rPr>
    </w:lvl>
    <w:lvl w:ilvl="3">
      <w:start w:val="1"/>
      <w:numFmt w:val="lowerLetter"/>
      <w:lvlText w:val="%4)"/>
      <w:lvlJc w:val="left"/>
      <w:pPr>
        <w:ind w:left="680" w:hanging="226"/>
      </w:pPr>
      <w:rPr>
        <w:rFonts w:asciiTheme="majorHAnsi" w:hAnsiTheme="majorHAnsi" w:cs="Times New Roman" w:hint="default"/>
      </w:rPr>
    </w:lvl>
    <w:lvl w:ilvl="4">
      <w:start w:val="1"/>
      <w:numFmt w:val="lowerRoman"/>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4"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5" w15:restartNumberingAfterBreak="0">
    <w:nsid w:val="1F3E4426"/>
    <w:multiLevelType w:val="multilevel"/>
    <w:tmpl w:val="6DDC093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62335FB"/>
    <w:multiLevelType w:val="multilevel"/>
    <w:tmpl w:val="B8B2325C"/>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26B7D33"/>
    <w:multiLevelType w:val="multilevel"/>
    <w:tmpl w:val="10E0CE36"/>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9" w15:restartNumberingAfterBreak="0">
    <w:nsid w:val="3E225E17"/>
    <w:multiLevelType w:val="multilevel"/>
    <w:tmpl w:val="A28EC53E"/>
    <w:numStyleLink w:val="ListHeadings"/>
  </w:abstractNum>
  <w:abstractNum w:abstractNumId="10" w15:restartNumberingAfterBreak="0">
    <w:nsid w:val="70A12913"/>
    <w:multiLevelType w:val="multilevel"/>
    <w:tmpl w:val="7D6E4964"/>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66268CE"/>
    <w:multiLevelType w:val="multilevel"/>
    <w:tmpl w:val="C04A5BAC"/>
    <w:lvl w:ilvl="0">
      <w:start w:val="1"/>
      <w:numFmt w:val="none"/>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DE21902"/>
    <w:multiLevelType w:val="multilevel"/>
    <w:tmpl w:val="6DDC093C"/>
    <w:numStyleLink w:val="ListNumbers"/>
  </w:abstractNum>
  <w:num w:numId="1">
    <w:abstractNumId w:val="4"/>
  </w:num>
  <w:num w:numId="2">
    <w:abstractNumId w:val="5"/>
  </w:num>
  <w:num w:numId="3">
    <w:abstractNumId w:val="9"/>
  </w:num>
  <w:num w:numId="4">
    <w:abstractNumId w:val="10"/>
  </w:num>
  <w:num w:numId="5">
    <w:abstractNumId w:val="2"/>
  </w:num>
  <w:num w:numId="6">
    <w:abstractNumId w:val="11"/>
  </w:num>
  <w:num w:numId="7">
    <w:abstractNumId w:val="12"/>
  </w:num>
  <w:num w:numId="8">
    <w:abstractNumId w:val="6"/>
  </w:num>
  <w:num w:numId="9">
    <w:abstractNumId w:val="1"/>
  </w:num>
  <w:num w:numId="10">
    <w:abstractNumId w:val="7"/>
  </w:num>
  <w:num w:numId="11">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color w:val="auto"/>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2">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3">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8">
    <w:abstractNumId w:val="8"/>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14491"/>
    <w:rsid w:val="000171E2"/>
    <w:rsid w:val="00046C18"/>
    <w:rsid w:val="00080DAF"/>
    <w:rsid w:val="000A382C"/>
    <w:rsid w:val="000E34AB"/>
    <w:rsid w:val="00123FB8"/>
    <w:rsid w:val="00143CF8"/>
    <w:rsid w:val="00147EAC"/>
    <w:rsid w:val="00155661"/>
    <w:rsid w:val="001620B8"/>
    <w:rsid w:val="001640E6"/>
    <w:rsid w:val="001C3BE5"/>
    <w:rsid w:val="001D58BD"/>
    <w:rsid w:val="001E4F3E"/>
    <w:rsid w:val="001E576D"/>
    <w:rsid w:val="00207A51"/>
    <w:rsid w:val="002226BD"/>
    <w:rsid w:val="00223FA7"/>
    <w:rsid w:val="00224A80"/>
    <w:rsid w:val="002878B3"/>
    <w:rsid w:val="002B366E"/>
    <w:rsid w:val="002B7A25"/>
    <w:rsid w:val="002E7B27"/>
    <w:rsid w:val="002F6C5F"/>
    <w:rsid w:val="00300B85"/>
    <w:rsid w:val="00301A33"/>
    <w:rsid w:val="003160D8"/>
    <w:rsid w:val="003411EC"/>
    <w:rsid w:val="0036112A"/>
    <w:rsid w:val="00376C8B"/>
    <w:rsid w:val="003A44B0"/>
    <w:rsid w:val="003A7978"/>
    <w:rsid w:val="003D292F"/>
    <w:rsid w:val="003F3F23"/>
    <w:rsid w:val="00400827"/>
    <w:rsid w:val="00430F50"/>
    <w:rsid w:val="00491BC7"/>
    <w:rsid w:val="004D3290"/>
    <w:rsid w:val="004F2973"/>
    <w:rsid w:val="004F575B"/>
    <w:rsid w:val="00511262"/>
    <w:rsid w:val="00515618"/>
    <w:rsid w:val="00521982"/>
    <w:rsid w:val="00531ADF"/>
    <w:rsid w:val="00533753"/>
    <w:rsid w:val="00535B5A"/>
    <w:rsid w:val="00536416"/>
    <w:rsid w:val="00597EE5"/>
    <w:rsid w:val="005A7D30"/>
    <w:rsid w:val="005B4CA1"/>
    <w:rsid w:val="005B4E86"/>
    <w:rsid w:val="005B6312"/>
    <w:rsid w:val="005D3E63"/>
    <w:rsid w:val="005D41A3"/>
    <w:rsid w:val="005E46A9"/>
    <w:rsid w:val="006247B2"/>
    <w:rsid w:val="00644A7C"/>
    <w:rsid w:val="00645689"/>
    <w:rsid w:val="00662466"/>
    <w:rsid w:val="006940A5"/>
    <w:rsid w:val="00694395"/>
    <w:rsid w:val="006A7177"/>
    <w:rsid w:val="006A75E4"/>
    <w:rsid w:val="006B499C"/>
    <w:rsid w:val="006E270E"/>
    <w:rsid w:val="00705854"/>
    <w:rsid w:val="00710074"/>
    <w:rsid w:val="007351BE"/>
    <w:rsid w:val="007400C8"/>
    <w:rsid w:val="00762F67"/>
    <w:rsid w:val="007B21B5"/>
    <w:rsid w:val="007B5C0C"/>
    <w:rsid w:val="007F1A2A"/>
    <w:rsid w:val="008345BA"/>
    <w:rsid w:val="008375C3"/>
    <w:rsid w:val="00840543"/>
    <w:rsid w:val="00851D88"/>
    <w:rsid w:val="008735F4"/>
    <w:rsid w:val="00881961"/>
    <w:rsid w:val="00886F8C"/>
    <w:rsid w:val="0089072E"/>
    <w:rsid w:val="008B1D3F"/>
    <w:rsid w:val="008E2C60"/>
    <w:rsid w:val="008E6859"/>
    <w:rsid w:val="008F492F"/>
    <w:rsid w:val="00904932"/>
    <w:rsid w:val="00914405"/>
    <w:rsid w:val="00932906"/>
    <w:rsid w:val="009678D4"/>
    <w:rsid w:val="009A5E2F"/>
    <w:rsid w:val="009B0729"/>
    <w:rsid w:val="009C2673"/>
    <w:rsid w:val="009D0A99"/>
    <w:rsid w:val="009E493C"/>
    <w:rsid w:val="009F28C7"/>
    <w:rsid w:val="00A0041A"/>
    <w:rsid w:val="00A1015D"/>
    <w:rsid w:val="00A10A25"/>
    <w:rsid w:val="00A161F9"/>
    <w:rsid w:val="00A16480"/>
    <w:rsid w:val="00A63A5D"/>
    <w:rsid w:val="00A677F5"/>
    <w:rsid w:val="00A84F30"/>
    <w:rsid w:val="00AA2237"/>
    <w:rsid w:val="00AA564B"/>
    <w:rsid w:val="00AC33B2"/>
    <w:rsid w:val="00AD501F"/>
    <w:rsid w:val="00AD50AF"/>
    <w:rsid w:val="00B11FA9"/>
    <w:rsid w:val="00B152EF"/>
    <w:rsid w:val="00B4490F"/>
    <w:rsid w:val="00B60012"/>
    <w:rsid w:val="00B63954"/>
    <w:rsid w:val="00B80A96"/>
    <w:rsid w:val="00B87436"/>
    <w:rsid w:val="00B91A1B"/>
    <w:rsid w:val="00B94717"/>
    <w:rsid w:val="00BA06BC"/>
    <w:rsid w:val="00BD0FDC"/>
    <w:rsid w:val="00BE13D6"/>
    <w:rsid w:val="00BE4361"/>
    <w:rsid w:val="00BF3851"/>
    <w:rsid w:val="00C85DFD"/>
    <w:rsid w:val="00C928A3"/>
    <w:rsid w:val="00C95D46"/>
    <w:rsid w:val="00C9628E"/>
    <w:rsid w:val="00CC23BF"/>
    <w:rsid w:val="00CE2CB3"/>
    <w:rsid w:val="00D22419"/>
    <w:rsid w:val="00D4187D"/>
    <w:rsid w:val="00D47FAF"/>
    <w:rsid w:val="00D77E4B"/>
    <w:rsid w:val="00D83588"/>
    <w:rsid w:val="00D84153"/>
    <w:rsid w:val="00DB485D"/>
    <w:rsid w:val="00DD6E20"/>
    <w:rsid w:val="00E16223"/>
    <w:rsid w:val="00E43547"/>
    <w:rsid w:val="00E92F8B"/>
    <w:rsid w:val="00EA6B65"/>
    <w:rsid w:val="00EE2561"/>
    <w:rsid w:val="00EF284C"/>
    <w:rsid w:val="00F13541"/>
    <w:rsid w:val="00F14B16"/>
    <w:rsid w:val="00F346D7"/>
    <w:rsid w:val="00FB4637"/>
    <w:rsid w:val="00FC0611"/>
    <w:rsid w:val="00FC4218"/>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77AF2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95"/>
    <w:pPr>
      <w:spacing w:after="20" w:line="260" w:lineRule="exact"/>
    </w:pPr>
    <w:rPr>
      <w:sz w:val="20"/>
      <w:lang w:val="en-GB"/>
    </w:rPr>
  </w:style>
  <w:style w:type="paragraph" w:styleId="Heading1">
    <w:name w:val="heading 1"/>
    <w:basedOn w:val="BasicParagraph"/>
    <w:next w:val="ElexonBody"/>
    <w:link w:val="Heading1Char"/>
    <w:uiPriority w:val="9"/>
    <w:qFormat/>
    <w:rsid w:val="0069439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694395"/>
    <w:pPr>
      <w:pBdr>
        <w:top w:val="single" w:sz="4" w:space="1" w:color="00008C"/>
      </w:pBdr>
      <w:spacing w:before="260" w:after="26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69439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694395"/>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694395"/>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9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694395"/>
    <w:rPr>
      <w:b/>
      <w:sz w:val="20"/>
      <w:lang w:val="en-GB"/>
    </w:rPr>
  </w:style>
  <w:style w:type="paragraph" w:styleId="Footer">
    <w:name w:val="footer"/>
    <w:basedOn w:val="Normal"/>
    <w:link w:val="FooterChar"/>
    <w:uiPriority w:val="99"/>
    <w:unhideWhenUsed/>
    <w:rsid w:val="00694395"/>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694395"/>
    <w:rPr>
      <w:sz w:val="12"/>
      <w:lang w:val="en-GB"/>
    </w:rPr>
  </w:style>
  <w:style w:type="character" w:customStyle="1" w:styleId="Heading1Char">
    <w:name w:val="Heading 1 Char"/>
    <w:basedOn w:val="DefaultParagraphFont"/>
    <w:link w:val="Heading1"/>
    <w:uiPriority w:val="9"/>
    <w:rsid w:val="00694395"/>
    <w:rPr>
      <w:rFonts w:ascii="Arial" w:hAnsi="Arial" w:cs="Arial"/>
      <w:b/>
      <w:bCs/>
      <w:color w:val="00008C"/>
      <w:sz w:val="32"/>
      <w:szCs w:val="32"/>
      <w:lang w:val="en-GB"/>
    </w:rPr>
  </w:style>
  <w:style w:type="paragraph" w:customStyle="1" w:styleId="BasicParagraph">
    <w:name w:val="[Basic Paragraph]"/>
    <w:basedOn w:val="Normal"/>
    <w:uiPriority w:val="99"/>
    <w:rsid w:val="0069439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694395"/>
    <w:rPr>
      <w:b/>
      <w:bCs/>
      <w:color w:val="00008B" w:themeColor="text1"/>
    </w:rPr>
  </w:style>
  <w:style w:type="table" w:styleId="TableGrid">
    <w:name w:val="Table Grid"/>
    <w:basedOn w:val="TableNormal"/>
    <w:uiPriority w:val="39"/>
    <w:rsid w:val="00694395"/>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694395"/>
    <w:pPr>
      <w:spacing w:after="0" w:line="240" w:lineRule="auto"/>
    </w:pPr>
    <w:rPr>
      <w:sz w:val="17"/>
    </w:rPr>
  </w:style>
  <w:style w:type="paragraph" w:customStyle="1" w:styleId="ElexonTableTextLarge">
    <w:name w:val="Elexon Table Text Large"/>
    <w:basedOn w:val="ElexonTableTextSmall"/>
    <w:qFormat/>
    <w:rsid w:val="00694395"/>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694395"/>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694395"/>
    <w:rPr>
      <w:rFonts w:ascii="Arial" w:hAnsi="Arial" w:cs="Arial"/>
      <w:b/>
      <w:bCs/>
      <w:color w:val="00008C"/>
      <w:sz w:val="20"/>
      <w:szCs w:val="20"/>
      <w:lang w:val="en-GB"/>
    </w:rPr>
  </w:style>
  <w:style w:type="paragraph" w:customStyle="1" w:styleId="ElexonBody">
    <w:name w:val="Elexon Body"/>
    <w:basedOn w:val="Normal"/>
    <w:qFormat/>
    <w:rsid w:val="00694395"/>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694395"/>
    <w:rPr>
      <w:rFonts w:ascii="Arial" w:hAnsi="Arial" w:cs="Arial"/>
      <w:b/>
      <w:bCs/>
      <w:color w:val="00008C"/>
      <w:sz w:val="18"/>
      <w:szCs w:val="18"/>
      <w:lang w:val="en-GB"/>
    </w:rPr>
  </w:style>
  <w:style w:type="paragraph" w:styleId="List">
    <w:name w:val="List"/>
    <w:basedOn w:val="Heading3"/>
    <w:next w:val="List2"/>
    <w:uiPriority w:val="99"/>
    <w:unhideWhenUsed/>
    <w:qFormat/>
    <w:rsid w:val="00694395"/>
    <w:pPr>
      <w:numPr>
        <w:numId w:val="11"/>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694395"/>
    <w:pPr>
      <w:numPr>
        <w:ilvl w:val="1"/>
        <w:numId w:val="11"/>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694395"/>
    <w:pPr>
      <w:numPr>
        <w:ilvl w:val="2"/>
        <w:numId w:val="11"/>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694395"/>
    <w:pPr>
      <w:numPr>
        <w:ilvl w:val="2"/>
        <w:numId w:val="10"/>
      </w:numPr>
      <w:contextualSpacing/>
    </w:pPr>
  </w:style>
  <w:style w:type="paragraph" w:styleId="ListNumber">
    <w:name w:val="List Number"/>
    <w:basedOn w:val="Normal"/>
    <w:uiPriority w:val="99"/>
    <w:unhideWhenUsed/>
    <w:rsid w:val="00694395"/>
    <w:pPr>
      <w:numPr>
        <w:numId w:val="9"/>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694395"/>
    <w:pPr>
      <w:numPr>
        <w:ilvl w:val="1"/>
        <w:numId w:val="6"/>
      </w:numPr>
    </w:pPr>
    <w:rPr>
      <w:rFonts w:cstheme="minorHAnsi"/>
      <w:color w:val="000000"/>
    </w:rPr>
  </w:style>
  <w:style w:type="numbering" w:customStyle="1" w:styleId="ListNumbers">
    <w:name w:val="__List Numbers"/>
    <w:basedOn w:val="NoList"/>
    <w:uiPriority w:val="99"/>
    <w:rsid w:val="00E92F8B"/>
    <w:pPr>
      <w:numPr>
        <w:numId w:val="2"/>
      </w:numPr>
    </w:pPr>
  </w:style>
  <w:style w:type="paragraph" w:styleId="BodyText">
    <w:name w:val="Body Text"/>
    <w:aliases w:val="Body"/>
    <w:link w:val="BodyTextChar"/>
    <w:uiPriority w:val="5"/>
    <w:qFormat/>
    <w:rsid w:val="00E92F8B"/>
    <w:pPr>
      <w:spacing w:after="113" w:line="260" w:lineRule="atLeast"/>
    </w:pPr>
    <w:rPr>
      <w:rFonts w:ascii="Tahoma" w:eastAsia="Times New Roman" w:hAnsi="Tahoma" w:cs="Tahoma"/>
      <w:color w:val="00008B" w:themeColor="text1"/>
      <w:sz w:val="20"/>
      <w:szCs w:val="20"/>
      <w:lang w:val="en-GB"/>
    </w:rPr>
  </w:style>
  <w:style w:type="character" w:customStyle="1" w:styleId="BodyTextChar">
    <w:name w:val="Body Text Char"/>
    <w:aliases w:val="Body Char"/>
    <w:basedOn w:val="DefaultParagraphFont"/>
    <w:link w:val="BodyText"/>
    <w:uiPriority w:val="5"/>
    <w:rsid w:val="00E92F8B"/>
    <w:rPr>
      <w:rFonts w:ascii="Tahoma" w:eastAsia="Times New Roman" w:hAnsi="Tahoma" w:cs="Tahoma"/>
      <w:color w:val="00008B" w:themeColor="text1"/>
      <w:sz w:val="20"/>
      <w:szCs w:val="20"/>
      <w:lang w:val="en-GB"/>
    </w:rPr>
  </w:style>
  <w:style w:type="paragraph" w:customStyle="1" w:styleId="Heading">
    <w:name w:val="Heading"/>
    <w:basedOn w:val="BodyText"/>
    <w:next w:val="BodyText"/>
    <w:uiPriority w:val="1"/>
    <w:qFormat/>
    <w:rsid w:val="00E92F8B"/>
    <w:pPr>
      <w:spacing w:before="200"/>
    </w:pPr>
    <w:rPr>
      <w:b/>
      <w:color w:val="231F20" w:themeColor="text2"/>
      <w:sz w:val="22"/>
    </w:rPr>
  </w:style>
  <w:style w:type="paragraph" w:styleId="ListNumber2">
    <w:name w:val="List Number 2"/>
    <w:basedOn w:val="Normal"/>
    <w:uiPriority w:val="99"/>
    <w:unhideWhenUsed/>
    <w:rsid w:val="00694395"/>
    <w:pPr>
      <w:ind w:left="567" w:hanging="567"/>
      <w:contextualSpacing/>
    </w:pPr>
  </w:style>
  <w:style w:type="numbering" w:customStyle="1" w:styleId="ListHeadings">
    <w:name w:val="__List Headings"/>
    <w:uiPriority w:val="99"/>
    <w:rsid w:val="00E92F8B"/>
    <w:pPr>
      <w:numPr>
        <w:numId w:val="1"/>
      </w:numPr>
    </w:pPr>
  </w:style>
  <w:style w:type="paragraph" w:customStyle="1" w:styleId="Boldheading">
    <w:name w:val="Bold heading"/>
    <w:basedOn w:val="BodyText"/>
    <w:next w:val="BodyText"/>
    <w:uiPriority w:val="3"/>
    <w:qFormat/>
    <w:rsid w:val="00E92F8B"/>
    <w:rPr>
      <w:b/>
    </w:rPr>
  </w:style>
  <w:style w:type="paragraph" w:customStyle="1" w:styleId="Numberbodytext1">
    <w:name w:val="Number body text 1"/>
    <w:basedOn w:val="BodyText"/>
    <w:uiPriority w:val="3"/>
    <w:unhideWhenUsed/>
    <w:qFormat/>
    <w:rsid w:val="00E92F8B"/>
    <w:pPr>
      <w:numPr>
        <w:ilvl w:val="1"/>
        <w:numId w:val="3"/>
      </w:numPr>
    </w:pPr>
  </w:style>
  <w:style w:type="paragraph" w:customStyle="1" w:styleId="Numberbodytext2">
    <w:name w:val="Number body text 2"/>
    <w:basedOn w:val="Numberbodytext1"/>
    <w:uiPriority w:val="3"/>
    <w:unhideWhenUsed/>
    <w:qFormat/>
    <w:rsid w:val="00E92F8B"/>
    <w:pPr>
      <w:numPr>
        <w:ilvl w:val="2"/>
      </w:numPr>
    </w:pPr>
  </w:style>
  <w:style w:type="paragraph" w:customStyle="1" w:styleId="Numberheading">
    <w:name w:val="Number heading"/>
    <w:basedOn w:val="Heading"/>
    <w:next w:val="Numberbodytext1"/>
    <w:uiPriority w:val="2"/>
    <w:rsid w:val="00E92F8B"/>
    <w:pPr>
      <w:numPr>
        <w:numId w:val="3"/>
      </w:numPr>
    </w:pPr>
  </w:style>
  <w:style w:type="numbering" w:customStyle="1" w:styleId="Elexonnumber">
    <w:name w:val="Elexon number"/>
    <w:uiPriority w:val="99"/>
    <w:rsid w:val="00694395"/>
    <w:pPr>
      <w:numPr>
        <w:numId w:val="5"/>
      </w:numPr>
    </w:pPr>
  </w:style>
  <w:style w:type="paragraph" w:styleId="ListNumber4">
    <w:name w:val="List Number 4"/>
    <w:basedOn w:val="Normal"/>
    <w:uiPriority w:val="99"/>
    <w:unhideWhenUsed/>
    <w:rsid w:val="00694395"/>
    <w:pPr>
      <w:ind w:left="794" w:hanging="227"/>
      <w:contextualSpacing/>
    </w:pPr>
  </w:style>
  <w:style w:type="paragraph" w:styleId="ListNumber5">
    <w:name w:val="List Number 5"/>
    <w:uiPriority w:val="99"/>
    <w:unhideWhenUsed/>
    <w:rsid w:val="00694395"/>
    <w:pPr>
      <w:numPr>
        <w:ilvl w:val="4"/>
        <w:numId w:val="11"/>
      </w:numPr>
      <w:spacing w:after="120" w:line="260" w:lineRule="atLeast"/>
      <w:contextualSpacing/>
    </w:pPr>
    <w:rPr>
      <w:sz w:val="20"/>
      <w:szCs w:val="20"/>
    </w:rPr>
  </w:style>
  <w:style w:type="paragraph" w:styleId="List4">
    <w:name w:val="List 4"/>
    <w:basedOn w:val="List3"/>
    <w:uiPriority w:val="99"/>
    <w:unhideWhenUsed/>
    <w:qFormat/>
    <w:rsid w:val="00694395"/>
    <w:pPr>
      <w:numPr>
        <w:ilvl w:val="3"/>
      </w:numPr>
    </w:pPr>
  </w:style>
  <w:style w:type="paragraph" w:styleId="List5">
    <w:name w:val="List 5"/>
    <w:basedOn w:val="Normal"/>
    <w:uiPriority w:val="99"/>
    <w:unhideWhenUsed/>
    <w:qFormat/>
    <w:rsid w:val="00694395"/>
    <w:pPr>
      <w:contextualSpacing/>
    </w:pPr>
  </w:style>
  <w:style w:type="paragraph" w:styleId="ListBullet">
    <w:name w:val="List Bullet"/>
    <w:basedOn w:val="Normal"/>
    <w:uiPriority w:val="99"/>
    <w:unhideWhenUsed/>
    <w:qFormat/>
    <w:rsid w:val="00694395"/>
    <w:pPr>
      <w:numPr>
        <w:numId w:val="7"/>
      </w:numPr>
      <w:spacing w:after="120" w:line="240" w:lineRule="atLeast"/>
      <w:contextualSpacing/>
    </w:pPr>
  </w:style>
  <w:style w:type="paragraph" w:styleId="ListBullet2">
    <w:name w:val="List Bullet 2"/>
    <w:basedOn w:val="Normal"/>
    <w:uiPriority w:val="99"/>
    <w:unhideWhenUsed/>
    <w:qFormat/>
    <w:rsid w:val="00694395"/>
    <w:pPr>
      <w:numPr>
        <w:ilvl w:val="1"/>
        <w:numId w:val="7"/>
      </w:numPr>
      <w:spacing w:after="120" w:line="260" w:lineRule="atLeast"/>
      <w:contextualSpacing/>
    </w:pPr>
  </w:style>
  <w:style w:type="paragraph" w:styleId="ListBullet3">
    <w:name w:val="List Bullet 3"/>
    <w:basedOn w:val="Normal"/>
    <w:uiPriority w:val="99"/>
    <w:unhideWhenUsed/>
    <w:qFormat/>
    <w:rsid w:val="00694395"/>
    <w:pPr>
      <w:numPr>
        <w:ilvl w:val="2"/>
        <w:numId w:val="7"/>
      </w:numPr>
      <w:spacing w:after="120" w:line="240" w:lineRule="atLeast"/>
      <w:contextualSpacing/>
    </w:pPr>
  </w:style>
  <w:style w:type="paragraph" w:styleId="ListBullet4">
    <w:name w:val="List Bullet 4"/>
    <w:basedOn w:val="Normal"/>
    <w:uiPriority w:val="99"/>
    <w:unhideWhenUsed/>
    <w:qFormat/>
    <w:rsid w:val="00694395"/>
    <w:pPr>
      <w:numPr>
        <w:ilvl w:val="3"/>
        <w:numId w:val="7"/>
      </w:numPr>
      <w:spacing w:after="120" w:line="260" w:lineRule="atLeast"/>
      <w:contextualSpacing/>
    </w:pPr>
  </w:style>
  <w:style w:type="paragraph" w:styleId="ListBullet5">
    <w:name w:val="List Bullet 5"/>
    <w:basedOn w:val="Normal"/>
    <w:uiPriority w:val="99"/>
    <w:unhideWhenUsed/>
    <w:rsid w:val="00694395"/>
    <w:pPr>
      <w:numPr>
        <w:ilvl w:val="4"/>
        <w:numId w:val="8"/>
      </w:numPr>
      <w:contextualSpacing/>
    </w:pPr>
  </w:style>
  <w:style w:type="character" w:styleId="LineNumber">
    <w:name w:val="line number"/>
    <w:basedOn w:val="DefaultParagraphFont"/>
    <w:uiPriority w:val="99"/>
    <w:unhideWhenUsed/>
    <w:rsid w:val="006247B2"/>
  </w:style>
  <w:style w:type="paragraph" w:styleId="Index9">
    <w:name w:val="index 9"/>
    <w:basedOn w:val="Normal"/>
    <w:next w:val="Normal"/>
    <w:autoRedefine/>
    <w:uiPriority w:val="99"/>
    <w:unhideWhenUsed/>
    <w:rsid w:val="006247B2"/>
    <w:pPr>
      <w:spacing w:after="0" w:line="240" w:lineRule="auto"/>
      <w:ind w:left="1800" w:hanging="200"/>
    </w:pPr>
  </w:style>
  <w:style w:type="character" w:styleId="PlaceholderText">
    <w:name w:val="Placeholder Text"/>
    <w:basedOn w:val="DefaultParagraphFont"/>
    <w:uiPriority w:val="99"/>
    <w:semiHidden/>
    <w:rsid w:val="00694395"/>
    <w:rPr>
      <w:color w:val="808080"/>
    </w:rPr>
  </w:style>
  <w:style w:type="table" w:customStyle="1" w:styleId="ElexonBasicTable">
    <w:name w:val="Elexon Basic Table"/>
    <w:basedOn w:val="TableNormal"/>
    <w:uiPriority w:val="99"/>
    <w:rsid w:val="00694395"/>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694395"/>
    <w:rPr>
      <w:vertAlign w:val="superscript"/>
    </w:rPr>
  </w:style>
  <w:style w:type="paragraph" w:styleId="FootnoteText">
    <w:name w:val="footnote text"/>
    <w:basedOn w:val="Normal"/>
    <w:link w:val="FootnoteTextChar"/>
    <w:uiPriority w:val="99"/>
    <w:semiHidden/>
    <w:rsid w:val="00694395"/>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694395"/>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694395"/>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694395"/>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694395"/>
    <w:rPr>
      <w:color w:val="00008B" w:themeColor="text1"/>
      <w:u w:val="single"/>
    </w:rPr>
  </w:style>
  <w:style w:type="paragraph" w:styleId="NoSpacing">
    <w:name w:val="No Spacing"/>
    <w:link w:val="NoSpacingChar"/>
    <w:uiPriority w:val="1"/>
    <w:qFormat/>
    <w:rsid w:val="00694395"/>
    <w:pPr>
      <w:spacing w:after="0" w:line="240" w:lineRule="auto"/>
    </w:pPr>
    <w:rPr>
      <w:rFonts w:eastAsiaTheme="minorEastAsia"/>
    </w:rPr>
  </w:style>
  <w:style w:type="character" w:customStyle="1" w:styleId="NoSpacingChar">
    <w:name w:val="No Spacing Char"/>
    <w:basedOn w:val="DefaultParagraphFont"/>
    <w:link w:val="NoSpacing"/>
    <w:uiPriority w:val="1"/>
    <w:rsid w:val="00694395"/>
    <w:rPr>
      <w:rFonts w:eastAsiaTheme="minorEastAsia"/>
    </w:rPr>
  </w:style>
  <w:style w:type="character" w:customStyle="1" w:styleId="Regular">
    <w:name w:val="Regular"/>
    <w:basedOn w:val="DefaultParagraphFont"/>
    <w:uiPriority w:val="1"/>
    <w:rsid w:val="00694395"/>
    <w:rPr>
      <w:color w:val="auto"/>
    </w:rPr>
  </w:style>
  <w:style w:type="paragraph" w:styleId="Subtitle">
    <w:name w:val="Subtitle"/>
    <w:basedOn w:val="Normal"/>
    <w:next w:val="Normal"/>
    <w:link w:val="SubtitleChar"/>
    <w:uiPriority w:val="11"/>
    <w:qFormat/>
    <w:rsid w:val="00694395"/>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694395"/>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694395"/>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694395"/>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694395"/>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694395"/>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694395"/>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694395"/>
    <w:pPr>
      <w:tabs>
        <w:tab w:val="right" w:pos="10348"/>
      </w:tabs>
      <w:spacing w:after="100"/>
    </w:pPr>
    <w:rPr>
      <w:color w:val="00008B" w:themeColor="text1"/>
      <w:sz w:val="22"/>
    </w:rPr>
  </w:style>
  <w:style w:type="paragraph" w:styleId="TOC3">
    <w:name w:val="toc 3"/>
    <w:basedOn w:val="Normal"/>
    <w:next w:val="Normal"/>
    <w:autoRedefine/>
    <w:uiPriority w:val="39"/>
    <w:unhideWhenUsed/>
    <w:rsid w:val="00694395"/>
    <w:pPr>
      <w:tabs>
        <w:tab w:val="right" w:pos="10348"/>
      </w:tabs>
      <w:spacing w:after="100"/>
      <w:ind w:left="357"/>
    </w:pPr>
    <w:rPr>
      <w:noProof/>
      <w:sz w:val="22"/>
    </w:rPr>
  </w:style>
  <w:style w:type="paragraph" w:styleId="TOCHeading">
    <w:name w:val="TOC Heading"/>
    <w:basedOn w:val="Heading1"/>
    <w:next w:val="Normal"/>
    <w:uiPriority w:val="39"/>
    <w:unhideWhenUsed/>
    <w:qFormat/>
    <w:rsid w:val="00694395"/>
    <w:pPr>
      <w:spacing w:after="480" w:line="480" w:lineRule="atLeast"/>
    </w:pPr>
  </w:style>
  <w:style w:type="paragraph" w:styleId="BalloonText">
    <w:name w:val="Balloon Text"/>
    <w:basedOn w:val="Normal"/>
    <w:link w:val="BalloonTextChar"/>
    <w:uiPriority w:val="99"/>
    <w:semiHidden/>
    <w:unhideWhenUsed/>
    <w:rsid w:val="0088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61"/>
    <w:rPr>
      <w:rFonts w:ascii="Segoe UI" w:hAnsi="Segoe UI" w:cs="Segoe UI"/>
      <w:sz w:val="18"/>
      <w:szCs w:val="18"/>
      <w:lang w:val="en-GB"/>
    </w:rPr>
  </w:style>
  <w:style w:type="character" w:styleId="FollowedHyperlink">
    <w:name w:val="FollowedHyperlink"/>
    <w:basedOn w:val="DefaultParagraphFont"/>
    <w:uiPriority w:val="99"/>
    <w:semiHidden/>
    <w:unhideWhenUsed/>
    <w:rsid w:val="00E16223"/>
    <w:rPr>
      <w:color w:val="00008B" w:themeColor="followedHyperlink"/>
      <w:u w:val="single"/>
    </w:rPr>
  </w:style>
  <w:style w:type="paragraph" w:styleId="ListParagraph">
    <w:name w:val="List Paragraph"/>
    <w:basedOn w:val="Normal"/>
    <w:uiPriority w:val="34"/>
    <w:qFormat/>
    <w:rsid w:val="005D41A3"/>
    <w:pPr>
      <w:ind w:left="720"/>
      <w:contextualSpacing/>
    </w:pPr>
  </w:style>
  <w:style w:type="character" w:styleId="CommentReference">
    <w:name w:val="annotation reference"/>
    <w:basedOn w:val="DefaultParagraphFont"/>
    <w:uiPriority w:val="99"/>
    <w:semiHidden/>
    <w:unhideWhenUsed/>
    <w:rsid w:val="00A161F9"/>
    <w:rPr>
      <w:sz w:val="16"/>
      <w:szCs w:val="16"/>
    </w:rPr>
  </w:style>
  <w:style w:type="paragraph" w:styleId="CommentText">
    <w:name w:val="annotation text"/>
    <w:basedOn w:val="Normal"/>
    <w:link w:val="CommentTextChar"/>
    <w:uiPriority w:val="99"/>
    <w:semiHidden/>
    <w:unhideWhenUsed/>
    <w:rsid w:val="00A161F9"/>
    <w:pPr>
      <w:spacing w:line="240" w:lineRule="auto"/>
    </w:pPr>
    <w:rPr>
      <w:szCs w:val="20"/>
    </w:rPr>
  </w:style>
  <w:style w:type="character" w:customStyle="1" w:styleId="CommentTextChar">
    <w:name w:val="Comment Text Char"/>
    <w:basedOn w:val="DefaultParagraphFont"/>
    <w:link w:val="CommentText"/>
    <w:uiPriority w:val="99"/>
    <w:semiHidden/>
    <w:rsid w:val="00A161F9"/>
    <w:rPr>
      <w:sz w:val="20"/>
      <w:szCs w:val="20"/>
      <w:lang w:val="en-GB"/>
    </w:rPr>
  </w:style>
  <w:style w:type="paragraph" w:styleId="CommentSubject">
    <w:name w:val="annotation subject"/>
    <w:basedOn w:val="CommentText"/>
    <w:next w:val="CommentText"/>
    <w:link w:val="CommentSubjectChar"/>
    <w:uiPriority w:val="99"/>
    <w:semiHidden/>
    <w:unhideWhenUsed/>
    <w:rsid w:val="00A161F9"/>
    <w:rPr>
      <w:b/>
      <w:bCs/>
    </w:rPr>
  </w:style>
  <w:style w:type="character" w:customStyle="1" w:styleId="CommentSubjectChar">
    <w:name w:val="Comment Subject Char"/>
    <w:basedOn w:val="CommentTextChar"/>
    <w:link w:val="CommentSubject"/>
    <w:uiPriority w:val="99"/>
    <w:semiHidden/>
    <w:rsid w:val="00A161F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csd/bscp32-metering-dispens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Walker@elex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exon.co.uk/bsc-and-codes/balancing-settlement-code/bsc-baseline-statement/" TargetMode="External"/><Relationship Id="rId4" Type="http://schemas.openxmlformats.org/officeDocument/2006/relationships/settings" Target="settings.xml"/><Relationship Id="rId9" Type="http://schemas.openxmlformats.org/officeDocument/2006/relationships/hyperlink" Target="https://www.elexon.co.uk/change-proposal/cp1553/"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330934620417486583590388CBDBA"/>
        <w:category>
          <w:name w:val="General"/>
          <w:gallery w:val="placeholder"/>
        </w:category>
        <w:types>
          <w:type w:val="bbPlcHdr"/>
        </w:types>
        <w:behaviors>
          <w:behavior w:val="content"/>
        </w:behaviors>
        <w:guid w:val="{B7188001-53F9-4CF1-BB50-74F4E7E18D37}"/>
      </w:docPartPr>
      <w:docPartBody>
        <w:p w:rsidR="00FE63DC" w:rsidRDefault="00C94E69" w:rsidP="00C94E69">
          <w:pPr>
            <w:pStyle w:val="FBA330934620417486583590388CBDBA1"/>
          </w:pPr>
          <w:r w:rsidRPr="008345BA">
            <w:rPr>
              <w:rStyle w:val="Strong"/>
              <w:lang w:val="en-GB"/>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D2DFB"/>
    <w:rsid w:val="000F733E"/>
    <w:rsid w:val="001E6945"/>
    <w:rsid w:val="00362A2C"/>
    <w:rsid w:val="006D617C"/>
    <w:rsid w:val="00737A75"/>
    <w:rsid w:val="00AD5495"/>
    <w:rsid w:val="00C65497"/>
    <w:rsid w:val="00C94E69"/>
    <w:rsid w:val="00D9490F"/>
    <w:rsid w:val="00F20FF6"/>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69"/>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paragraph" w:customStyle="1" w:styleId="3C47B00165324E07850AC98437EEB872">
    <w:name w:val="3C47B00165324E07850AC98437EEB872"/>
    <w:rsid w:val="00C94E69"/>
    <w:rPr>
      <w:lang w:val="en-GB" w:eastAsia="en-GB"/>
    </w:rPr>
  </w:style>
  <w:style w:type="paragraph" w:customStyle="1" w:styleId="A038800960C742A883D35008D7562FB7">
    <w:name w:val="A038800960C742A883D35008D7562FB7"/>
    <w:rsid w:val="00C94E69"/>
    <w:rPr>
      <w:lang w:val="en-GB" w:eastAsia="en-GB"/>
    </w:rPr>
  </w:style>
  <w:style w:type="paragraph" w:customStyle="1" w:styleId="B99FC89EFF4B44B08F5AEE9BEEAC4CB6">
    <w:name w:val="B99FC89EFF4B44B08F5AEE9BEEAC4CB6"/>
    <w:rsid w:val="00C94E69"/>
    <w:rPr>
      <w:lang w:val="en-GB" w:eastAsia="en-GB"/>
    </w:rPr>
  </w:style>
  <w:style w:type="paragraph" w:customStyle="1" w:styleId="4497B8533E25433F808ADF32BDC86B3A">
    <w:name w:val="4497B8533E25433F808ADF32BDC86B3A"/>
    <w:rsid w:val="00C94E69"/>
    <w:rPr>
      <w:lang w:val="en-GB" w:eastAsia="en-GB"/>
    </w:rPr>
  </w:style>
  <w:style w:type="paragraph" w:customStyle="1" w:styleId="FBA330934620417486583590388CBDBA">
    <w:name w:val="FBA330934620417486583590388CBDBA"/>
    <w:rsid w:val="00C94E69"/>
    <w:rPr>
      <w:lang w:val="en-GB" w:eastAsia="en-GB"/>
    </w:rPr>
  </w:style>
  <w:style w:type="character" w:styleId="Strong">
    <w:name w:val="Strong"/>
    <w:aliases w:val="Blue Bold"/>
    <w:basedOn w:val="DefaultParagraphFont"/>
    <w:uiPriority w:val="22"/>
    <w:qFormat/>
    <w:rsid w:val="00C94E69"/>
    <w:rPr>
      <w:b/>
      <w:bCs/>
      <w:color w:val="000000" w:themeColor="text1"/>
    </w:rPr>
  </w:style>
  <w:style w:type="paragraph" w:customStyle="1" w:styleId="FBA330934620417486583590388CBDBA1">
    <w:name w:val="FBA330934620417486583590388CBDBA1"/>
    <w:rsid w:val="00C94E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BAA7-0E86-4DDA-B3C0-F0183B9E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Metering Dispensation Review Group - Membership Application</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Metering Dispensation Review Group - Membership Application</dc:title>
  <dc:subject/>
  <dc:creator>Mike Smith</dc:creator>
  <cp:keywords>SVG254_12,Metering_Dispensation_Review_Group,Membership,application,MDRG,Terms_of_Reference,Panel,ISG,SVG</cp:keywords>
  <dc:description/>
  <cp:lastModifiedBy>Lee Walker</cp:lastModifiedBy>
  <cp:revision>3</cp:revision>
  <dcterms:created xsi:type="dcterms:W3CDTF">2022-05-26T12:11:00Z</dcterms:created>
  <dcterms:modified xsi:type="dcterms:W3CDTF">2022-05-26T13:19:00Z</dcterms:modified>
</cp:coreProperties>
</file>