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709CF" w14:textId="73F31DDB" w:rsidR="003216F4" w:rsidRPr="00B36DAC" w:rsidRDefault="003458D9" w:rsidP="00B36DAC">
      <w:pPr>
        <w:pStyle w:val="Title"/>
      </w:pPr>
      <w:r w:rsidRPr="003458D9">
        <w:t>Code Change and Development Group (CCDG) consultation</w:t>
      </w:r>
      <w:r>
        <w:t xml:space="preserve"> </w:t>
      </w:r>
      <w:r w:rsidRPr="003458D9">
        <w:t>on MHH Settlement</w:t>
      </w:r>
      <w:r>
        <w:t xml:space="preserve"> - transcript</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0117E1" w14:paraId="0A5D0F4B" w14:textId="77777777" w:rsidTr="00B36DAC">
        <w:trPr>
          <w:trHeight w:val="680"/>
          <w:jc w:val="center"/>
        </w:trPr>
        <w:tc>
          <w:tcPr>
            <w:tcW w:w="1701" w:type="dxa"/>
            <w:tcBorders>
              <w:left w:val="nil"/>
              <w:right w:val="nil"/>
            </w:tcBorders>
          </w:tcPr>
          <w:p w14:paraId="1E7F8253" w14:textId="66807133" w:rsidR="000117E1" w:rsidRPr="0016282F" w:rsidRDefault="00B36DAC" w:rsidP="000117E1">
            <w:pPr>
              <w:spacing w:after="0" w:line="240" w:lineRule="auto"/>
              <w:rPr>
                <w:sz w:val="17"/>
              </w:rPr>
            </w:pPr>
            <w:r w:rsidRPr="0016282F">
              <w:rPr>
                <w:sz w:val="17"/>
              </w:rPr>
              <w:t>D</w:t>
            </w:r>
            <w:r w:rsidR="003216F4" w:rsidRPr="0016282F">
              <w:rPr>
                <w:sz w:val="17"/>
              </w:rPr>
              <w:t>ate</w:t>
            </w:r>
          </w:p>
        </w:tc>
        <w:tc>
          <w:tcPr>
            <w:tcW w:w="3453" w:type="dxa"/>
            <w:tcBorders>
              <w:left w:val="nil"/>
              <w:right w:val="nil"/>
            </w:tcBorders>
          </w:tcPr>
          <w:p w14:paraId="6555527B" w14:textId="28E2F632" w:rsidR="000117E1" w:rsidRPr="008345BA" w:rsidRDefault="003458D9" w:rsidP="008345BA">
            <w:pPr>
              <w:pStyle w:val="ElexonTableTextLarge"/>
              <w:rPr>
                <w:rStyle w:val="Strong"/>
              </w:rPr>
            </w:pPr>
            <w:r>
              <w:rPr>
                <w:rStyle w:val="Strong"/>
              </w:rPr>
              <w:t>17 December 2020</w:t>
            </w:r>
          </w:p>
        </w:tc>
        <w:tc>
          <w:tcPr>
            <w:tcW w:w="237" w:type="dxa"/>
            <w:tcBorders>
              <w:top w:val="nil"/>
              <w:left w:val="nil"/>
              <w:bottom w:val="nil"/>
            </w:tcBorders>
          </w:tcPr>
          <w:p w14:paraId="618CD3DB" w14:textId="77777777" w:rsidR="000117E1" w:rsidRDefault="000117E1" w:rsidP="000117E1"/>
        </w:tc>
        <w:tc>
          <w:tcPr>
            <w:tcW w:w="1697" w:type="dxa"/>
            <w:tcBorders>
              <w:right w:val="nil"/>
            </w:tcBorders>
          </w:tcPr>
          <w:p w14:paraId="434F03E7" w14:textId="656DA9EF" w:rsidR="000117E1" w:rsidRPr="0016282F" w:rsidRDefault="008345BA" w:rsidP="000117E1">
            <w:pPr>
              <w:spacing w:after="0" w:line="240" w:lineRule="auto"/>
              <w:rPr>
                <w:sz w:val="17"/>
              </w:rPr>
            </w:pPr>
            <w:r w:rsidRPr="0016282F">
              <w:rPr>
                <w:sz w:val="17"/>
              </w:rPr>
              <w:t>Classification</w:t>
            </w:r>
          </w:p>
        </w:tc>
        <w:tc>
          <w:tcPr>
            <w:tcW w:w="3458" w:type="dxa"/>
            <w:tcBorders>
              <w:right w:val="nil"/>
            </w:tcBorders>
          </w:tcPr>
          <w:p w14:paraId="154A3298" w14:textId="4C2D0F09" w:rsidR="000117E1" w:rsidRDefault="00367BE9" w:rsidP="008345BA">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3458D9">
                  <w:rPr>
                    <w:rStyle w:val="Strong"/>
                  </w:rPr>
                  <w:t>Public</w:t>
                </w:r>
              </w:sdtContent>
            </w:sdt>
          </w:p>
        </w:tc>
      </w:tr>
    </w:tbl>
    <w:p w14:paraId="38203518" w14:textId="13A8A482" w:rsidR="00A10A25" w:rsidRDefault="00A10A25"/>
    <w:p w14:paraId="6C790C55" w14:textId="77777777" w:rsidR="003458D9" w:rsidRPr="003458D9" w:rsidRDefault="003458D9" w:rsidP="003458D9">
      <w:pPr>
        <w:rPr>
          <w:rFonts w:ascii="Arial" w:hAnsi="Arial" w:cs="Arial"/>
          <w:color w:val="231F20" w:themeColor="text2"/>
          <w:sz w:val="24"/>
          <w:szCs w:val="24"/>
        </w:rPr>
      </w:pPr>
      <w:r w:rsidRPr="003458D9">
        <w:rPr>
          <w:rFonts w:ascii="Arial" w:hAnsi="Arial" w:cs="Arial"/>
          <w:color w:val="231F20" w:themeColor="text2"/>
          <w:sz w:val="24"/>
          <w:szCs w:val="24"/>
        </w:rPr>
        <w:t xml:space="preserve">Hello, I’m Justin Andrews, Head of Design Authority at </w:t>
      </w:r>
      <w:proofErr w:type="spellStart"/>
      <w:r w:rsidRPr="003458D9">
        <w:rPr>
          <w:rFonts w:ascii="Arial" w:hAnsi="Arial" w:cs="Arial"/>
          <w:color w:val="231F20" w:themeColor="text2"/>
          <w:sz w:val="24"/>
          <w:szCs w:val="24"/>
        </w:rPr>
        <w:t>Elexon</w:t>
      </w:r>
      <w:proofErr w:type="spellEnd"/>
      <w:r w:rsidRPr="003458D9">
        <w:rPr>
          <w:rFonts w:ascii="Arial" w:hAnsi="Arial" w:cs="Arial"/>
          <w:color w:val="231F20" w:themeColor="text2"/>
          <w:sz w:val="24"/>
          <w:szCs w:val="24"/>
        </w:rPr>
        <w:t xml:space="preserve">. I’m here to talk about a consultation that </w:t>
      </w:r>
      <w:proofErr w:type="spellStart"/>
      <w:r w:rsidRPr="003458D9">
        <w:rPr>
          <w:rFonts w:ascii="Arial" w:hAnsi="Arial" w:cs="Arial"/>
          <w:color w:val="231F20" w:themeColor="text2"/>
          <w:sz w:val="24"/>
          <w:szCs w:val="24"/>
        </w:rPr>
        <w:t>Elexon</w:t>
      </w:r>
      <w:proofErr w:type="spellEnd"/>
      <w:r w:rsidRPr="003458D9">
        <w:rPr>
          <w:rFonts w:ascii="Arial" w:hAnsi="Arial" w:cs="Arial"/>
          <w:color w:val="231F20" w:themeColor="text2"/>
          <w:sz w:val="24"/>
          <w:szCs w:val="24"/>
        </w:rPr>
        <w:t xml:space="preserve"> is publishing in mid</w:t>
      </w:r>
      <w:r w:rsidRPr="003458D9">
        <w:rPr>
          <w:rFonts w:ascii="Arial" w:hAnsi="Arial" w:cs="Arial"/>
          <w:color w:val="231F20" w:themeColor="text2"/>
          <w:sz w:val="24"/>
          <w:szCs w:val="24"/>
          <w:vertAlign w:val="superscript"/>
        </w:rPr>
        <w:t>-</w:t>
      </w:r>
      <w:r w:rsidRPr="003458D9">
        <w:rPr>
          <w:rFonts w:ascii="Arial" w:hAnsi="Arial" w:cs="Arial"/>
          <w:color w:val="231F20" w:themeColor="text2"/>
          <w:sz w:val="24"/>
          <w:szCs w:val="24"/>
        </w:rPr>
        <w:t xml:space="preserve">December on the detailed design of Market-wide Half Hourly Settlement, or Half Hourly Settlement for short. </w:t>
      </w:r>
    </w:p>
    <w:p w14:paraId="587C887D" w14:textId="77777777" w:rsidR="003458D9" w:rsidRPr="003458D9" w:rsidRDefault="003458D9" w:rsidP="003458D9">
      <w:pPr>
        <w:rPr>
          <w:rFonts w:ascii="Arial" w:hAnsi="Arial" w:cs="Arial"/>
          <w:color w:val="231F20" w:themeColor="text2"/>
          <w:sz w:val="24"/>
          <w:szCs w:val="24"/>
        </w:rPr>
      </w:pPr>
    </w:p>
    <w:p w14:paraId="7ADB0DFD" w14:textId="129425D8" w:rsidR="003458D9" w:rsidRPr="003458D9" w:rsidRDefault="003458D9" w:rsidP="003458D9">
      <w:pPr>
        <w:rPr>
          <w:rFonts w:ascii="Arial" w:hAnsi="Arial" w:cs="Arial"/>
          <w:color w:val="231F20" w:themeColor="text2"/>
          <w:sz w:val="24"/>
          <w:szCs w:val="24"/>
        </w:rPr>
      </w:pPr>
      <w:r w:rsidRPr="003458D9">
        <w:rPr>
          <w:rFonts w:ascii="Arial" w:hAnsi="Arial" w:cs="Arial"/>
          <w:color w:val="231F20" w:themeColor="text2"/>
          <w:sz w:val="24"/>
          <w:szCs w:val="24"/>
        </w:rPr>
        <w:t xml:space="preserve">I head up a team of specialists in </w:t>
      </w:r>
      <w:proofErr w:type="spellStart"/>
      <w:r w:rsidRPr="003458D9">
        <w:rPr>
          <w:rFonts w:ascii="Arial" w:hAnsi="Arial" w:cs="Arial"/>
          <w:color w:val="231F20" w:themeColor="text2"/>
          <w:sz w:val="24"/>
          <w:szCs w:val="24"/>
        </w:rPr>
        <w:t>Elexon</w:t>
      </w:r>
      <w:proofErr w:type="spellEnd"/>
      <w:r w:rsidRPr="003458D9">
        <w:rPr>
          <w:rFonts w:ascii="Arial" w:hAnsi="Arial" w:cs="Arial"/>
          <w:color w:val="231F20" w:themeColor="text2"/>
          <w:sz w:val="24"/>
          <w:szCs w:val="24"/>
        </w:rPr>
        <w:t xml:space="preserve"> who are leading on this design work with an industry expert called the Code Change and Development Group, or </w:t>
      </w:r>
      <w:proofErr w:type="spellStart"/>
      <w:r w:rsidRPr="003458D9">
        <w:rPr>
          <w:rFonts w:ascii="Arial" w:hAnsi="Arial" w:cs="Arial"/>
          <w:color w:val="231F20" w:themeColor="text2"/>
          <w:sz w:val="24"/>
          <w:szCs w:val="24"/>
        </w:rPr>
        <w:t>CCDG.This</w:t>
      </w:r>
      <w:proofErr w:type="spellEnd"/>
      <w:r w:rsidRPr="003458D9">
        <w:rPr>
          <w:rFonts w:ascii="Arial" w:hAnsi="Arial" w:cs="Arial"/>
          <w:color w:val="231F20" w:themeColor="text2"/>
          <w:sz w:val="24"/>
          <w:szCs w:val="24"/>
        </w:rPr>
        <w:t xml:space="preserve"> work is part of </w:t>
      </w:r>
      <w:proofErr w:type="spellStart"/>
      <w:r w:rsidRPr="003458D9">
        <w:rPr>
          <w:rFonts w:ascii="Arial" w:hAnsi="Arial" w:cs="Arial"/>
          <w:color w:val="231F20" w:themeColor="text2"/>
          <w:sz w:val="24"/>
          <w:szCs w:val="24"/>
        </w:rPr>
        <w:t>Ofgem’s</w:t>
      </w:r>
      <w:proofErr w:type="spellEnd"/>
      <w:r w:rsidRPr="003458D9">
        <w:rPr>
          <w:rFonts w:ascii="Arial" w:hAnsi="Arial" w:cs="Arial"/>
          <w:color w:val="231F20" w:themeColor="text2"/>
          <w:sz w:val="24"/>
          <w:szCs w:val="24"/>
        </w:rPr>
        <w:t xml:space="preserve"> Significant Code Reform on Settlement Reform.</w:t>
      </w:r>
    </w:p>
    <w:p w14:paraId="34C9DA73" w14:textId="77777777" w:rsidR="003458D9" w:rsidRPr="003458D9" w:rsidRDefault="003458D9" w:rsidP="003458D9">
      <w:pPr>
        <w:rPr>
          <w:rFonts w:ascii="Arial" w:hAnsi="Arial" w:cs="Arial"/>
          <w:color w:val="231F20" w:themeColor="text2"/>
          <w:sz w:val="24"/>
          <w:szCs w:val="24"/>
        </w:rPr>
      </w:pPr>
    </w:p>
    <w:p w14:paraId="40B49F84" w14:textId="116041D2" w:rsidR="003458D9" w:rsidRPr="003458D9" w:rsidRDefault="003458D9" w:rsidP="003458D9">
      <w:pPr>
        <w:rPr>
          <w:rFonts w:ascii="Arial" w:hAnsi="Arial" w:cs="Arial"/>
          <w:color w:val="231F20" w:themeColor="text2"/>
          <w:sz w:val="24"/>
          <w:szCs w:val="24"/>
        </w:rPr>
      </w:pPr>
      <w:r w:rsidRPr="003458D9">
        <w:rPr>
          <w:rFonts w:ascii="Arial" w:hAnsi="Arial" w:cs="Arial"/>
          <w:color w:val="231F20" w:themeColor="text2"/>
          <w:sz w:val="24"/>
          <w:szCs w:val="24"/>
        </w:rPr>
        <w:t xml:space="preserve">Half Hourly Settlement will be a faster, more accurate Settlement process for all market participants. It is also a key fundamental enabler for a smarter energy system and upcoming innovation. </w:t>
      </w:r>
    </w:p>
    <w:p w14:paraId="5011F527" w14:textId="77777777" w:rsidR="003458D9" w:rsidRPr="003458D9" w:rsidRDefault="003458D9" w:rsidP="003458D9">
      <w:pPr>
        <w:rPr>
          <w:rFonts w:ascii="Arial" w:hAnsi="Arial" w:cs="Arial"/>
          <w:color w:val="231F20" w:themeColor="text2"/>
          <w:sz w:val="24"/>
          <w:szCs w:val="24"/>
        </w:rPr>
      </w:pPr>
    </w:p>
    <w:p w14:paraId="6C58677D" w14:textId="6D32C73A" w:rsidR="003458D9" w:rsidRPr="003458D9" w:rsidRDefault="003458D9" w:rsidP="003458D9">
      <w:pPr>
        <w:rPr>
          <w:rFonts w:ascii="Arial" w:hAnsi="Arial" w:cs="Arial"/>
          <w:color w:val="231F20" w:themeColor="text2"/>
          <w:sz w:val="24"/>
          <w:szCs w:val="24"/>
        </w:rPr>
      </w:pPr>
      <w:proofErr w:type="spellStart"/>
      <w:r w:rsidRPr="003458D9">
        <w:rPr>
          <w:rFonts w:ascii="Arial" w:hAnsi="Arial" w:cs="Arial"/>
          <w:color w:val="231F20" w:themeColor="text2"/>
          <w:sz w:val="24"/>
          <w:szCs w:val="24"/>
        </w:rPr>
        <w:t>Ofgem</w:t>
      </w:r>
      <w:proofErr w:type="spellEnd"/>
      <w:r w:rsidRPr="003458D9">
        <w:rPr>
          <w:rFonts w:ascii="Arial" w:hAnsi="Arial" w:cs="Arial"/>
          <w:color w:val="231F20" w:themeColor="text2"/>
          <w:sz w:val="24"/>
          <w:szCs w:val="24"/>
        </w:rPr>
        <w:t xml:space="preserve"> is set to make a final decision in </w:t>
      </w:r>
      <w:proofErr w:type="gramStart"/>
      <w:r w:rsidRPr="003458D9">
        <w:rPr>
          <w:rFonts w:ascii="Arial" w:hAnsi="Arial" w:cs="Arial"/>
          <w:color w:val="231F20" w:themeColor="text2"/>
          <w:sz w:val="24"/>
          <w:szCs w:val="24"/>
        </w:rPr>
        <w:t>Spring</w:t>
      </w:r>
      <w:proofErr w:type="gramEnd"/>
      <w:r w:rsidRPr="003458D9">
        <w:rPr>
          <w:rFonts w:ascii="Arial" w:hAnsi="Arial" w:cs="Arial"/>
          <w:color w:val="231F20" w:themeColor="text2"/>
          <w:sz w:val="24"/>
          <w:szCs w:val="24"/>
        </w:rPr>
        <w:t xml:space="preserve"> 2021 on how, and when to implement Half Hourly Settlement.</w:t>
      </w:r>
    </w:p>
    <w:p w14:paraId="076395FA" w14:textId="77777777" w:rsidR="003458D9" w:rsidRPr="003458D9" w:rsidRDefault="003458D9" w:rsidP="003458D9">
      <w:pPr>
        <w:rPr>
          <w:rFonts w:ascii="Arial" w:hAnsi="Arial" w:cs="Arial"/>
          <w:color w:val="231F20" w:themeColor="text2"/>
          <w:sz w:val="24"/>
          <w:szCs w:val="24"/>
        </w:rPr>
      </w:pPr>
    </w:p>
    <w:p w14:paraId="16870CC4" w14:textId="496B0163" w:rsidR="003458D9" w:rsidRPr="003458D9" w:rsidRDefault="003458D9" w:rsidP="003458D9">
      <w:pPr>
        <w:rPr>
          <w:rFonts w:ascii="Arial" w:hAnsi="Arial" w:cs="Arial"/>
          <w:color w:val="231F20" w:themeColor="text2"/>
          <w:sz w:val="24"/>
          <w:szCs w:val="24"/>
        </w:rPr>
      </w:pPr>
      <w:r w:rsidRPr="003458D9">
        <w:rPr>
          <w:rFonts w:ascii="Arial" w:hAnsi="Arial" w:cs="Arial"/>
          <w:color w:val="231F20" w:themeColor="text2"/>
          <w:sz w:val="24"/>
          <w:szCs w:val="24"/>
        </w:rPr>
        <w:t>Let’s talk about the Target Operating Model</w:t>
      </w:r>
      <w:r w:rsidR="00C1652B">
        <w:rPr>
          <w:rFonts w:ascii="Arial" w:hAnsi="Arial" w:cs="Arial"/>
          <w:color w:val="231F20" w:themeColor="text2"/>
          <w:sz w:val="24"/>
          <w:szCs w:val="24"/>
        </w:rPr>
        <w:t xml:space="preserve"> </w:t>
      </w:r>
      <w:bookmarkStart w:id="0" w:name="_GoBack"/>
      <w:bookmarkEnd w:id="0"/>
      <w:r w:rsidRPr="003458D9">
        <w:rPr>
          <w:rFonts w:ascii="Arial" w:hAnsi="Arial" w:cs="Arial"/>
          <w:color w:val="231F20" w:themeColor="text2"/>
          <w:sz w:val="24"/>
          <w:szCs w:val="24"/>
        </w:rPr>
        <w:t xml:space="preserve">(TOM) first. </w:t>
      </w:r>
      <w:proofErr w:type="spellStart"/>
      <w:r w:rsidRPr="003458D9">
        <w:rPr>
          <w:rFonts w:ascii="Arial" w:hAnsi="Arial" w:cs="Arial"/>
          <w:color w:val="231F20" w:themeColor="text2"/>
          <w:sz w:val="24"/>
          <w:szCs w:val="24"/>
        </w:rPr>
        <w:t>Ofgem</w:t>
      </w:r>
      <w:proofErr w:type="spellEnd"/>
      <w:r w:rsidRPr="003458D9">
        <w:rPr>
          <w:rFonts w:ascii="Arial" w:hAnsi="Arial" w:cs="Arial"/>
          <w:color w:val="231F20" w:themeColor="text2"/>
          <w:sz w:val="24"/>
          <w:szCs w:val="24"/>
        </w:rPr>
        <w:t xml:space="preserve"> provisionally approved this in October 2019. The Target Operating Model sets out the set of services and settlement arrangements designed to deliver Half Hourly Settlement.</w:t>
      </w:r>
      <w:r w:rsidRPr="003458D9" w:rsidDel="0007038B">
        <w:rPr>
          <w:rFonts w:ascii="Arial" w:hAnsi="Arial" w:cs="Arial"/>
          <w:color w:val="231F20" w:themeColor="text2"/>
          <w:sz w:val="24"/>
          <w:szCs w:val="24"/>
        </w:rPr>
        <w:t xml:space="preserve"> </w:t>
      </w:r>
    </w:p>
    <w:p w14:paraId="72E5FB18" w14:textId="77777777" w:rsidR="003458D9" w:rsidRPr="003458D9" w:rsidRDefault="003458D9" w:rsidP="003458D9">
      <w:pPr>
        <w:rPr>
          <w:rFonts w:ascii="Arial" w:hAnsi="Arial" w:cs="Arial"/>
          <w:color w:val="231F20" w:themeColor="text2"/>
          <w:sz w:val="24"/>
          <w:szCs w:val="24"/>
        </w:rPr>
      </w:pPr>
    </w:p>
    <w:p w14:paraId="56017379" w14:textId="418A54DA" w:rsidR="003458D9" w:rsidRPr="003458D9" w:rsidRDefault="003458D9" w:rsidP="003458D9">
      <w:pPr>
        <w:rPr>
          <w:rFonts w:ascii="Arial" w:hAnsi="Arial" w:cs="Arial"/>
          <w:color w:val="231F20" w:themeColor="text2"/>
          <w:sz w:val="24"/>
          <w:szCs w:val="24"/>
        </w:rPr>
      </w:pPr>
      <w:r w:rsidRPr="003458D9">
        <w:rPr>
          <w:rFonts w:ascii="Arial" w:hAnsi="Arial" w:cs="Arial"/>
          <w:color w:val="231F20" w:themeColor="text2"/>
          <w:sz w:val="24"/>
          <w:szCs w:val="24"/>
        </w:rPr>
        <w:t>Through the CCDG, we have been developing the detail of this TOM design and identified the required industry code changes.</w:t>
      </w:r>
    </w:p>
    <w:p w14:paraId="236C969F" w14:textId="77777777" w:rsidR="003458D9" w:rsidRPr="003458D9" w:rsidRDefault="003458D9" w:rsidP="003458D9">
      <w:pPr>
        <w:rPr>
          <w:rFonts w:ascii="Arial" w:hAnsi="Arial" w:cs="Arial"/>
          <w:color w:val="231F20" w:themeColor="text2"/>
          <w:sz w:val="24"/>
          <w:szCs w:val="24"/>
        </w:rPr>
      </w:pPr>
    </w:p>
    <w:p w14:paraId="27BE18DE" w14:textId="52E4826E" w:rsidR="003458D9" w:rsidRPr="003458D9" w:rsidRDefault="003458D9" w:rsidP="003458D9">
      <w:pPr>
        <w:rPr>
          <w:rFonts w:ascii="Arial" w:hAnsi="Arial" w:cs="Arial"/>
          <w:color w:val="231F20" w:themeColor="text2"/>
          <w:sz w:val="24"/>
          <w:szCs w:val="24"/>
        </w:rPr>
      </w:pPr>
      <w:r w:rsidRPr="003458D9">
        <w:rPr>
          <w:rFonts w:ascii="Arial" w:hAnsi="Arial" w:cs="Arial"/>
          <w:color w:val="231F20" w:themeColor="text2"/>
          <w:sz w:val="24"/>
          <w:szCs w:val="24"/>
        </w:rPr>
        <w:t>The most important things we are looking for feedback are:</w:t>
      </w:r>
    </w:p>
    <w:p w14:paraId="10B7D29C" w14:textId="57886CAD" w:rsidR="003458D9" w:rsidRPr="003458D9" w:rsidRDefault="003458D9" w:rsidP="003458D9">
      <w:pPr>
        <w:rPr>
          <w:rFonts w:ascii="Arial" w:hAnsi="Arial" w:cs="Arial"/>
          <w:color w:val="231F20" w:themeColor="text2"/>
          <w:sz w:val="24"/>
          <w:szCs w:val="24"/>
        </w:rPr>
      </w:pPr>
      <w:r w:rsidRPr="003458D9">
        <w:rPr>
          <w:rFonts w:ascii="Arial" w:hAnsi="Arial" w:cs="Arial"/>
          <w:color w:val="231F20" w:themeColor="text2"/>
          <w:sz w:val="24"/>
          <w:szCs w:val="24"/>
        </w:rPr>
        <w:t xml:space="preserve">   </w:t>
      </w:r>
    </w:p>
    <w:p w14:paraId="7717627E" w14:textId="77777777" w:rsidR="003458D9" w:rsidRPr="003458D9" w:rsidRDefault="003458D9" w:rsidP="003458D9">
      <w:pPr>
        <w:pStyle w:val="ListParagraph"/>
        <w:numPr>
          <w:ilvl w:val="0"/>
          <w:numId w:val="9"/>
        </w:numPr>
        <w:rPr>
          <w:rFonts w:ascii="Arial" w:hAnsi="Arial" w:cs="Arial"/>
          <w:color w:val="231F20" w:themeColor="text2"/>
          <w:sz w:val="24"/>
          <w:szCs w:val="24"/>
        </w:rPr>
      </w:pPr>
      <w:r w:rsidRPr="003458D9">
        <w:rPr>
          <w:rFonts w:ascii="Arial" w:hAnsi="Arial" w:cs="Arial"/>
          <w:color w:val="231F20" w:themeColor="text2"/>
          <w:sz w:val="24"/>
          <w:szCs w:val="24"/>
        </w:rPr>
        <w:t>The essential data items</w:t>
      </w:r>
      <w:r w:rsidRPr="003458D9">
        <w:rPr>
          <w:color w:val="231F20" w:themeColor="text2"/>
          <w:sz w:val="24"/>
          <w:szCs w:val="24"/>
        </w:rPr>
        <w:t xml:space="preserve"> </w:t>
      </w:r>
      <w:r w:rsidRPr="003458D9">
        <w:rPr>
          <w:rFonts w:ascii="Arial" w:hAnsi="Arial" w:cs="Arial"/>
          <w:color w:val="231F20" w:themeColor="text2"/>
          <w:sz w:val="24"/>
          <w:szCs w:val="24"/>
        </w:rPr>
        <w:t xml:space="preserve">and processes required to deliver the </w:t>
      </w:r>
      <w:r w:rsidRPr="003458D9">
        <w:rPr>
          <w:rFonts w:ascii="Arial" w:hAnsi="Arial" w:cs="Arial"/>
          <w:color w:val="231F20" w:themeColor="text2"/>
          <w:sz w:val="24"/>
          <w:szCs w:val="24"/>
        </w:rPr>
        <w:t xml:space="preserve">Half Hourly Settlement </w:t>
      </w:r>
      <w:r w:rsidRPr="003458D9">
        <w:rPr>
          <w:rFonts w:ascii="Arial" w:hAnsi="Arial" w:cs="Arial"/>
          <w:color w:val="231F20" w:themeColor="text2"/>
          <w:sz w:val="24"/>
          <w:szCs w:val="24"/>
        </w:rPr>
        <w:t>Target Operating Model;</w:t>
      </w:r>
    </w:p>
    <w:p w14:paraId="572A61F9" w14:textId="77777777" w:rsidR="003458D9" w:rsidRPr="003458D9" w:rsidRDefault="003458D9" w:rsidP="003458D9">
      <w:pPr>
        <w:pStyle w:val="ListParagraph"/>
        <w:numPr>
          <w:ilvl w:val="0"/>
          <w:numId w:val="9"/>
        </w:numPr>
        <w:rPr>
          <w:rFonts w:ascii="Arial" w:hAnsi="Arial" w:cs="Arial"/>
          <w:color w:val="231F20" w:themeColor="text2"/>
          <w:sz w:val="24"/>
          <w:szCs w:val="24"/>
        </w:rPr>
      </w:pPr>
      <w:r w:rsidRPr="003458D9">
        <w:rPr>
          <w:rFonts w:ascii="Arial" w:hAnsi="Arial" w:cs="Arial"/>
          <w:color w:val="231F20" w:themeColor="text2"/>
          <w:sz w:val="24"/>
          <w:szCs w:val="24"/>
        </w:rPr>
        <w:t xml:space="preserve">an evaluation of the CCDG’s detailed design against </w:t>
      </w:r>
      <w:proofErr w:type="spellStart"/>
      <w:r w:rsidRPr="003458D9">
        <w:rPr>
          <w:rFonts w:ascii="Arial" w:hAnsi="Arial" w:cs="Arial"/>
          <w:color w:val="231F20" w:themeColor="text2"/>
          <w:sz w:val="24"/>
          <w:szCs w:val="24"/>
        </w:rPr>
        <w:t>Ofgem’s</w:t>
      </w:r>
      <w:proofErr w:type="spellEnd"/>
      <w:r w:rsidRPr="003458D9">
        <w:rPr>
          <w:rFonts w:ascii="Arial" w:hAnsi="Arial" w:cs="Arial"/>
          <w:color w:val="231F20" w:themeColor="text2"/>
          <w:sz w:val="24"/>
          <w:szCs w:val="24"/>
        </w:rPr>
        <w:t xml:space="preserve"> Design and Development Principles; and </w:t>
      </w:r>
    </w:p>
    <w:p w14:paraId="0FFD845F" w14:textId="77777777" w:rsidR="003458D9" w:rsidRPr="003458D9" w:rsidRDefault="003458D9" w:rsidP="003458D9">
      <w:pPr>
        <w:pStyle w:val="ListParagraph"/>
        <w:numPr>
          <w:ilvl w:val="0"/>
          <w:numId w:val="9"/>
        </w:numPr>
        <w:rPr>
          <w:rFonts w:ascii="Arial" w:hAnsi="Arial" w:cs="Arial"/>
          <w:color w:val="231F20" w:themeColor="text2"/>
          <w:sz w:val="24"/>
          <w:szCs w:val="24"/>
        </w:rPr>
      </w:pPr>
      <w:proofErr w:type="gramStart"/>
      <w:r w:rsidRPr="003458D9">
        <w:rPr>
          <w:rFonts w:ascii="Arial" w:hAnsi="Arial" w:cs="Arial"/>
          <w:color w:val="231F20" w:themeColor="text2"/>
          <w:sz w:val="24"/>
          <w:szCs w:val="24"/>
        </w:rPr>
        <w:t>the</w:t>
      </w:r>
      <w:proofErr w:type="gramEnd"/>
      <w:r w:rsidRPr="003458D9">
        <w:rPr>
          <w:rFonts w:ascii="Arial" w:hAnsi="Arial" w:cs="Arial"/>
          <w:color w:val="231F20" w:themeColor="text2"/>
          <w:sz w:val="24"/>
          <w:szCs w:val="24"/>
        </w:rPr>
        <w:t xml:space="preserve"> identified changes to the relevant industry codes, including BSC, </w:t>
      </w:r>
      <w:r w:rsidRPr="003458D9">
        <w:rPr>
          <w:rFonts w:ascii="Arial" w:hAnsi="Arial" w:cs="Arial"/>
          <w:color w:val="231F20" w:themeColor="text2"/>
          <w:sz w:val="24"/>
          <w:szCs w:val="24"/>
        </w:rPr>
        <w:t>Smart Energy Code</w:t>
      </w:r>
      <w:r w:rsidRPr="003458D9">
        <w:rPr>
          <w:rFonts w:ascii="Arial" w:hAnsi="Arial" w:cs="Arial"/>
          <w:color w:val="231F20" w:themeColor="text2"/>
          <w:sz w:val="24"/>
          <w:szCs w:val="24"/>
        </w:rPr>
        <w:t xml:space="preserve">, </w:t>
      </w:r>
      <w:r w:rsidRPr="003458D9">
        <w:rPr>
          <w:rStyle w:val="Emphasis"/>
          <w:rFonts w:ascii="Arial" w:hAnsi="Arial" w:cs="Arial"/>
          <w:bCs/>
          <w:i w:val="0"/>
          <w:iCs w:val="0"/>
          <w:color w:val="231F20" w:themeColor="text2"/>
          <w:sz w:val="24"/>
          <w:szCs w:val="24"/>
          <w:shd w:val="clear" w:color="auto" w:fill="FFFFFF"/>
        </w:rPr>
        <w:t>Distribution Connection and Use of System Agreement</w:t>
      </w:r>
      <w:r w:rsidRPr="003458D9">
        <w:rPr>
          <w:rFonts w:ascii="Arial" w:hAnsi="Arial" w:cs="Arial"/>
          <w:color w:val="231F20" w:themeColor="text2"/>
          <w:sz w:val="24"/>
          <w:szCs w:val="24"/>
        </w:rPr>
        <w:t xml:space="preserve"> and the </w:t>
      </w:r>
      <w:r w:rsidRPr="003458D9">
        <w:rPr>
          <w:rFonts w:ascii="Arial" w:hAnsi="Arial" w:cs="Arial"/>
          <w:color w:val="231F20" w:themeColor="text2"/>
          <w:sz w:val="24"/>
          <w:szCs w:val="24"/>
        </w:rPr>
        <w:t>Retail Energy Code</w:t>
      </w:r>
      <w:r w:rsidRPr="003458D9">
        <w:rPr>
          <w:rFonts w:ascii="Arial" w:hAnsi="Arial" w:cs="Arial"/>
          <w:color w:val="231F20" w:themeColor="text2"/>
          <w:sz w:val="24"/>
          <w:szCs w:val="24"/>
        </w:rPr>
        <w:t>.</w:t>
      </w:r>
    </w:p>
    <w:p w14:paraId="0BCBEE1B" w14:textId="77777777" w:rsidR="003458D9" w:rsidRPr="003458D9" w:rsidRDefault="003458D9" w:rsidP="003458D9">
      <w:pPr>
        <w:rPr>
          <w:rFonts w:ascii="Arial" w:hAnsi="Arial" w:cs="Arial"/>
          <w:color w:val="231F20" w:themeColor="text2"/>
          <w:sz w:val="24"/>
          <w:szCs w:val="24"/>
        </w:rPr>
      </w:pPr>
      <w:r w:rsidRPr="003458D9">
        <w:rPr>
          <w:rFonts w:ascii="Arial" w:hAnsi="Arial" w:cs="Arial"/>
          <w:color w:val="231F20" w:themeColor="text2"/>
          <w:sz w:val="24"/>
          <w:szCs w:val="24"/>
        </w:rPr>
        <w:t>There will be</w:t>
      </w:r>
      <w:r w:rsidRPr="003458D9">
        <w:rPr>
          <w:rFonts w:ascii="Arial" w:hAnsi="Arial" w:cs="Arial"/>
          <w:color w:val="231F20" w:themeColor="text2"/>
          <w:sz w:val="24"/>
          <w:szCs w:val="24"/>
        </w:rPr>
        <w:t xml:space="preserve"> new data items such as market segments and </w:t>
      </w:r>
      <w:r w:rsidRPr="003458D9">
        <w:rPr>
          <w:rFonts w:ascii="Arial" w:hAnsi="Arial" w:cs="Arial"/>
          <w:color w:val="231F20" w:themeColor="text2"/>
          <w:sz w:val="24"/>
          <w:szCs w:val="24"/>
        </w:rPr>
        <w:t xml:space="preserve">load shapes. </w:t>
      </w:r>
      <w:r w:rsidRPr="003458D9">
        <w:rPr>
          <w:rFonts w:ascii="Arial" w:hAnsi="Arial" w:cs="Arial"/>
          <w:color w:val="231F20" w:themeColor="text2"/>
          <w:sz w:val="24"/>
          <w:szCs w:val="24"/>
        </w:rPr>
        <w:t xml:space="preserve">There are also existing ones that will no longer be required such as measurement classes. New processes have been defined in detail for settling smart meters with </w:t>
      </w:r>
      <w:r w:rsidRPr="003458D9">
        <w:rPr>
          <w:rFonts w:ascii="Arial" w:hAnsi="Arial" w:cs="Arial"/>
          <w:color w:val="231F20" w:themeColor="text2"/>
          <w:sz w:val="24"/>
          <w:szCs w:val="24"/>
        </w:rPr>
        <w:t xml:space="preserve">Half Hourly </w:t>
      </w:r>
      <w:r w:rsidRPr="003458D9">
        <w:rPr>
          <w:rFonts w:ascii="Arial" w:hAnsi="Arial" w:cs="Arial"/>
          <w:color w:val="231F20" w:themeColor="text2"/>
          <w:sz w:val="24"/>
          <w:szCs w:val="24"/>
        </w:rPr>
        <w:t xml:space="preserve"> meter data and for the registration</w:t>
      </w:r>
      <w:r w:rsidRPr="003458D9">
        <w:rPr>
          <w:rFonts w:ascii="Arial" w:hAnsi="Arial" w:cs="Arial"/>
          <w:color w:val="231F20" w:themeColor="text2"/>
          <w:sz w:val="24"/>
          <w:szCs w:val="24"/>
        </w:rPr>
        <w:t xml:space="preserve"> of new</w:t>
      </w:r>
      <w:r w:rsidRPr="003458D9">
        <w:rPr>
          <w:rFonts w:ascii="Arial" w:hAnsi="Arial" w:cs="Arial"/>
          <w:color w:val="231F20" w:themeColor="text2"/>
          <w:sz w:val="24"/>
          <w:szCs w:val="24"/>
        </w:rPr>
        <w:t xml:space="preserve"> services, e.g. for appointment of </w:t>
      </w:r>
      <w:r w:rsidRPr="003458D9">
        <w:rPr>
          <w:rFonts w:ascii="Arial" w:hAnsi="Arial" w:cs="Arial"/>
          <w:color w:val="231F20" w:themeColor="text2"/>
          <w:sz w:val="24"/>
          <w:szCs w:val="24"/>
        </w:rPr>
        <w:t xml:space="preserve">data </w:t>
      </w:r>
      <w:r w:rsidRPr="003458D9">
        <w:rPr>
          <w:rFonts w:ascii="Arial" w:hAnsi="Arial" w:cs="Arial"/>
          <w:color w:val="231F20" w:themeColor="text2"/>
          <w:sz w:val="24"/>
          <w:szCs w:val="24"/>
        </w:rPr>
        <w:t>services.</w:t>
      </w:r>
    </w:p>
    <w:p w14:paraId="6EC5D690" w14:textId="77777777" w:rsidR="003458D9" w:rsidRPr="003458D9" w:rsidRDefault="003458D9" w:rsidP="003458D9">
      <w:pPr>
        <w:rPr>
          <w:rFonts w:ascii="Arial" w:hAnsi="Arial" w:cs="Arial"/>
          <w:color w:val="231F20" w:themeColor="text2"/>
          <w:sz w:val="24"/>
          <w:szCs w:val="24"/>
        </w:rPr>
      </w:pPr>
    </w:p>
    <w:p w14:paraId="297A4120" w14:textId="5BE4ACCB" w:rsidR="003458D9" w:rsidRPr="003458D9" w:rsidRDefault="003458D9" w:rsidP="003458D9">
      <w:pPr>
        <w:rPr>
          <w:rFonts w:ascii="Arial" w:hAnsi="Arial" w:cs="Arial"/>
          <w:color w:val="231F20" w:themeColor="text2"/>
          <w:sz w:val="24"/>
          <w:szCs w:val="24"/>
        </w:rPr>
      </w:pPr>
      <w:r w:rsidRPr="003458D9">
        <w:rPr>
          <w:rFonts w:ascii="Arial" w:hAnsi="Arial" w:cs="Arial"/>
          <w:color w:val="231F20" w:themeColor="text2"/>
          <w:sz w:val="24"/>
          <w:szCs w:val="24"/>
        </w:rPr>
        <w:t xml:space="preserve">The consultation has an assessment of the detailed TOM design against </w:t>
      </w:r>
      <w:proofErr w:type="spellStart"/>
      <w:r w:rsidRPr="003458D9">
        <w:rPr>
          <w:rFonts w:ascii="Arial" w:hAnsi="Arial" w:cs="Arial"/>
          <w:color w:val="231F20" w:themeColor="text2"/>
          <w:sz w:val="24"/>
          <w:szCs w:val="24"/>
        </w:rPr>
        <w:t>Ofgem’s</w:t>
      </w:r>
      <w:proofErr w:type="spellEnd"/>
      <w:r w:rsidRPr="003458D9">
        <w:rPr>
          <w:rFonts w:ascii="Arial" w:hAnsi="Arial" w:cs="Arial"/>
          <w:color w:val="231F20" w:themeColor="text2"/>
          <w:sz w:val="24"/>
          <w:szCs w:val="24"/>
        </w:rPr>
        <w:t xml:space="preserve"> Design Principles. </w:t>
      </w:r>
    </w:p>
    <w:p w14:paraId="10610A42" w14:textId="77777777" w:rsidR="003458D9" w:rsidRPr="003458D9" w:rsidRDefault="003458D9" w:rsidP="003458D9">
      <w:pPr>
        <w:rPr>
          <w:rFonts w:ascii="Arial" w:hAnsi="Arial" w:cs="Arial"/>
          <w:color w:val="231F20" w:themeColor="text2"/>
          <w:sz w:val="24"/>
          <w:szCs w:val="24"/>
        </w:rPr>
      </w:pPr>
    </w:p>
    <w:p w14:paraId="52212EC2" w14:textId="3F007A4F" w:rsidR="003458D9" w:rsidRPr="003458D9" w:rsidRDefault="003458D9" w:rsidP="003458D9">
      <w:pPr>
        <w:rPr>
          <w:rFonts w:ascii="Arial" w:hAnsi="Arial" w:cs="Arial"/>
          <w:color w:val="231F20" w:themeColor="text2"/>
          <w:sz w:val="24"/>
          <w:szCs w:val="24"/>
        </w:rPr>
      </w:pPr>
      <w:r w:rsidRPr="003458D9">
        <w:rPr>
          <w:rFonts w:ascii="Arial" w:hAnsi="Arial" w:cs="Arial"/>
          <w:color w:val="231F20" w:themeColor="text2"/>
          <w:sz w:val="24"/>
          <w:szCs w:val="24"/>
        </w:rPr>
        <w:t>These include</w:t>
      </w:r>
      <w:r w:rsidRPr="003458D9">
        <w:rPr>
          <w:rFonts w:ascii="Arial" w:hAnsi="Arial" w:cs="Arial"/>
          <w:color w:val="231F20" w:themeColor="text2"/>
          <w:sz w:val="24"/>
          <w:szCs w:val="24"/>
        </w:rPr>
        <w:t>:</w:t>
      </w:r>
    </w:p>
    <w:p w14:paraId="5E0BA2EA" w14:textId="77777777" w:rsidR="003458D9" w:rsidRPr="003458D9" w:rsidRDefault="003458D9" w:rsidP="003458D9">
      <w:pPr>
        <w:pStyle w:val="ListParagraph"/>
        <w:numPr>
          <w:ilvl w:val="0"/>
          <w:numId w:val="11"/>
        </w:numPr>
        <w:rPr>
          <w:rFonts w:ascii="Arial" w:hAnsi="Arial" w:cs="Arial"/>
          <w:color w:val="231F20" w:themeColor="text2"/>
          <w:sz w:val="24"/>
          <w:szCs w:val="24"/>
        </w:rPr>
      </w:pPr>
      <w:r w:rsidRPr="003458D9">
        <w:rPr>
          <w:rFonts w:ascii="Arial" w:hAnsi="Arial" w:cs="Arial"/>
          <w:color w:val="231F20" w:themeColor="text2"/>
          <w:sz w:val="24"/>
          <w:szCs w:val="24"/>
        </w:rPr>
        <w:t xml:space="preserve">settlement timetable, </w:t>
      </w:r>
      <w:r w:rsidRPr="003458D9">
        <w:rPr>
          <w:rFonts w:ascii="Arial" w:hAnsi="Arial" w:cs="Arial"/>
          <w:color w:val="231F20" w:themeColor="text2"/>
          <w:sz w:val="24"/>
          <w:szCs w:val="24"/>
        </w:rPr>
        <w:t>data retrieval</w:t>
      </w:r>
      <w:r w:rsidRPr="003458D9">
        <w:rPr>
          <w:rFonts w:ascii="Arial" w:hAnsi="Arial" w:cs="Arial"/>
          <w:color w:val="231F20" w:themeColor="text2"/>
          <w:sz w:val="24"/>
          <w:szCs w:val="24"/>
        </w:rPr>
        <w:t xml:space="preserve">, and </w:t>
      </w:r>
      <w:r w:rsidRPr="003458D9">
        <w:rPr>
          <w:rFonts w:ascii="Arial" w:hAnsi="Arial" w:cs="Arial"/>
          <w:color w:val="231F20" w:themeColor="text2"/>
          <w:sz w:val="24"/>
          <w:szCs w:val="24"/>
        </w:rPr>
        <w:t xml:space="preserve">processing </w:t>
      </w:r>
    </w:p>
    <w:p w14:paraId="7F75CE0F" w14:textId="77777777" w:rsidR="003458D9" w:rsidRPr="003458D9" w:rsidRDefault="003458D9" w:rsidP="003458D9">
      <w:pPr>
        <w:pStyle w:val="ListParagraph"/>
        <w:numPr>
          <w:ilvl w:val="0"/>
          <w:numId w:val="11"/>
        </w:numPr>
        <w:rPr>
          <w:rFonts w:ascii="Arial" w:hAnsi="Arial" w:cs="Arial"/>
          <w:color w:val="231F20" w:themeColor="text2"/>
          <w:sz w:val="24"/>
          <w:szCs w:val="24"/>
        </w:rPr>
      </w:pPr>
      <w:proofErr w:type="gramStart"/>
      <w:r w:rsidRPr="003458D9">
        <w:rPr>
          <w:rFonts w:ascii="Arial" w:hAnsi="Arial" w:cs="Arial"/>
          <w:color w:val="231F20" w:themeColor="text2"/>
          <w:sz w:val="24"/>
          <w:szCs w:val="24"/>
        </w:rPr>
        <w:t>t</w:t>
      </w:r>
      <w:r w:rsidRPr="003458D9">
        <w:rPr>
          <w:rFonts w:ascii="Arial" w:hAnsi="Arial" w:cs="Arial"/>
          <w:color w:val="231F20" w:themeColor="text2"/>
          <w:sz w:val="24"/>
          <w:szCs w:val="24"/>
        </w:rPr>
        <w:t>he</w:t>
      </w:r>
      <w:proofErr w:type="gramEnd"/>
      <w:r w:rsidRPr="003458D9">
        <w:rPr>
          <w:rFonts w:ascii="Arial" w:hAnsi="Arial" w:cs="Arial"/>
          <w:color w:val="231F20" w:themeColor="text2"/>
          <w:sz w:val="24"/>
          <w:szCs w:val="24"/>
        </w:rPr>
        <w:t xml:space="preserve"> treatment of export</w:t>
      </w:r>
      <w:r w:rsidRPr="003458D9">
        <w:rPr>
          <w:rFonts w:ascii="Arial" w:hAnsi="Arial" w:cs="Arial"/>
          <w:color w:val="231F20" w:themeColor="text2"/>
          <w:sz w:val="24"/>
          <w:szCs w:val="24"/>
        </w:rPr>
        <w:t xml:space="preserve"> from micro</w:t>
      </w:r>
      <w:r w:rsidRPr="003458D9">
        <w:rPr>
          <w:rFonts w:ascii="Arial" w:hAnsi="Arial" w:cs="Arial"/>
          <w:color w:val="231F20" w:themeColor="text2"/>
          <w:sz w:val="24"/>
          <w:szCs w:val="24"/>
        </w:rPr>
        <w:t>generation.</w:t>
      </w:r>
    </w:p>
    <w:p w14:paraId="0F90D184" w14:textId="77777777" w:rsidR="003458D9" w:rsidRPr="003458D9" w:rsidRDefault="003458D9" w:rsidP="003458D9">
      <w:pPr>
        <w:rPr>
          <w:rFonts w:ascii="Arial" w:hAnsi="Arial" w:cs="Arial"/>
          <w:color w:val="231F20" w:themeColor="text2"/>
          <w:sz w:val="24"/>
          <w:szCs w:val="24"/>
        </w:rPr>
      </w:pPr>
      <w:r w:rsidRPr="003458D9">
        <w:rPr>
          <w:rFonts w:ascii="Arial" w:hAnsi="Arial" w:cs="Arial"/>
          <w:color w:val="231F20" w:themeColor="text2"/>
          <w:sz w:val="24"/>
          <w:szCs w:val="24"/>
        </w:rPr>
        <w:lastRenderedPageBreak/>
        <w:t xml:space="preserve">The switch over to </w:t>
      </w:r>
      <w:r w:rsidRPr="003458D9">
        <w:rPr>
          <w:rFonts w:ascii="Arial" w:hAnsi="Arial" w:cs="Arial"/>
          <w:color w:val="231F20" w:themeColor="text2"/>
          <w:sz w:val="24"/>
          <w:szCs w:val="24"/>
        </w:rPr>
        <w:t xml:space="preserve">Half Hourly Settlement </w:t>
      </w:r>
      <w:r w:rsidRPr="003458D9">
        <w:rPr>
          <w:rFonts w:ascii="Arial" w:hAnsi="Arial" w:cs="Arial"/>
          <w:color w:val="231F20" w:themeColor="text2"/>
          <w:sz w:val="24"/>
          <w:szCs w:val="24"/>
        </w:rPr>
        <w:t>would have a big impact on the BSC, which we manage</w:t>
      </w:r>
      <w:r w:rsidRPr="003458D9">
        <w:rPr>
          <w:rFonts w:ascii="Arial" w:hAnsi="Arial" w:cs="Arial"/>
          <w:color w:val="231F20" w:themeColor="text2"/>
          <w:sz w:val="24"/>
          <w:szCs w:val="24"/>
        </w:rPr>
        <w:t>,</w:t>
      </w:r>
      <w:r w:rsidRPr="003458D9">
        <w:rPr>
          <w:rFonts w:ascii="Arial" w:hAnsi="Arial" w:cs="Arial"/>
          <w:color w:val="231F20" w:themeColor="text2"/>
          <w:sz w:val="24"/>
          <w:szCs w:val="24"/>
        </w:rPr>
        <w:t xml:space="preserve"> as well as other electricity codes, such as the Smart Energy Code, Distribution and Connection</w:t>
      </w:r>
      <w:r w:rsidRPr="003458D9">
        <w:rPr>
          <w:rFonts w:ascii="Arial" w:hAnsi="Arial" w:cs="Arial"/>
          <w:color w:val="231F20" w:themeColor="text2"/>
          <w:sz w:val="24"/>
          <w:szCs w:val="24"/>
        </w:rPr>
        <w:t>.</w:t>
      </w:r>
    </w:p>
    <w:p w14:paraId="0C5A3FDF" w14:textId="77777777" w:rsidR="003458D9" w:rsidRPr="003458D9" w:rsidRDefault="003458D9" w:rsidP="003458D9">
      <w:pPr>
        <w:rPr>
          <w:rFonts w:ascii="Arial" w:hAnsi="Arial" w:cs="Arial"/>
          <w:color w:val="231F20" w:themeColor="text2"/>
          <w:sz w:val="24"/>
          <w:szCs w:val="24"/>
        </w:rPr>
      </w:pPr>
      <w:r w:rsidRPr="003458D9">
        <w:rPr>
          <w:rFonts w:ascii="Arial" w:hAnsi="Arial" w:cs="Arial"/>
          <w:color w:val="231F20" w:themeColor="text2"/>
          <w:sz w:val="24"/>
          <w:szCs w:val="24"/>
        </w:rPr>
        <w:t xml:space="preserve"> Use Agreement and Retail Energy Code. </w:t>
      </w:r>
    </w:p>
    <w:p w14:paraId="26C24496" w14:textId="77777777" w:rsidR="003458D9" w:rsidRPr="003458D9" w:rsidRDefault="003458D9" w:rsidP="003458D9">
      <w:pPr>
        <w:rPr>
          <w:rFonts w:ascii="Arial" w:hAnsi="Arial" w:cs="Arial"/>
          <w:color w:val="231F20" w:themeColor="text2"/>
          <w:sz w:val="24"/>
          <w:szCs w:val="24"/>
        </w:rPr>
      </w:pPr>
    </w:p>
    <w:p w14:paraId="656F1A98" w14:textId="47B285C2" w:rsidR="003458D9" w:rsidRPr="003458D9" w:rsidRDefault="003458D9" w:rsidP="003458D9">
      <w:pPr>
        <w:rPr>
          <w:rFonts w:ascii="Arial" w:hAnsi="Arial" w:cs="Arial"/>
          <w:color w:val="231F20" w:themeColor="text2"/>
          <w:sz w:val="24"/>
          <w:szCs w:val="24"/>
        </w:rPr>
      </w:pPr>
      <w:r w:rsidRPr="003458D9">
        <w:rPr>
          <w:rFonts w:ascii="Arial" w:hAnsi="Arial" w:cs="Arial"/>
          <w:color w:val="231F20" w:themeColor="text2"/>
          <w:sz w:val="24"/>
          <w:szCs w:val="24"/>
        </w:rPr>
        <w:t xml:space="preserve">The key changes </w:t>
      </w:r>
      <w:r w:rsidRPr="003458D9">
        <w:rPr>
          <w:rFonts w:ascii="Arial" w:hAnsi="Arial" w:cs="Arial"/>
          <w:color w:val="231F20" w:themeColor="text2"/>
          <w:sz w:val="24"/>
          <w:szCs w:val="24"/>
        </w:rPr>
        <w:t xml:space="preserve">needed </w:t>
      </w:r>
      <w:r w:rsidRPr="003458D9">
        <w:rPr>
          <w:rFonts w:ascii="Arial" w:hAnsi="Arial" w:cs="Arial"/>
          <w:color w:val="231F20" w:themeColor="text2"/>
          <w:sz w:val="24"/>
          <w:szCs w:val="24"/>
        </w:rPr>
        <w:t>are:</w:t>
      </w:r>
    </w:p>
    <w:p w14:paraId="725C30E0" w14:textId="77777777" w:rsidR="003458D9" w:rsidRPr="003458D9" w:rsidRDefault="003458D9" w:rsidP="003458D9">
      <w:pPr>
        <w:pStyle w:val="ListParagraph"/>
        <w:numPr>
          <w:ilvl w:val="0"/>
          <w:numId w:val="10"/>
        </w:numPr>
        <w:rPr>
          <w:rFonts w:ascii="Arial" w:hAnsi="Arial" w:cs="Arial"/>
          <w:color w:val="231F20" w:themeColor="text2"/>
          <w:sz w:val="24"/>
          <w:szCs w:val="24"/>
        </w:rPr>
      </w:pPr>
      <w:r w:rsidRPr="003458D9">
        <w:rPr>
          <w:rFonts w:ascii="Arial" w:hAnsi="Arial" w:cs="Arial"/>
          <w:color w:val="231F20" w:themeColor="text2"/>
          <w:sz w:val="24"/>
          <w:szCs w:val="24"/>
        </w:rPr>
        <w:t xml:space="preserve">TOM requirements for the BSC, </w:t>
      </w:r>
      <w:r w:rsidRPr="003458D9">
        <w:rPr>
          <w:rFonts w:ascii="Arial" w:hAnsi="Arial" w:cs="Arial"/>
          <w:color w:val="231F20" w:themeColor="text2"/>
          <w:sz w:val="24"/>
          <w:szCs w:val="24"/>
        </w:rPr>
        <w:t xml:space="preserve">this covers both </w:t>
      </w:r>
      <w:r w:rsidRPr="003458D9">
        <w:rPr>
          <w:rFonts w:ascii="Arial" w:hAnsi="Arial" w:cs="Arial"/>
          <w:color w:val="231F20" w:themeColor="text2"/>
          <w:sz w:val="24"/>
          <w:szCs w:val="24"/>
        </w:rPr>
        <w:t>central settlement and all market participants;</w:t>
      </w:r>
    </w:p>
    <w:p w14:paraId="55CC04A6" w14:textId="77777777" w:rsidR="003458D9" w:rsidRPr="003458D9" w:rsidRDefault="003458D9" w:rsidP="003458D9">
      <w:pPr>
        <w:pStyle w:val="ListParagraph"/>
        <w:numPr>
          <w:ilvl w:val="0"/>
          <w:numId w:val="10"/>
        </w:numPr>
        <w:rPr>
          <w:rFonts w:ascii="Arial" w:hAnsi="Arial" w:cs="Arial"/>
          <w:color w:val="231F20" w:themeColor="text2"/>
          <w:sz w:val="24"/>
          <w:szCs w:val="24"/>
        </w:rPr>
      </w:pPr>
      <w:r w:rsidRPr="003458D9">
        <w:rPr>
          <w:rFonts w:ascii="Arial" w:hAnsi="Arial" w:cs="Arial"/>
          <w:color w:val="231F20" w:themeColor="text2"/>
          <w:sz w:val="24"/>
          <w:szCs w:val="24"/>
        </w:rPr>
        <w:t>New SEC User role to access the data from the smart Meter</w:t>
      </w:r>
    </w:p>
    <w:p w14:paraId="0EDB3723" w14:textId="77777777" w:rsidR="003458D9" w:rsidRPr="003458D9" w:rsidRDefault="003458D9" w:rsidP="003458D9">
      <w:pPr>
        <w:pStyle w:val="ListParagraph"/>
        <w:numPr>
          <w:ilvl w:val="0"/>
          <w:numId w:val="10"/>
        </w:numPr>
        <w:rPr>
          <w:rFonts w:ascii="Arial" w:hAnsi="Arial" w:cs="Arial"/>
          <w:color w:val="231F20" w:themeColor="text2"/>
          <w:sz w:val="24"/>
          <w:szCs w:val="24"/>
        </w:rPr>
      </w:pPr>
      <w:r w:rsidRPr="003458D9">
        <w:rPr>
          <w:rFonts w:ascii="Arial" w:hAnsi="Arial" w:cs="Arial"/>
          <w:color w:val="231F20" w:themeColor="text2"/>
          <w:sz w:val="24"/>
          <w:szCs w:val="24"/>
        </w:rPr>
        <w:t>DCUSA changes for Unmetered Supplies</w:t>
      </w:r>
      <w:r w:rsidRPr="003458D9">
        <w:rPr>
          <w:rFonts w:ascii="Arial" w:hAnsi="Arial" w:cs="Arial"/>
          <w:color w:val="231F20" w:themeColor="text2"/>
          <w:sz w:val="24"/>
          <w:szCs w:val="24"/>
        </w:rPr>
        <w:t xml:space="preserve"> when there isn’t a meter</w:t>
      </w:r>
    </w:p>
    <w:p w14:paraId="0ADF0399" w14:textId="77777777" w:rsidR="003458D9" w:rsidRPr="003458D9" w:rsidRDefault="003458D9" w:rsidP="003458D9">
      <w:pPr>
        <w:pStyle w:val="ListParagraph"/>
        <w:numPr>
          <w:ilvl w:val="0"/>
          <w:numId w:val="10"/>
        </w:numPr>
        <w:rPr>
          <w:rFonts w:ascii="Arial" w:hAnsi="Arial" w:cs="Arial"/>
          <w:color w:val="231F20" w:themeColor="text2"/>
          <w:sz w:val="24"/>
          <w:szCs w:val="24"/>
        </w:rPr>
      </w:pPr>
      <w:r w:rsidRPr="003458D9">
        <w:rPr>
          <w:rFonts w:ascii="Arial" w:hAnsi="Arial" w:cs="Arial"/>
          <w:color w:val="231F20" w:themeColor="text2"/>
          <w:sz w:val="24"/>
          <w:szCs w:val="24"/>
        </w:rPr>
        <w:t xml:space="preserve">Registration changes to the </w:t>
      </w:r>
      <w:r w:rsidRPr="003458D9">
        <w:rPr>
          <w:rFonts w:ascii="Arial" w:hAnsi="Arial" w:cs="Arial"/>
          <w:color w:val="231F20" w:themeColor="text2"/>
          <w:sz w:val="24"/>
          <w:szCs w:val="24"/>
        </w:rPr>
        <w:t>Retail Energy Code</w:t>
      </w:r>
    </w:p>
    <w:p w14:paraId="2899BBCE" w14:textId="77777777" w:rsidR="003458D9" w:rsidRPr="003458D9" w:rsidRDefault="003458D9" w:rsidP="003458D9">
      <w:pPr>
        <w:rPr>
          <w:rFonts w:ascii="Arial" w:hAnsi="Arial" w:cs="Arial"/>
          <w:color w:val="231F20" w:themeColor="text2"/>
          <w:sz w:val="24"/>
          <w:szCs w:val="24"/>
        </w:rPr>
      </w:pPr>
      <w:r w:rsidRPr="003458D9">
        <w:rPr>
          <w:rFonts w:ascii="Arial" w:hAnsi="Arial" w:cs="Arial"/>
          <w:color w:val="231F20" w:themeColor="text2"/>
          <w:sz w:val="24"/>
          <w:szCs w:val="24"/>
        </w:rPr>
        <w:t xml:space="preserve">We will issue next year a further consultation with the </w:t>
      </w:r>
      <w:r w:rsidRPr="003458D9">
        <w:rPr>
          <w:rFonts w:ascii="Arial" w:hAnsi="Arial" w:cs="Arial"/>
          <w:color w:val="231F20" w:themeColor="text2"/>
          <w:sz w:val="24"/>
          <w:szCs w:val="24"/>
        </w:rPr>
        <w:t xml:space="preserve">actual </w:t>
      </w:r>
      <w:r w:rsidRPr="003458D9">
        <w:rPr>
          <w:rFonts w:ascii="Arial" w:hAnsi="Arial" w:cs="Arial"/>
          <w:color w:val="231F20" w:themeColor="text2"/>
          <w:sz w:val="24"/>
          <w:szCs w:val="24"/>
        </w:rPr>
        <w:t>detailed changes to the industry codes.</w:t>
      </w:r>
    </w:p>
    <w:p w14:paraId="6F48BC74" w14:textId="77777777" w:rsidR="003458D9" w:rsidRPr="003458D9" w:rsidRDefault="003458D9" w:rsidP="003458D9">
      <w:pPr>
        <w:rPr>
          <w:rFonts w:ascii="Arial" w:hAnsi="Arial" w:cs="Arial"/>
          <w:color w:val="231F20" w:themeColor="text2"/>
          <w:sz w:val="24"/>
          <w:szCs w:val="24"/>
        </w:rPr>
      </w:pPr>
    </w:p>
    <w:p w14:paraId="2CC6A2A8" w14:textId="51922956" w:rsidR="003458D9" w:rsidRPr="003458D9" w:rsidRDefault="003458D9" w:rsidP="003458D9">
      <w:pPr>
        <w:rPr>
          <w:rFonts w:ascii="Arial" w:hAnsi="Arial" w:cs="Arial"/>
          <w:color w:val="231F20" w:themeColor="text2"/>
          <w:sz w:val="24"/>
          <w:szCs w:val="24"/>
        </w:rPr>
      </w:pPr>
      <w:r w:rsidRPr="003458D9">
        <w:rPr>
          <w:rFonts w:ascii="Arial" w:hAnsi="Arial" w:cs="Arial"/>
          <w:color w:val="231F20" w:themeColor="text2"/>
          <w:sz w:val="24"/>
          <w:szCs w:val="24"/>
        </w:rPr>
        <w:t xml:space="preserve">This is your chance to have your say on these detailed design changes. We will publish the December consultation on our website - </w:t>
      </w:r>
      <w:hyperlink r:id="rId7" w:history="1">
        <w:r w:rsidRPr="003458D9">
          <w:rPr>
            <w:rStyle w:val="Hyperlink"/>
            <w:rFonts w:ascii="Arial" w:hAnsi="Arial" w:cs="Arial"/>
            <w:color w:val="231F20" w:themeColor="text2"/>
            <w:sz w:val="24"/>
            <w:szCs w:val="24"/>
          </w:rPr>
          <w:t>www.elexon.co.uk</w:t>
        </w:r>
      </w:hyperlink>
      <w:r w:rsidRPr="003458D9">
        <w:rPr>
          <w:rFonts w:ascii="Arial" w:hAnsi="Arial" w:cs="Arial"/>
          <w:color w:val="231F20" w:themeColor="text2"/>
          <w:sz w:val="24"/>
          <w:szCs w:val="24"/>
        </w:rPr>
        <w:t>. If you receive our weekly bulletin, Newscast, you will see the link there.</w:t>
      </w:r>
    </w:p>
    <w:p w14:paraId="5BD48CEC" w14:textId="77777777" w:rsidR="003458D9" w:rsidRPr="003458D9" w:rsidRDefault="003458D9" w:rsidP="003458D9">
      <w:pPr>
        <w:rPr>
          <w:rFonts w:ascii="Arial" w:hAnsi="Arial" w:cs="Arial"/>
          <w:color w:val="231F20" w:themeColor="text2"/>
          <w:sz w:val="24"/>
          <w:szCs w:val="24"/>
        </w:rPr>
      </w:pPr>
    </w:p>
    <w:p w14:paraId="5B5AD22F" w14:textId="7FAE4686" w:rsidR="003458D9" w:rsidRPr="003458D9" w:rsidRDefault="003458D9" w:rsidP="003458D9">
      <w:pPr>
        <w:rPr>
          <w:rFonts w:ascii="Arial" w:hAnsi="Arial" w:cs="Arial"/>
          <w:color w:val="231F20" w:themeColor="text2"/>
          <w:sz w:val="24"/>
          <w:szCs w:val="24"/>
        </w:rPr>
      </w:pPr>
      <w:r w:rsidRPr="003458D9">
        <w:rPr>
          <w:rFonts w:ascii="Arial" w:hAnsi="Arial" w:cs="Arial"/>
          <w:color w:val="231F20" w:themeColor="text2"/>
          <w:sz w:val="24"/>
          <w:szCs w:val="24"/>
        </w:rPr>
        <w:t>But before I go there are other things I want to mention about Half Hourly Settlement</w:t>
      </w:r>
    </w:p>
    <w:p w14:paraId="463E3608" w14:textId="77777777" w:rsidR="003458D9" w:rsidRPr="003458D9" w:rsidRDefault="003458D9" w:rsidP="003458D9">
      <w:pPr>
        <w:rPr>
          <w:rFonts w:ascii="Arial" w:hAnsi="Arial" w:cs="Arial"/>
          <w:color w:val="231F20" w:themeColor="text2"/>
          <w:sz w:val="24"/>
          <w:szCs w:val="24"/>
        </w:rPr>
      </w:pPr>
      <w:r w:rsidRPr="003458D9">
        <w:rPr>
          <w:rFonts w:ascii="Arial" w:hAnsi="Arial" w:cs="Arial"/>
          <w:color w:val="231F20" w:themeColor="text2"/>
          <w:sz w:val="24"/>
          <w:szCs w:val="24"/>
        </w:rPr>
        <w:t>We are also leading another industry group, called the Architecture Working Group (AWG). It is developing the reference architecture, which will set the framework for subsequent IT system design. The AWG consultation will be out in April 2021.</w:t>
      </w:r>
    </w:p>
    <w:p w14:paraId="0C9A67D8" w14:textId="77777777" w:rsidR="003458D9" w:rsidRPr="003458D9" w:rsidRDefault="003458D9" w:rsidP="003458D9">
      <w:pPr>
        <w:rPr>
          <w:rFonts w:ascii="Arial" w:hAnsi="Arial" w:cs="Arial"/>
          <w:color w:val="231F20" w:themeColor="text2"/>
          <w:sz w:val="24"/>
          <w:szCs w:val="24"/>
        </w:rPr>
      </w:pPr>
    </w:p>
    <w:p w14:paraId="5BABAC64" w14:textId="755B45EC" w:rsidR="003458D9" w:rsidRPr="003458D9" w:rsidRDefault="003458D9" w:rsidP="003458D9">
      <w:pPr>
        <w:rPr>
          <w:rFonts w:ascii="Arial" w:hAnsi="Arial" w:cs="Arial"/>
          <w:color w:val="231F20" w:themeColor="text2"/>
          <w:sz w:val="24"/>
          <w:szCs w:val="24"/>
        </w:rPr>
      </w:pPr>
      <w:r w:rsidRPr="003458D9">
        <w:rPr>
          <w:rFonts w:ascii="Arial" w:hAnsi="Arial" w:cs="Arial"/>
          <w:color w:val="231F20" w:themeColor="text2"/>
          <w:sz w:val="24"/>
          <w:szCs w:val="24"/>
        </w:rPr>
        <w:t xml:space="preserve">At the same time, in early 2021 we will be developing the detailed transitional requirement to Half Hourly Settlement and the approach to how we </w:t>
      </w:r>
      <w:r w:rsidRPr="003458D9">
        <w:rPr>
          <w:rFonts w:ascii="Arial" w:hAnsi="Arial" w:cs="Arial"/>
          <w:color w:val="231F20" w:themeColor="text2"/>
          <w:sz w:val="24"/>
          <w:szCs w:val="24"/>
        </w:rPr>
        <w:t>will</w:t>
      </w:r>
      <w:r w:rsidRPr="003458D9">
        <w:rPr>
          <w:rFonts w:ascii="Arial" w:hAnsi="Arial" w:cs="Arial"/>
          <w:color w:val="231F20" w:themeColor="text2"/>
          <w:sz w:val="24"/>
          <w:szCs w:val="24"/>
        </w:rPr>
        <w:t xml:space="preserve"> run off the old Settlement processes. This will be followed by a further consultation in May.</w:t>
      </w:r>
    </w:p>
    <w:p w14:paraId="7F433787" w14:textId="77777777" w:rsidR="003458D9" w:rsidRPr="003458D9" w:rsidRDefault="003458D9" w:rsidP="003458D9">
      <w:pPr>
        <w:rPr>
          <w:rFonts w:ascii="Arial" w:hAnsi="Arial" w:cs="Arial"/>
          <w:color w:val="231F20" w:themeColor="text2"/>
          <w:sz w:val="24"/>
          <w:szCs w:val="24"/>
        </w:rPr>
      </w:pPr>
    </w:p>
    <w:p w14:paraId="64017036" w14:textId="4D6A3A16" w:rsidR="003458D9" w:rsidRPr="003458D9" w:rsidRDefault="003458D9" w:rsidP="003458D9">
      <w:pPr>
        <w:rPr>
          <w:color w:val="231F20" w:themeColor="text2"/>
          <w:sz w:val="24"/>
          <w:szCs w:val="24"/>
        </w:rPr>
      </w:pPr>
      <w:r w:rsidRPr="003458D9">
        <w:rPr>
          <w:rFonts w:ascii="Arial" w:hAnsi="Arial" w:cs="Arial"/>
          <w:color w:val="231F20" w:themeColor="text2"/>
          <w:sz w:val="24"/>
          <w:szCs w:val="24"/>
        </w:rPr>
        <w:t>We really look forward to hearing from you, thank you.</w:t>
      </w:r>
    </w:p>
    <w:p w14:paraId="3D28F40C" w14:textId="77777777" w:rsidR="00DB4EC3" w:rsidRDefault="00DB4EC3" w:rsidP="00DB4EC3">
      <w:pPr>
        <w:pStyle w:val="ElexonBody"/>
      </w:pPr>
    </w:p>
    <w:sectPr w:rsidR="00DB4EC3" w:rsidSect="008345BA">
      <w:footerReference w:type="default" r:id="rId8"/>
      <w:headerReference w:type="first" r:id="rId9"/>
      <w:footerReference w:type="first" r:id="rId10"/>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732CE" w14:textId="77777777" w:rsidR="00367BE9" w:rsidRDefault="00367BE9" w:rsidP="007F1A2A">
      <w:pPr>
        <w:spacing w:after="0" w:line="240" w:lineRule="auto"/>
      </w:pPr>
      <w:r>
        <w:separator/>
      </w:r>
    </w:p>
  </w:endnote>
  <w:endnote w:type="continuationSeparator" w:id="0">
    <w:p w14:paraId="46AF0A3D" w14:textId="77777777" w:rsidR="00367BE9" w:rsidRDefault="00367BE9"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3AFB62C1" w14:textId="63B7EAFF" w:rsidR="00AC33B2" w:rsidRPr="00B36DAC" w:rsidRDefault="00B36DAC" w:rsidP="00B36DAC">
            <w:pPr>
              <w:pStyle w:val="Footer"/>
              <w:tabs>
                <w:tab w:val="clear" w:pos="9360"/>
                <w:tab w:val="right" w:pos="10490"/>
              </w:tabs>
            </w:pPr>
            <w:r w:rsidRPr="008345BA">
              <w:t xml:space="preserve">© </w:t>
            </w:r>
            <w:proofErr w:type="spellStart"/>
            <w:r w:rsidRPr="008345BA">
              <w:t>Elexon</w:t>
            </w:r>
            <w:proofErr w:type="spellEnd"/>
            <w:r w:rsidRPr="008345BA">
              <w:t xml:space="preserve"> 2020 </w:t>
            </w:r>
            <w:r>
              <w:ptab w:relativeTo="margin" w:alignment="center" w:leader="none"/>
            </w:r>
            <w:r w:rsidR="00367BE9">
              <w:fldChar w:fldCharType="begin"/>
            </w:r>
            <w:r w:rsidR="00367BE9">
              <w:instrText xml:space="preserve"> STYLEREF  Title  \* MERGEFORMAT </w:instrText>
            </w:r>
            <w:r w:rsidR="003458D9">
              <w:fldChar w:fldCharType="separate"/>
            </w:r>
            <w:r w:rsidR="003458D9">
              <w:rPr>
                <w:noProof/>
              </w:rPr>
              <w:t>Code Change and Development Group (CCDG) consultation - transcript</w:t>
            </w:r>
            <w:r w:rsidR="00367BE9">
              <w:rPr>
                <w:b/>
                <w:bCs/>
                <w:noProof/>
                <w:lang w:val="en-US"/>
              </w:rPr>
              <w:fldChar w:fldCharType="end"/>
            </w:r>
            <w:r>
              <w:tab/>
            </w:r>
            <w:r w:rsidRPr="008345BA">
              <w:t xml:space="preserve">Page </w:t>
            </w:r>
            <w:r w:rsidRPr="008345BA">
              <w:fldChar w:fldCharType="begin"/>
            </w:r>
            <w:r w:rsidRPr="008345BA">
              <w:instrText xml:space="preserve"> PAGE </w:instrText>
            </w:r>
            <w:r w:rsidRPr="008345BA">
              <w:fldChar w:fldCharType="separate"/>
            </w:r>
            <w:r w:rsidR="003458D9">
              <w:rPr>
                <w:noProof/>
              </w:rPr>
              <w:t>2</w:t>
            </w:r>
            <w:r w:rsidRPr="008345BA">
              <w:fldChar w:fldCharType="end"/>
            </w:r>
            <w:r w:rsidRPr="008345BA">
              <w:t xml:space="preserve"> of </w:t>
            </w:r>
            <w:r>
              <w:fldChar w:fldCharType="begin"/>
            </w:r>
            <w:r>
              <w:instrText xml:space="preserve"> NUMPAGES  </w:instrText>
            </w:r>
            <w:r>
              <w:fldChar w:fldCharType="separate"/>
            </w:r>
            <w:r w:rsidR="003458D9">
              <w:rPr>
                <w:noProof/>
              </w:rP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129C60AB" w14:textId="71BE7122" w:rsidR="008345BA" w:rsidRPr="008345BA" w:rsidRDefault="008345BA" w:rsidP="008345BA">
            <w:pPr>
              <w:pStyle w:val="Footer"/>
              <w:tabs>
                <w:tab w:val="clear" w:pos="9360"/>
                <w:tab w:val="right" w:pos="10490"/>
              </w:tabs>
            </w:pPr>
            <w:r w:rsidRPr="008345BA">
              <w:t xml:space="preserve">© </w:t>
            </w:r>
            <w:proofErr w:type="spellStart"/>
            <w:r w:rsidRPr="008345BA">
              <w:t>Elexon</w:t>
            </w:r>
            <w:proofErr w:type="spellEnd"/>
            <w:r w:rsidRPr="008345BA">
              <w:t xml:space="preserve"> 2020 </w:t>
            </w:r>
            <w:r w:rsidR="002857C6">
              <w:ptab w:relativeTo="margin" w:alignment="center" w:leader="none"/>
            </w:r>
            <w:fldSimple w:instr=" STYLEREF  Title  \* MERGEFORMAT ">
              <w:r w:rsidR="00C1652B">
                <w:rPr>
                  <w:noProof/>
                </w:rPr>
                <w:t>Code Change and Development Group (CCDG) consultation on MHH Settlement - transcript</w:t>
              </w:r>
            </w:fldSimple>
            <w:r>
              <w:tab/>
            </w:r>
            <w:r w:rsidRPr="008345BA">
              <w:t xml:space="preserve">Page </w:t>
            </w:r>
            <w:r w:rsidRPr="008345BA">
              <w:fldChar w:fldCharType="begin"/>
            </w:r>
            <w:r w:rsidRPr="008345BA">
              <w:instrText xml:space="preserve"> PAGE </w:instrText>
            </w:r>
            <w:r w:rsidRPr="008345BA">
              <w:fldChar w:fldCharType="separate"/>
            </w:r>
            <w:r w:rsidR="00C1652B">
              <w:rPr>
                <w:noProof/>
              </w:rPr>
              <w:t>1</w:t>
            </w:r>
            <w:r w:rsidRPr="008345BA">
              <w:fldChar w:fldCharType="end"/>
            </w:r>
            <w:r w:rsidRPr="008345BA">
              <w:t xml:space="preserve"> of </w:t>
            </w:r>
            <w:r w:rsidR="00E10AE0">
              <w:fldChar w:fldCharType="begin"/>
            </w:r>
            <w:r w:rsidR="00E10AE0">
              <w:instrText xml:space="preserve"> NUMPAGES  </w:instrText>
            </w:r>
            <w:r w:rsidR="00E10AE0">
              <w:fldChar w:fldCharType="separate"/>
            </w:r>
            <w:r w:rsidR="00C1652B">
              <w:rPr>
                <w:noProof/>
              </w:rPr>
              <w:t>2</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D5113" w14:textId="77777777" w:rsidR="00367BE9" w:rsidRDefault="00367BE9" w:rsidP="007F1A2A">
      <w:pPr>
        <w:spacing w:after="0" w:line="240" w:lineRule="auto"/>
      </w:pPr>
      <w:r>
        <w:separator/>
      </w:r>
    </w:p>
  </w:footnote>
  <w:footnote w:type="continuationSeparator" w:id="0">
    <w:p w14:paraId="6C0FE5EF" w14:textId="77777777" w:rsidR="00367BE9" w:rsidRDefault="00367BE9"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808C" w14:textId="77777777" w:rsidR="008345BA" w:rsidRDefault="008345BA">
    <w:pPr>
      <w:pStyle w:val="Header"/>
      <w:rPr>
        <w:noProof/>
      </w:rPr>
    </w:pPr>
  </w:p>
  <w:p w14:paraId="64EAD0A5" w14:textId="77777777" w:rsidR="008345BA" w:rsidRDefault="008345BA">
    <w:pPr>
      <w:pStyle w:val="Header"/>
      <w:rPr>
        <w:noProof/>
      </w:rPr>
    </w:pPr>
  </w:p>
  <w:p w14:paraId="539C00CF" w14:textId="77777777" w:rsidR="008345BA" w:rsidRDefault="008345BA">
    <w:pPr>
      <w:pStyle w:val="Header"/>
      <w:rPr>
        <w:noProof/>
      </w:rPr>
    </w:pPr>
  </w:p>
  <w:p w14:paraId="5E1D5A74" w14:textId="4DFCBF3C"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24ADC274" wp14:editId="60FE80D2">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EB135E"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A711A16" wp14:editId="22D7F478">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DAF6EC"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13F81F1B"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 w15:restartNumberingAfterBreak="0">
    <w:nsid w:val="07FD26B6"/>
    <w:multiLevelType w:val="hybridMultilevel"/>
    <w:tmpl w:val="9230B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D7E7642"/>
    <w:multiLevelType w:val="hybridMultilevel"/>
    <w:tmpl w:val="31E6BB72"/>
    <w:lvl w:ilvl="0" w:tplc="2FA8A6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7" w15:restartNumberingAfterBreak="0">
    <w:nsid w:val="599F7142"/>
    <w:multiLevelType w:val="hybridMultilevel"/>
    <w:tmpl w:val="8BE2F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10"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
  </w:num>
  <w:num w:numId="2">
    <w:abstractNumId w:val="8"/>
  </w:num>
  <w:num w:numId="3">
    <w:abstractNumId w:val="9"/>
  </w:num>
  <w:num w:numId="4">
    <w:abstractNumId w:val="10"/>
  </w:num>
  <w:num w:numId="5">
    <w:abstractNumId w:val="3"/>
  </w:num>
  <w:num w:numId="6">
    <w:abstractNumId w:val="0"/>
  </w:num>
  <w:num w:numId="7">
    <w:abstractNumId w:val="4"/>
  </w:num>
  <w:num w:numId="8">
    <w:abstractNumId w:val="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9">
    <w:abstractNumId w:val="7"/>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16282F"/>
    <w:rsid w:val="001D41F4"/>
    <w:rsid w:val="001D58BD"/>
    <w:rsid w:val="002226BD"/>
    <w:rsid w:val="002857C6"/>
    <w:rsid w:val="002E7B27"/>
    <w:rsid w:val="002F6C5F"/>
    <w:rsid w:val="003216F4"/>
    <w:rsid w:val="003411EC"/>
    <w:rsid w:val="003458D9"/>
    <w:rsid w:val="0036112A"/>
    <w:rsid w:val="00367BE9"/>
    <w:rsid w:val="003703B0"/>
    <w:rsid w:val="00531ADF"/>
    <w:rsid w:val="00535B5A"/>
    <w:rsid w:val="00555FA4"/>
    <w:rsid w:val="00593705"/>
    <w:rsid w:val="005A7D30"/>
    <w:rsid w:val="00644A7C"/>
    <w:rsid w:val="007351BE"/>
    <w:rsid w:val="007B21B5"/>
    <w:rsid w:val="007F1A2A"/>
    <w:rsid w:val="008345BA"/>
    <w:rsid w:val="00904932"/>
    <w:rsid w:val="009730CF"/>
    <w:rsid w:val="00A10A25"/>
    <w:rsid w:val="00A41C30"/>
    <w:rsid w:val="00A677F5"/>
    <w:rsid w:val="00AC33B2"/>
    <w:rsid w:val="00AD50AF"/>
    <w:rsid w:val="00B36DAC"/>
    <w:rsid w:val="00B63954"/>
    <w:rsid w:val="00BA06BC"/>
    <w:rsid w:val="00C1652B"/>
    <w:rsid w:val="00CE2CB3"/>
    <w:rsid w:val="00D03899"/>
    <w:rsid w:val="00D22419"/>
    <w:rsid w:val="00D459F5"/>
    <w:rsid w:val="00DB4EC3"/>
    <w:rsid w:val="00E10AE0"/>
    <w:rsid w:val="00EF3967"/>
    <w:rsid w:val="00F14B16"/>
    <w:rsid w:val="00F346D7"/>
    <w:rsid w:val="00F877A0"/>
    <w:rsid w:val="00FB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A11DD"/>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7"/>
      </w:numPr>
      <w:contextualSpacing/>
    </w:pPr>
  </w:style>
  <w:style w:type="paragraph" w:styleId="ListNumber">
    <w:name w:val="List Number"/>
    <w:basedOn w:val="Normal"/>
    <w:uiPriority w:val="99"/>
    <w:unhideWhenUsed/>
    <w:rsid w:val="00DB4EC3"/>
    <w:pPr>
      <w:numPr>
        <w:numId w:val="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
      </w:numPr>
    </w:pPr>
    <w:rPr>
      <w:rFonts w:cstheme="minorHAnsi"/>
      <w:color w:val="000000"/>
    </w:rPr>
  </w:style>
  <w:style w:type="numbering" w:customStyle="1" w:styleId="Elexonnumber">
    <w:name w:val="Elexon number"/>
    <w:uiPriority w:val="99"/>
    <w:rsid w:val="00DB4EC3"/>
    <w:pPr>
      <w:numPr>
        <w:numId w:val="1"/>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
      </w:numPr>
      <w:spacing w:after="120" w:line="240" w:lineRule="atLeast"/>
      <w:contextualSpacing/>
    </w:pPr>
  </w:style>
  <w:style w:type="paragraph" w:styleId="ListBullet2">
    <w:name w:val="List Bullet 2"/>
    <w:basedOn w:val="Normal"/>
    <w:uiPriority w:val="99"/>
    <w:unhideWhenUsed/>
    <w:qFormat/>
    <w:rsid w:val="00DB4EC3"/>
    <w:pPr>
      <w:numPr>
        <w:ilvl w:val="1"/>
        <w:numId w:val="4"/>
      </w:numPr>
      <w:spacing w:after="120" w:line="260" w:lineRule="atLeast"/>
      <w:contextualSpacing/>
    </w:pPr>
  </w:style>
  <w:style w:type="paragraph" w:styleId="ListBullet3">
    <w:name w:val="List Bullet 3"/>
    <w:basedOn w:val="Normal"/>
    <w:uiPriority w:val="99"/>
    <w:unhideWhenUsed/>
    <w:qFormat/>
    <w:rsid w:val="00DB4EC3"/>
    <w:pPr>
      <w:numPr>
        <w:ilvl w:val="2"/>
        <w:numId w:val="4"/>
      </w:numPr>
      <w:spacing w:after="120" w:line="240" w:lineRule="atLeast"/>
      <w:contextualSpacing/>
    </w:pPr>
  </w:style>
  <w:style w:type="paragraph" w:styleId="ListBullet4">
    <w:name w:val="List Bullet 4"/>
    <w:basedOn w:val="Normal"/>
    <w:uiPriority w:val="99"/>
    <w:unhideWhenUsed/>
    <w:qFormat/>
    <w:rsid w:val="00DB4EC3"/>
    <w:pPr>
      <w:numPr>
        <w:ilvl w:val="3"/>
        <w:numId w:val="4"/>
      </w:numPr>
      <w:spacing w:after="120" w:line="260" w:lineRule="atLeast"/>
      <w:contextualSpacing/>
    </w:pPr>
  </w:style>
  <w:style w:type="paragraph" w:styleId="ListBullet5">
    <w:name w:val="List Bullet 5"/>
    <w:basedOn w:val="Normal"/>
    <w:uiPriority w:val="99"/>
    <w:unhideWhenUsed/>
    <w:rsid w:val="00DB4EC3"/>
    <w:pPr>
      <w:numPr>
        <w:ilvl w:val="4"/>
        <w:numId w:val="5"/>
      </w:numPr>
      <w:contextualSpacing/>
    </w:pPr>
  </w:style>
  <w:style w:type="numbering" w:customStyle="1" w:styleId="ElexonBullets">
    <w:name w:val="Elexon Bullets"/>
    <w:uiPriority w:val="99"/>
    <w:rsid w:val="00D459F5"/>
    <w:pPr>
      <w:numPr>
        <w:numId w:val="2"/>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paragraph" w:styleId="ListParagraph">
    <w:name w:val="List Paragraph"/>
    <w:basedOn w:val="Normal"/>
    <w:qFormat/>
    <w:rsid w:val="003458D9"/>
    <w:pPr>
      <w:spacing w:after="160" w:line="256" w:lineRule="auto"/>
      <w:ind w:left="720"/>
      <w:contextualSpacing/>
    </w:pPr>
    <w:rPr>
      <w:sz w:val="22"/>
    </w:rPr>
  </w:style>
  <w:style w:type="character" w:styleId="Emphasis">
    <w:name w:val="Emphasis"/>
    <w:basedOn w:val="DefaultParagraphFont"/>
    <w:uiPriority w:val="20"/>
    <w:qFormat/>
    <w:rsid w:val="003458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exon.co.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2863DC"/>
    <w:rsid w:val="005D61FB"/>
    <w:rsid w:val="0062394E"/>
    <w:rsid w:val="006D617C"/>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Change and Development Group (CCDG) consultation on MHH Settlement - transcript</dc:title>
  <dc:subject/>
  <dc:creator>Nick Coomber</dc:creator>
  <cp:keywords/>
  <dc:description/>
  <cp:lastModifiedBy>James Doherty</cp:lastModifiedBy>
  <cp:revision>3</cp:revision>
  <dcterms:created xsi:type="dcterms:W3CDTF">2020-12-17T16:51:00Z</dcterms:created>
  <dcterms:modified xsi:type="dcterms:W3CDTF">2020-12-17T16:52:00Z</dcterms:modified>
</cp:coreProperties>
</file>