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bookmarkStart w:id="0" w:name="_GoBack"/>
            <w:bookmarkEnd w:id="0"/>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009B7B08">
        <w:trPr>
          <w:trHeight w:val="159"/>
        </w:trPr>
        <w:tc>
          <w:tcPr>
            <w:tcW w:w="2297" w:type="dxa"/>
            <w:tcBorders>
              <w:top w:val="single" w:sz="36" w:space="0" w:color="0090AB" w:themeColor="text2"/>
            </w:tcBorders>
            <w:shd w:val="clear" w:color="auto" w:fill="FFFFFF" w:themeFill="background1"/>
          </w:tcPr>
          <w:p w14:paraId="416AE0B4" w14:textId="77777777" w:rsidR="00E35428" w:rsidRDefault="00E35428" w:rsidP="009B7B08">
            <w:pPr>
              <w:pStyle w:val="1pt"/>
            </w:pPr>
          </w:p>
        </w:tc>
        <w:tc>
          <w:tcPr>
            <w:tcW w:w="284" w:type="dxa"/>
            <w:shd w:val="clear" w:color="auto" w:fill="FFFFFF" w:themeFill="background1"/>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1"/>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1"/>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1"/>
          </w:tcPr>
          <w:p w14:paraId="3536BB6C" w14:textId="77777777" w:rsidR="00E35428" w:rsidRPr="009845EB" w:rsidRDefault="00E35428" w:rsidP="009B7B08">
            <w:pPr>
              <w:pStyle w:val="1pt"/>
            </w:pPr>
          </w:p>
        </w:tc>
      </w:tr>
      <w:tr w:rsidR="00E35428" w14:paraId="7DCEE680" w14:textId="77777777" w:rsidTr="009B7B08">
        <w:trPr>
          <w:trHeight w:val="357"/>
        </w:trPr>
        <w:tc>
          <w:tcPr>
            <w:tcW w:w="2297" w:type="dxa"/>
            <w:shd w:val="clear" w:color="auto" w:fill="FFFFFF" w:themeFill="background1"/>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009B7B08">
        <w:trPr>
          <w:trHeight w:val="295"/>
        </w:trPr>
        <w:tc>
          <w:tcPr>
            <w:tcW w:w="2297" w:type="dxa"/>
            <w:shd w:val="clear" w:color="auto" w:fill="FFFFFF" w:themeFill="background1"/>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14:paraId="5A667FBF" w14:textId="77777777" w:rsidR="00E35428" w:rsidRDefault="00E35428" w:rsidP="009B7B08">
            <w:pPr>
              <w:pStyle w:val="Footer"/>
            </w:pPr>
          </w:p>
        </w:tc>
        <w:tc>
          <w:tcPr>
            <w:tcW w:w="2714" w:type="dxa"/>
            <w:shd w:val="clear" w:color="auto" w:fill="FFFFFF" w:themeFill="background1"/>
          </w:tcPr>
          <w:p w14:paraId="293F9868" w14:textId="77777777" w:rsidR="00E35428" w:rsidRDefault="008773FE" w:rsidP="00CB6FE5">
            <w:pPr>
              <w:pStyle w:val="FooterDate"/>
              <w:framePr w:hSpace="0" w:wrap="auto" w:vAnchor="margin" w:hAnchor="text" w:yAlign="inline"/>
              <w:suppressOverlap w:val="0"/>
            </w:pPr>
            <w:r>
              <w:t>13 January 2020</w:t>
            </w:r>
          </w:p>
        </w:tc>
        <w:tc>
          <w:tcPr>
            <w:tcW w:w="7656" w:type="dxa"/>
            <w:shd w:val="clear" w:color="auto" w:fill="FFFFFF" w:themeFill="background1"/>
          </w:tcPr>
          <w:p w14:paraId="07C69557" w14:textId="2E042692" w:rsidR="00E35428" w:rsidRDefault="00E35428" w:rsidP="009B7B08">
            <w:pPr>
              <w:pStyle w:val="Footer"/>
            </w:pPr>
            <w:r>
              <w:t xml:space="preserve">© ELEXON </w:t>
            </w:r>
            <w:r>
              <w:fldChar w:fldCharType="begin"/>
            </w:r>
            <w:r>
              <w:instrText xml:space="preserve"> DATE  \@ "yyyy" </w:instrText>
            </w:r>
            <w:r>
              <w:fldChar w:fldCharType="separate"/>
            </w:r>
            <w:r w:rsidR="009E639D">
              <w:rPr>
                <w:noProof/>
              </w:rPr>
              <w:t>2020</w:t>
            </w:r>
            <w:r>
              <w:fldChar w:fldCharType="end"/>
            </w:r>
          </w:p>
        </w:tc>
        <w:tc>
          <w:tcPr>
            <w:tcW w:w="2301" w:type="dxa"/>
            <w:vMerge/>
            <w:shd w:val="clear" w:color="auto" w:fill="FFFFFF" w:themeFill="background1"/>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08B19A4A" w:rsidR="00E82CAF" w:rsidRDefault="00E82CAF" w:rsidP="00E82CAF">
      <w:pPr>
        <w:pStyle w:val="BodyText"/>
      </w:pPr>
      <w:r>
        <w:t xml:space="preserve">Please send your responses by </w:t>
      </w:r>
      <w:r w:rsidR="001A690B" w:rsidRPr="004B3CC8">
        <w:rPr>
          <w:b/>
          <w:color w:val="auto"/>
        </w:rPr>
        <w:t>1</w:t>
      </w:r>
      <w:r w:rsidR="004B3CC8" w:rsidRPr="004B3CC8">
        <w:rPr>
          <w:b/>
          <w:color w:val="auto"/>
        </w:rPr>
        <w:t>7</w:t>
      </w:r>
      <w:r w:rsidRPr="004B3CC8">
        <w:rPr>
          <w:b/>
          <w:color w:val="auto"/>
        </w:rPr>
        <w:t>:00 on</w:t>
      </w:r>
      <w:r w:rsidRPr="004B3CC8">
        <w:rPr>
          <w:color w:val="auto"/>
        </w:rPr>
        <w:t xml:space="preserve"> </w:t>
      </w:r>
      <w:r w:rsidRPr="004B3CC8">
        <w:rPr>
          <w:b/>
          <w:color w:val="auto"/>
        </w:rPr>
        <w:t xml:space="preserve">Tuesday </w:t>
      </w:r>
      <w:r w:rsidR="008D5CE4">
        <w:rPr>
          <w:b/>
          <w:color w:val="auto"/>
        </w:rPr>
        <w:t>21 January 2020</w:t>
      </w:r>
      <w:r w:rsidRPr="003474C5">
        <w:rPr>
          <w:color w:val="FF0000"/>
        </w:rPr>
        <w:t xml:space="preserve"> </w:t>
      </w:r>
      <w:r>
        <w:t xml:space="preserve">to </w:t>
      </w:r>
      <w:hyperlink r:id="rId9"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14:paraId="3EF82208" w14:textId="77777777" w:rsidR="00E82CAF" w:rsidRDefault="00E82CAF" w:rsidP="00E82CAF">
      <w:pPr>
        <w:pStyle w:val="BodyText"/>
      </w:pPr>
      <w:r>
        <w:t xml:space="preserve">Any queries on the content of the consultation proforma should be addressed to BSC Helpdesk on </w:t>
      </w:r>
      <w:r w:rsidRPr="00FB7744">
        <w:t>0</w:t>
      </w:r>
      <w:r>
        <w:t>3</w:t>
      </w:r>
      <w:r w:rsidRPr="00FB7744">
        <w:t>70 010 6950</w:t>
      </w:r>
      <w:r>
        <w:t xml:space="preserve">, or to </w:t>
      </w:r>
      <w:hyperlink r:id="rId10"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(Supplier/Generator/ Trader / Consolidator / Exemptable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004B3CC8">
        <w:trPr>
          <w:cantSplit/>
          <w:tblHeader/>
        </w:trPr>
        <w:tc>
          <w:tcPr>
            <w:tcW w:w="426" w:type="dxa"/>
          </w:tcPr>
          <w:p w14:paraId="789512BF" w14:textId="77777777" w:rsidR="002D1E75" w:rsidRDefault="002D1E75" w:rsidP="00F028A2">
            <w:pPr>
              <w:pStyle w:val="ELEXONBody"/>
              <w:spacing w:after="0"/>
              <w:rPr>
                <w:b/>
              </w:rPr>
            </w:pPr>
            <w:r>
              <w:rPr>
                <w:b/>
              </w:rPr>
              <w:lastRenderedPageBreak/>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004B3CC8">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2F966E7F" w:rsidR="002D1E75" w:rsidRDefault="002D1E75" w:rsidP="00F028A2">
            <w:pPr>
              <w:spacing w:after="120"/>
            </w:pPr>
            <w:r>
              <w:t xml:space="preserve">Do </w:t>
            </w:r>
            <w:r w:rsidRPr="007E644C">
              <w:t xml:space="preserve">you agree with the proposal to </w:t>
            </w:r>
            <w:r w:rsidR="004B3CC8">
              <w:t>de</w:t>
            </w:r>
            <w:r w:rsidR="00034419">
              <w:t xml:space="preserve">crease </w:t>
            </w:r>
            <w:r>
              <w:t xml:space="preserve">the Credit Assessment Price (CAP) </w:t>
            </w:r>
            <w:r w:rsidRPr="009251F4">
              <w:t xml:space="preserve">to </w:t>
            </w:r>
            <w:r w:rsidRPr="004B3CC8">
              <w:rPr>
                <w:b/>
                <w:color w:val="auto"/>
              </w:rPr>
              <w:t>£</w:t>
            </w:r>
            <w:r w:rsidR="004B3CC8" w:rsidRPr="004B3CC8">
              <w:rPr>
                <w:b/>
                <w:color w:val="auto"/>
              </w:rPr>
              <w:t>4</w:t>
            </w:r>
            <w:r w:rsidR="00F22476">
              <w:rPr>
                <w:b/>
                <w:color w:val="auto"/>
              </w:rPr>
              <w:t>1</w:t>
            </w:r>
            <w:r w:rsidRPr="004B3CC8">
              <w:rPr>
                <w:b/>
                <w:color w:val="auto"/>
              </w:rPr>
              <w:t>/MWh</w:t>
            </w:r>
            <w:r w:rsidRPr="005C283C">
              <w:rPr>
                <w:b/>
                <w:color w:val="auto"/>
              </w:rPr>
              <w:t xml:space="preserve"> </w:t>
            </w:r>
            <w:r>
              <w:t>based on current level of the Reference Price</w:t>
            </w:r>
            <w:r w:rsidRPr="00E072AF">
              <w:t>?</w:t>
            </w:r>
          </w:p>
          <w:p w14:paraId="74110BD9" w14:textId="77777777" w:rsidR="002D1E75" w:rsidRDefault="002D1E75" w:rsidP="00F028A2">
            <w:pPr>
              <w:spacing w:after="120"/>
            </w:pPr>
            <w:r>
              <w:t>(Note: the Credit Committee will meet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004B3CC8">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2D1E75" w14:paraId="15172BF5" w14:textId="77777777" w:rsidTr="004B3CC8">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34FB5" w14:textId="77777777" w:rsidR="004B0638" w:rsidRDefault="004B0638" w:rsidP="00D00160">
      <w:pPr>
        <w:spacing w:after="0"/>
      </w:pPr>
      <w:r>
        <w:separator/>
      </w:r>
    </w:p>
    <w:p w14:paraId="30E5BD61" w14:textId="77777777" w:rsidR="004B0638" w:rsidRDefault="004B0638"/>
    <w:p w14:paraId="789EF7EB" w14:textId="77777777" w:rsidR="004B0638" w:rsidRDefault="004B0638"/>
  </w:endnote>
  <w:endnote w:type="continuationSeparator" w:id="0">
    <w:p w14:paraId="7D8E880F" w14:textId="77777777" w:rsidR="004B0638" w:rsidRDefault="004B0638" w:rsidP="00D00160">
      <w:pPr>
        <w:spacing w:after="0"/>
      </w:pPr>
      <w:r>
        <w:continuationSeparator/>
      </w:r>
    </w:p>
    <w:p w14:paraId="6006B151" w14:textId="77777777" w:rsidR="004B0638" w:rsidRDefault="004B0638"/>
    <w:p w14:paraId="7BCD52A7" w14:textId="77777777" w:rsidR="004B0638" w:rsidRDefault="004B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00FD6587">
      <w:trPr>
        <w:trHeight w:val="159"/>
      </w:trPr>
      <w:tc>
        <w:tcPr>
          <w:tcW w:w="2297" w:type="dxa"/>
          <w:tcBorders>
            <w:top w:val="single" w:sz="36" w:space="0" w:color="0090AB" w:themeColor="text2"/>
          </w:tcBorders>
          <w:shd w:val="clear" w:color="auto" w:fill="FFFFFF" w:themeFill="background1"/>
        </w:tcPr>
        <w:p w14:paraId="031882CF" w14:textId="77777777" w:rsidR="00574A07" w:rsidRDefault="00574A07" w:rsidP="00FD6587">
          <w:pPr>
            <w:pStyle w:val="1pt"/>
          </w:pPr>
        </w:p>
      </w:tc>
      <w:tc>
        <w:tcPr>
          <w:tcW w:w="284" w:type="dxa"/>
          <w:shd w:val="clear" w:color="auto" w:fill="FFFFFF" w:themeFill="background1"/>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1"/>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1"/>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1"/>
        </w:tcPr>
        <w:p w14:paraId="54284EBB" w14:textId="77777777" w:rsidR="00574A07" w:rsidRPr="009845EB" w:rsidRDefault="00574A07" w:rsidP="00FD6587">
          <w:pPr>
            <w:pStyle w:val="1pt"/>
          </w:pPr>
        </w:p>
      </w:tc>
    </w:tr>
    <w:tr w:rsidR="00574A07" w14:paraId="22E6F44D" w14:textId="77777777" w:rsidTr="00FD6587">
      <w:trPr>
        <w:trHeight w:val="357"/>
      </w:trPr>
      <w:tc>
        <w:tcPr>
          <w:tcW w:w="2297" w:type="dxa"/>
          <w:shd w:val="clear" w:color="auto" w:fill="FFFFFF" w:themeFill="background1"/>
        </w:tcPr>
        <w:p w14:paraId="13CE4248" w14:textId="7FA70672"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9E639D">
            <w:rPr>
              <w:noProof/>
            </w:rPr>
            <w:t>Proposed change to the Credit Assessment Price</w:t>
          </w:r>
          <w:r>
            <w:rPr>
              <w:noProof/>
            </w:rPr>
            <w:fldChar w:fldCharType="end"/>
          </w:r>
        </w:p>
      </w:tc>
      <w:tc>
        <w:tcPr>
          <w:tcW w:w="284" w:type="dxa"/>
          <w:shd w:val="clear" w:color="auto" w:fill="FFFFFF" w:themeFill="background1"/>
        </w:tcPr>
        <w:p w14:paraId="6AD18963" w14:textId="77777777" w:rsidR="00574A07" w:rsidRDefault="00574A07" w:rsidP="00FD6587">
          <w:pPr>
            <w:pStyle w:val="Footer"/>
          </w:pPr>
        </w:p>
      </w:tc>
      <w:tc>
        <w:tcPr>
          <w:tcW w:w="2714" w:type="dxa"/>
          <w:shd w:val="clear" w:color="auto" w:fill="FFFFFF" w:themeFill="background1"/>
        </w:tcPr>
        <w:p w14:paraId="039094E1" w14:textId="6E016A51"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9E639D">
            <w:rPr>
              <w:noProof/>
            </w:rPr>
            <w:t>Public</w:t>
          </w:r>
          <w:r>
            <w:rPr>
              <w:noProof/>
            </w:rPr>
            <w:fldChar w:fldCharType="end"/>
          </w:r>
        </w:p>
      </w:tc>
      <w:tc>
        <w:tcPr>
          <w:tcW w:w="7656" w:type="dxa"/>
          <w:shd w:val="clear" w:color="auto" w:fill="FFFFFF" w:themeFill="background1"/>
        </w:tcPr>
        <w:p w14:paraId="5CAC1D3B" w14:textId="2E6C8819"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00FD6587">
      <w:trPr>
        <w:trHeight w:val="295"/>
      </w:trPr>
      <w:tc>
        <w:tcPr>
          <w:tcW w:w="2297" w:type="dxa"/>
          <w:shd w:val="clear" w:color="auto" w:fill="FFFFFF" w:themeFill="background1"/>
        </w:tcPr>
        <w:p w14:paraId="1136EF03" w14:textId="585F0A4B"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9E639D">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9E639D">
            <w:rPr>
              <w:noProof/>
            </w:rPr>
            <w:t>2</w:t>
          </w:r>
          <w:r w:rsidR="0078034E">
            <w:rPr>
              <w:noProof/>
            </w:rPr>
            <w:fldChar w:fldCharType="end"/>
          </w:r>
        </w:p>
      </w:tc>
      <w:tc>
        <w:tcPr>
          <w:tcW w:w="284" w:type="dxa"/>
          <w:shd w:val="clear" w:color="auto" w:fill="FFFFFF" w:themeFill="background1"/>
        </w:tcPr>
        <w:p w14:paraId="037C130C" w14:textId="77777777" w:rsidR="00574A07" w:rsidRDefault="00574A07" w:rsidP="00FD6587">
          <w:pPr>
            <w:pStyle w:val="Footer"/>
          </w:pPr>
        </w:p>
      </w:tc>
      <w:tc>
        <w:tcPr>
          <w:tcW w:w="2714" w:type="dxa"/>
          <w:shd w:val="clear" w:color="auto" w:fill="FFFFFF" w:themeFill="background1"/>
        </w:tcPr>
        <w:p w14:paraId="49F35560" w14:textId="0B8E57E6"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9E639D">
            <w:rPr>
              <w:noProof/>
            </w:rPr>
            <w:t>13 January 2020</w:t>
          </w:r>
          <w:r>
            <w:rPr>
              <w:noProof/>
            </w:rPr>
            <w:fldChar w:fldCharType="end"/>
          </w:r>
        </w:p>
      </w:tc>
      <w:tc>
        <w:tcPr>
          <w:tcW w:w="7656" w:type="dxa"/>
          <w:shd w:val="clear" w:color="auto" w:fill="FFFFFF" w:themeFill="background1"/>
        </w:tcPr>
        <w:p w14:paraId="171F2F8D" w14:textId="76C64B3B" w:rsidR="00574A07" w:rsidRDefault="00574A07" w:rsidP="00FD6587">
          <w:pPr>
            <w:pStyle w:val="Footer"/>
          </w:pPr>
          <w:r>
            <w:t xml:space="preserve">© ELEXON </w:t>
          </w:r>
          <w:r>
            <w:fldChar w:fldCharType="begin"/>
          </w:r>
          <w:r>
            <w:instrText xml:space="preserve"> DATE  \@ "yyyy" </w:instrText>
          </w:r>
          <w:r>
            <w:fldChar w:fldCharType="separate"/>
          </w:r>
          <w:r w:rsidR="009E639D">
            <w:rPr>
              <w:noProof/>
            </w:rPr>
            <w:t>2020</w:t>
          </w:r>
          <w:r>
            <w:fldChar w:fldCharType="end"/>
          </w:r>
        </w:p>
      </w:tc>
      <w:tc>
        <w:tcPr>
          <w:tcW w:w="2301" w:type="dxa"/>
          <w:vMerge/>
          <w:shd w:val="clear" w:color="auto" w:fill="FFFFFF" w:themeFill="background1"/>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6E52" w14:textId="77777777" w:rsidR="004B0638" w:rsidRDefault="004B0638" w:rsidP="00D00160">
      <w:pPr>
        <w:spacing w:after="0"/>
      </w:pPr>
      <w:r>
        <w:separator/>
      </w:r>
    </w:p>
    <w:p w14:paraId="195D09D2" w14:textId="77777777" w:rsidR="004B0638" w:rsidRDefault="004B0638"/>
    <w:p w14:paraId="214E8273" w14:textId="77777777" w:rsidR="004B0638" w:rsidRDefault="004B0638"/>
  </w:footnote>
  <w:footnote w:type="continuationSeparator" w:id="0">
    <w:p w14:paraId="04D168F7" w14:textId="77777777" w:rsidR="004B0638" w:rsidRDefault="004B0638" w:rsidP="00D00160">
      <w:pPr>
        <w:spacing w:after="0"/>
      </w:pPr>
      <w:r>
        <w:continuationSeparator/>
      </w:r>
    </w:p>
    <w:p w14:paraId="70B47F47" w14:textId="77777777" w:rsidR="004B0638" w:rsidRDefault="004B0638"/>
    <w:p w14:paraId="5783C5CC" w14:textId="77777777" w:rsidR="004B0638" w:rsidRDefault="004B06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643FCD4A"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9E639D">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638"/>
    <w:rsid w:val="004B0A42"/>
    <w:rsid w:val="004B3CC8"/>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67A7"/>
    <w:rsid w:val="009845EB"/>
    <w:rsid w:val="009933A5"/>
    <w:rsid w:val="009A2B72"/>
    <w:rsid w:val="009B0B9A"/>
    <w:rsid w:val="009B55EE"/>
    <w:rsid w:val="009C201C"/>
    <w:rsid w:val="009C60D0"/>
    <w:rsid w:val="009D47D6"/>
    <w:rsid w:val="009E60A3"/>
    <w:rsid w:val="009E639D"/>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13%20January%202020"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 w:val="00E8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38CD-D1BB-4976-876B-EA6AC463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 Consultation Porforma (16 December 2019)</vt:lpstr>
    </vt:vector>
  </TitlesOfParts>
  <Company>Elexon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(January 2020)</dc:title>
  <dc:subject>Trading Parties are invited to respond to this consultation, expressing their views or providing evidence of the matters within the consultation document.Responses required by 17:00 on 24 December 2019.</dc:subject>
  <dc:creator>Yannis.Kalligeros@elexon.co.uk</dc:creator>
  <cp:lastModifiedBy>James Doherty</cp:lastModifiedBy>
  <cp:revision>2</cp:revision>
  <cp:lastPrinted>2014-02-10T12:24:00Z</cp:lastPrinted>
  <dcterms:created xsi:type="dcterms:W3CDTF">2020-01-13T13:04:00Z</dcterms:created>
  <dcterms:modified xsi:type="dcterms:W3CDTF">2020-01-13T13:04:00Z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