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4225157"/>
        <w:docPartObj>
          <w:docPartGallery w:val="Cover Pages"/>
          <w:docPartUnique/>
        </w:docPartObj>
      </w:sdtPr>
      <w:sdtEndPr>
        <w:rPr>
          <w:rStyle w:val="Strong"/>
          <w:b/>
          <w:bCs/>
          <w:color w:val="00008B" w:themeColor="text1"/>
          <w:szCs w:val="18"/>
        </w:rPr>
      </w:sdtEndPr>
      <w:sdtContent>
        <w:p w:rsidR="00C16E52" w:rsidRPr="00892B30" w:rsidRDefault="00E174AA" w:rsidP="00D72E14">
          <w:pPr>
            <w:rPr>
              <w:b/>
              <w:bCs/>
              <w:noProof/>
              <w:color w:val="00008B" w:themeColor="text1"/>
              <w:szCs w:val="18"/>
            </w:rPr>
          </w:pPr>
          <w:r>
            <w:rPr>
              <w:b/>
              <w:bCs/>
              <w:noProof/>
              <w:color w:val="00008B" w:themeColor="text1"/>
              <w:szCs w:val="18"/>
              <w:lang w:eastAsia="en-GB"/>
            </w:rPr>
            <mc:AlternateContent>
              <mc:Choice Requires="wps">
                <w:drawing>
                  <wp:anchor distT="0" distB="0" distL="114300" distR="114300" simplePos="0" relativeHeight="251658239" behindDoc="1" locked="0" layoutInCell="1" allowOverlap="1" wp14:anchorId="7FA5F371" wp14:editId="3412F54D">
                    <wp:simplePos x="0" y="0"/>
                    <wp:positionH relativeFrom="column">
                      <wp:posOffset>-5080</wp:posOffset>
                    </wp:positionH>
                    <wp:positionV relativeFrom="paragraph">
                      <wp:posOffset>-5080</wp:posOffset>
                    </wp:positionV>
                    <wp:extent cx="6695440" cy="9827895"/>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695440" cy="9827895"/>
                            </a:xfrm>
                            <a:prstGeom prst="rect">
                              <a:avLst/>
                            </a:prstGeom>
                            <a:solidFill>
                              <a:srgbClr val="D4CDC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E14" w:rsidRPr="00D72E14" w:rsidRDefault="00D72E14" w:rsidP="00D72E14"/>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7FA5F371" id="_x0000_t202" coordsize="21600,21600" o:spt="202" path="m,l,21600r21600,l21600,xe">
                    <v:stroke joinstyle="miter"/>
                    <v:path gradientshapeok="t" o:connecttype="rect"/>
                  </v:shapetype>
                  <v:shape id="Text Box 196" o:spid="_x0000_s1026" type="#_x0000_t202" style="position:absolute;margin-left:-.4pt;margin-top:-.4pt;width:527.2pt;height:773.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" fillcolor="#d4cdc1" stroked="f" strokeweight=".5pt">
                    <v:textbox inset="36pt,7.2pt,36pt,7.2pt">
                      <w:txbxContent>
                        <w:p w:rsidR="00D72E14" w:rsidRPr="00D72E14" w:rsidRDefault="00D72E14" w:rsidP="00D72E14"/>
                      </w:txbxContent>
                    </v:textbox>
                  </v:shape>
                </w:pict>
              </mc:Fallback>
            </mc:AlternateContent>
          </w:r>
          <w:r w:rsidR="00C16E52" w:rsidRPr="00892B30">
            <w:rPr>
              <w:b/>
              <w:bCs/>
              <w:noProof/>
              <w:color w:val="00008B" w:themeColor="text1"/>
              <w:szCs w:val="18"/>
              <w:lang w:eastAsia="en-GB"/>
            </w:rPr>
            <mc:AlternateContent>
              <mc:Choice Requires="wpg">
                <w:drawing>
                  <wp:anchor distT="0" distB="0" distL="114300" distR="114300" simplePos="0" relativeHeight="251660288" behindDoc="1" locked="0" layoutInCell="1" allowOverlap="1" wp14:anchorId="3B8CB6B2" wp14:editId="116727F2">
                    <wp:simplePos x="0" y="0"/>
                    <wp:positionH relativeFrom="page">
                      <wp:align>left</wp:align>
                    </wp:positionH>
                    <wp:positionV relativeFrom="page">
                      <wp:align>top</wp:align>
                    </wp:positionV>
                    <wp:extent cx="7563600" cy="2685600"/>
                    <wp:effectExtent l="0" t="0" r="0" b="635"/>
                    <wp:wrapNone/>
                    <wp:docPr id="13" name="Group 13"/>
                    <wp:cNvGraphicFramePr/>
                    <a:graphic xmlns:a="http://schemas.openxmlformats.org/drawingml/2006/main">
                      <a:graphicData uri="http://schemas.microsoft.com/office/word/2010/wordprocessingGroup">
                        <wpg:wgp>
                          <wpg:cNvGrpSpPr/>
                          <wpg:grpSpPr>
                            <a:xfrm>
                              <a:off x="0" y="0"/>
                              <a:ext cx="7563600" cy="2685600"/>
                              <a:chOff x="0" y="0"/>
                              <a:chExt cx="7563557" cy="2684287"/>
                            </a:xfrm>
                          </wpg:grpSpPr>
                          <wps:wsp>
                            <wps:cNvPr id="10" name="Freeform: Shape 10"/>
                            <wps:cNvSpPr/>
                            <wps:spPr>
                              <a:xfrm>
                                <a:off x="0" y="0"/>
                                <a:ext cx="7563557" cy="2684287"/>
                              </a:xfrm>
                              <a:custGeom>
                                <a:avLst/>
                                <a:gdLst>
                                  <a:gd name="connsiteX0" fmla="*/ 7563233 w 7563232"/>
                                  <a:gd name="connsiteY0" fmla="*/ 0 h 2683892"/>
                                  <a:gd name="connsiteX1" fmla="*/ 0 w 7563232"/>
                                  <a:gd name="connsiteY1" fmla="*/ 0 h 2683892"/>
                                  <a:gd name="connsiteX2" fmla="*/ 0 w 7563232"/>
                                  <a:gd name="connsiteY2" fmla="*/ 2437719 h 2683892"/>
                                  <a:gd name="connsiteX3" fmla="*/ 3530686 w 7563232"/>
                                  <a:gd name="connsiteY3" fmla="*/ 2437719 h 2683892"/>
                                  <a:gd name="connsiteX4" fmla="*/ 3781617 w 7563232"/>
                                  <a:gd name="connsiteY4" fmla="*/ 2683893 h 2683892"/>
                                  <a:gd name="connsiteX5" fmla="*/ 4032420 w 7563232"/>
                                  <a:gd name="connsiteY5" fmla="*/ 2437719 h 2683892"/>
                                  <a:gd name="connsiteX6" fmla="*/ 7563233 w 7563232"/>
                                  <a:gd name="connsiteY6" fmla="*/ 2437719 h 2683892"/>
                                  <a:gd name="connsiteX7" fmla="*/ 7563233 w 7563232"/>
                                  <a:gd name="connsiteY7" fmla="*/ 0 h 2683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63232" h="2683892">
                                    <a:moveTo>
                                      <a:pt x="7563233" y="0"/>
                                    </a:moveTo>
                                    <a:lnTo>
                                      <a:pt x="0" y="0"/>
                                    </a:lnTo>
                                    <a:lnTo>
                                      <a:pt x="0" y="2437719"/>
                                    </a:lnTo>
                                    <a:lnTo>
                                      <a:pt x="3530686" y="2437719"/>
                                    </a:lnTo>
                                    <a:lnTo>
                                      <a:pt x="3781617" y="2683893"/>
                                    </a:lnTo>
                                    <a:lnTo>
                                      <a:pt x="4032420" y="2437719"/>
                                    </a:lnTo>
                                    <a:lnTo>
                                      <a:pt x="7563233" y="2437719"/>
                                    </a:lnTo>
                                    <a:lnTo>
                                      <a:pt x="7563233" y="0"/>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raphic 1"/>
                            <wps:cNvSpPr/>
                            <wps:spPr>
                              <a:xfrm>
                                <a:off x="429986" y="429986"/>
                                <a:ext cx="6699600" cy="9072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2DCAA" id="Group 13" o:spid="_x0000_s1026" style="position:absolute;margin-left:0;margin-top:0;width:595.55pt;height:211.45pt;z-index:-251656192;mso-position-horizontal:left;mso-position-horizontal-relative:page;mso-position-vertical:top;mso-position-vertical-relative:page;mso-width-relative:margin;mso-height-relative:margin" coordsize="75635,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">
                    <v:shape id="Freeform: Shape 10" o:spid="_x0000_s1027" style="position:absolute;width:75635;height:26842;visibility:visible;mso-wrap-style:square;v-text-anchor:middle" coordsize="7563232,268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" path="m7563233,l,,,2437719r3530686,l3781617,2683893r250803,-246174l7563233,2437719,7563233,xe" fillcolor="white [3212]" stroked="f" strokeweight=".35264mm">
                      <v:stroke joinstyle="miter"/>
                      <v:path arrowok="t" o:connecttype="custom" o:connectlocs="7563558,0;0,0;0,2438078;3530838,2438078;3781780,2684288;4032593,2438078;7563558,2438078;7563558,0" o:connectangles="0,0,0,0,0,0,0,0"/>
                    </v:shape>
                    <v:shape id="Graphic 1" o:spid="_x0000_s1028" style="position:absolute;left:4299;top:4299;width:66996;height:9072;visibility:visible;mso-wrap-style:square;v-text-anchor:middle" coordsize="5021580,68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515940,12670;515940,112767;104205,112767;104205,394050;472734,394050;472734,494146;104205,494146;104205,794435;515940,794435;515940,894531;0,894531;0,12670;515940,12670;1128461,12670;1128461,894531;1674900,894531;1674900,794435;1232665,794435;1232665,12670;1128461,12670;6594125,700674;6112495,12670;6015915,12670;6015915,894531;6120120,894531;6120120,207795;6604291,894531;6699600,894531;6699600,12670;6594125,12670;6594125,700674;2758884,894531;2758884,794435;2347148,794435;2347148,494146;2715677,494146;2715677,394050;2347148,394050;2347148,112767;2758884,112767;2758884,12670;2242943,12670;2242943,894531;2758884,894531;4653630,451067;4991659,805838;5329689,451067;4991659,101363;4653630,451067;4991659,907201;4545613,451067;4991659,0;5437707,451067;4991659,907201;3475609,895799;4062713,12670;3938176,12670;3349800,895799;3475609,895799;3351071,12670;3582355,361107;3644623,267346;3475609,12670;3351071,12670;3938176,895799;4062713,895799;3831430,547362;3769160,641123;3938176,895799" o:connectangles="0,0,0,0,0,0,0,0,0,0,0,0,0,0,0,0,0,0,0,0,0,0,0,0,0,0,0,0,0,0,0,0,0,0,0,0,0,0,0,0,0,0,0,0,0,0,0,0,0,0,0,0,0,0,0,0,0,0,0,0,0,0,0,0,0,0,0,0,0"/>
                    </v:shape>
                    <w10:wrap anchorx="page" anchory="page"/>
                  </v:group>
                </w:pict>
              </mc:Fallback>
            </mc:AlternateContent>
          </w:r>
        </w:p>
        <w:tbl>
          <w:tblPr>
            <w:tblStyle w:val="TableGrid"/>
            <w:tblpPr w:leftFromText="181" w:rightFromText="181" w:vertAnchor="page" w:horzAnchor="page" w:tblpXSpec="center" w:tblpYSpec="center"/>
            <w:tblOverlap w:val="never"/>
            <w:tblW w:w="10546" w:type="dxa"/>
            <w:tblBorders>
              <w:top w:val="none" w:sz="0" w:space="0" w:color="auto"/>
              <w:bottom w:val="none" w:sz="0" w:space="0" w:color="auto"/>
              <w:insideH w:val="none" w:sz="0" w:space="0" w:color="auto"/>
            </w:tblBorders>
            <w:tblCellMar>
              <w:left w:w="1134" w:type="dxa"/>
              <w:right w:w="1134" w:type="dxa"/>
            </w:tblCellMar>
            <w:tblLook w:val="04A0" w:firstRow="1" w:lastRow="0" w:firstColumn="1" w:lastColumn="0" w:noHBand="0" w:noVBand="1"/>
          </w:tblPr>
          <w:tblGrid>
            <w:gridCol w:w="10546"/>
          </w:tblGrid>
          <w:tr w:rsidR="00A85ACF" w:rsidRPr="00892B30" w:rsidTr="00A85ACF">
            <w:tc>
              <w:tcPr>
                <w:tcW w:w="10546" w:type="dxa"/>
              </w:tcPr>
              <w:p w:rsidR="00A85ACF" w:rsidRPr="00892B30" w:rsidRDefault="0035376E" w:rsidP="00F75CA7">
                <w:pPr>
                  <w:pStyle w:val="Title"/>
                  <w:rPr>
                    <w:rStyle w:val="Strong"/>
                    <w:b/>
                    <w:bCs w:val="0"/>
                  </w:rPr>
                </w:pPr>
                <w:r>
                  <w:rPr>
                    <w:rStyle w:val="Strong"/>
                    <w:b/>
                    <w:bCs w:val="0"/>
                  </w:rPr>
                  <w:t>BSC Sandbox Impact Assessment</w:t>
                </w:r>
                <w:r w:rsidR="00751ED0">
                  <w:rPr>
                    <w:rStyle w:val="Strong"/>
                    <w:b/>
                    <w:bCs w:val="0"/>
                  </w:rPr>
                  <w:t xml:space="preserve"> and Consultation</w:t>
                </w:r>
                <w:r>
                  <w:rPr>
                    <w:rStyle w:val="Strong"/>
                    <w:b/>
                    <w:bCs w:val="0"/>
                  </w:rPr>
                  <w:t xml:space="preserve"> for </w:t>
                </w:r>
                <w:r w:rsidR="00F75CA7">
                  <w:rPr>
                    <w:rStyle w:val="Strong"/>
                    <w:b/>
                    <w:bCs w:val="0"/>
                  </w:rPr>
                  <w:t>Centrica</w:t>
                </w:r>
              </w:p>
            </w:tc>
          </w:tr>
          <w:tr w:rsidR="00A85ACF" w:rsidRPr="00892B30" w:rsidTr="00A85ACF">
            <w:tc>
              <w:tcPr>
                <w:tcW w:w="10546" w:type="dxa"/>
              </w:tcPr>
              <w:p w:rsidR="00A85ACF" w:rsidRPr="00892B30" w:rsidRDefault="00751ED0" w:rsidP="00F75CA7">
                <w:pPr>
                  <w:pStyle w:val="Subtitle"/>
                  <w:rPr>
                    <w:rStyle w:val="Strong"/>
                    <w:b w:val="0"/>
                    <w:bCs w:val="0"/>
                    <w:color w:val="00008C"/>
                  </w:rPr>
                </w:pPr>
                <w:proofErr w:type="spellStart"/>
                <w:r>
                  <w:t>Elexon’s</w:t>
                </w:r>
                <w:proofErr w:type="spellEnd"/>
                <w:r>
                  <w:t xml:space="preserve"> Impact Assessment and a public consultation on</w:t>
                </w:r>
                <w:r w:rsidR="00F75CA7">
                  <w:t xml:space="preserve"> Centrica</w:t>
                </w:r>
                <w:r>
                  <w:t>’s BSC Sandbox application</w:t>
                </w:r>
                <w:r w:rsidR="00A85ACF" w:rsidRPr="00892B30">
                  <w:t xml:space="preserve"> </w:t>
                </w:r>
              </w:p>
            </w:tc>
          </w:tr>
          <w:tr w:rsidR="00E174AA" w:rsidRPr="00E174AA" w:rsidTr="00A85ACF">
            <w:tc>
              <w:tcPr>
                <w:tcW w:w="10546" w:type="dxa"/>
              </w:tcPr>
              <w:p w:rsidR="00E174AA" w:rsidRPr="00E174AA" w:rsidRDefault="005E1D59" w:rsidP="00E174AA">
                <w:pPr>
                  <w:pStyle w:val="Subtitle"/>
                </w:pPr>
                <w:sdt>
                  <w:sdtPr>
                    <w:rPr>
                      <w:rStyle w:val="SubtitleChar"/>
                    </w:rPr>
                    <w:alias w:val="Document status"/>
                    <w:tag w:val="Click to select document status"/>
                    <w:id w:val="405815754"/>
                    <w:placeholder>
                      <w:docPart w:val="FD03BF47154548528DBAA1CCD16263F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Pr>
                  </w:sdtEndPr>
                  <w:sdtContent>
                    <w:r w:rsidR="0035376E">
                      <w:rPr>
                        <w:rStyle w:val="SubtitleChar"/>
                      </w:rPr>
                      <w:t>Public</w:t>
                    </w:r>
                  </w:sdtContent>
                </w:sdt>
              </w:p>
            </w:tc>
          </w:tr>
        </w:tbl>
        <w:p w:rsidR="00C16E52" w:rsidRPr="00892B30" w:rsidRDefault="00E174AA" w:rsidP="00D72E14">
          <w:pPr>
            <w:rPr>
              <w:rStyle w:val="Strong"/>
              <w:szCs w:val="18"/>
            </w:rPr>
          </w:pPr>
          <w:r>
            <w:rPr>
              <w:b/>
              <w:bCs/>
              <w:noProof/>
              <w:color w:val="00008B" w:themeColor="text1"/>
              <w:szCs w:val="18"/>
              <w:lang w:eastAsia="en-GB"/>
            </w:rPr>
            <mc:AlternateContent>
              <mc:Choice Requires="wps">
                <w:drawing>
                  <wp:anchor distT="0" distB="0" distL="114300" distR="114300" simplePos="0" relativeHeight="251659263" behindDoc="1" locked="0" layoutInCell="1" allowOverlap="1" wp14:anchorId="605AD965" wp14:editId="0D609ED3">
                    <wp:simplePos x="0" y="0"/>
                    <wp:positionH relativeFrom="column">
                      <wp:posOffset>26093</wp:posOffset>
                    </wp:positionH>
                    <wp:positionV relativeFrom="paragraph">
                      <wp:posOffset>9054638</wp:posOffset>
                    </wp:positionV>
                    <wp:extent cx="5746173" cy="533400"/>
                    <wp:effectExtent l="0" t="0" r="6985"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solidFill>
                              <a:srgbClr val="D4CDC1"/>
                            </a:solid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FF29E7" w:rsidRPr="00FF29E7" w:rsidTr="00FF29E7">
                                  <w:trPr>
                                    <w:trHeight w:val="298"/>
                                  </w:trPr>
                                  <w:tc>
                                    <w:tcPr>
                                      <w:tcW w:w="2202" w:type="dxa"/>
                                    </w:tcPr>
                                    <w:p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Document owner</w:t>
                                      </w:r>
                                    </w:p>
                                  </w:tc>
                                  <w:tc>
                                    <w:tcPr>
                                      <w:tcW w:w="2202" w:type="dxa"/>
                                    </w:tcPr>
                                    <w:p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 xml:space="preserve">Document </w:t>
                                      </w:r>
                                      <w:r w:rsidR="00110047">
                                        <w:rPr>
                                          <w:rFonts w:ascii="Arial" w:hAnsi="Arial" w:cs="Arial"/>
                                          <w:color w:val="231F20" w:themeColor="text2"/>
                                          <w:sz w:val="18"/>
                                          <w:szCs w:val="18"/>
                                        </w:rPr>
                                        <w:t>number</w:t>
                                      </w:r>
                                    </w:p>
                                  </w:tc>
                                  <w:tc>
                                    <w:tcPr>
                                      <w:tcW w:w="2684" w:type="dxa"/>
                                    </w:tcPr>
                                    <w:p w:rsidR="00FF29E7" w:rsidRPr="00FF29E7" w:rsidRDefault="00FF29E7">
                                      <w:pPr>
                                        <w:rPr>
                                          <w:color w:val="231F20" w:themeColor="text2"/>
                                        </w:rPr>
                                      </w:pPr>
                                      <w:r w:rsidRPr="00FF29E7">
                                        <w:rPr>
                                          <w:color w:val="231F20" w:themeColor="text2"/>
                                        </w:rPr>
                                        <w:t>Date</w:t>
                                      </w:r>
                                    </w:p>
                                  </w:tc>
                                </w:tr>
                                <w:tr w:rsidR="00FF29E7" w:rsidRPr="00FF29E7" w:rsidTr="00FF29E7">
                                  <w:trPr>
                                    <w:trHeight w:val="304"/>
                                  </w:trPr>
                                  <w:tc>
                                    <w:tcPr>
                                      <w:tcW w:w="2202" w:type="dxa"/>
                                    </w:tcPr>
                                    <w:p w:rsidR="00FF29E7" w:rsidRPr="006A2878" w:rsidRDefault="005008D8">
                                      <w:pPr>
                                        <w:rPr>
                                          <w:rStyle w:val="Strong"/>
                                        </w:rPr>
                                      </w:pPr>
                                      <w:r>
                                        <w:rPr>
                                          <w:rStyle w:val="Strong"/>
                                        </w:rPr>
                                        <w:t>Peter Frampton</w:t>
                                      </w:r>
                                    </w:p>
                                  </w:tc>
                                  <w:tc>
                                    <w:tcPr>
                                      <w:tcW w:w="2202" w:type="dxa"/>
                                    </w:tcPr>
                                    <w:p w:rsidR="00FF29E7" w:rsidRPr="006A2878" w:rsidRDefault="00207EF5" w:rsidP="00207EF5">
                                      <w:pPr>
                                        <w:rPr>
                                          <w:rStyle w:val="Strong"/>
                                        </w:rPr>
                                      </w:pPr>
                                      <w:r>
                                        <w:rPr>
                                          <w:rStyle w:val="Strong"/>
                                        </w:rPr>
                                        <w:t>BSCS-IA-002</w:t>
                                      </w:r>
                                    </w:p>
                                  </w:tc>
                                  <w:tc>
                                    <w:tcPr>
                                      <w:tcW w:w="2684" w:type="dxa"/>
                                    </w:tcPr>
                                    <w:p w:rsidR="00FF29E7" w:rsidRPr="006A2878" w:rsidRDefault="005008D8">
                                      <w:pPr>
                                        <w:rPr>
                                          <w:rStyle w:val="Strong"/>
                                        </w:rPr>
                                      </w:pPr>
                                      <w:r>
                                        <w:rPr>
                                          <w:rStyle w:val="Strong"/>
                                        </w:rPr>
                                        <w:t>12 November 2021</w:t>
                                      </w:r>
                                      <w:r w:rsidR="00FF29E7" w:rsidRPr="006A2878">
                                        <w:rPr>
                                          <w:rStyle w:val="Strong"/>
                                        </w:rPr>
                                        <w:t xml:space="preserve"> </w:t>
                                      </w:r>
                                    </w:p>
                                  </w:tc>
                                </w:tr>
                              </w:tbl>
                              <w:p w:rsidR="00FF29E7" w:rsidRPr="00FF29E7" w:rsidRDefault="00FF29E7">
                                <w:pPr>
                                  <w:rPr>
                                    <w:color w:val="231F20"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5AD965" id="_x0000_t202" coordsize="21600,21600" o:spt="202" path="m,l,21600r21600,l21600,xe">
                    <v:stroke joinstyle="miter"/>
                    <v:path gradientshapeok="t" o:connecttype="rect"/>
                  </v:shapetype>
                  <v:shape id="Text Box 17" o:spid="_x0000_s1027" type="#_x0000_t202" style="position:absolute;margin-left:2.05pt;margin-top:712.95pt;width:452.45pt;height:42pt;z-index:-2516572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" fillcolor="#d4cdc1"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FF29E7" w:rsidRPr="00FF29E7" w:rsidTr="00FF29E7">
                            <w:trPr>
                              <w:trHeight w:val="298"/>
                            </w:trPr>
                            <w:tc>
                              <w:tcPr>
                                <w:tcW w:w="2202" w:type="dxa"/>
                              </w:tcPr>
                              <w:p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Document owner</w:t>
                                </w:r>
                              </w:p>
                            </w:tc>
                            <w:tc>
                              <w:tcPr>
                                <w:tcW w:w="2202" w:type="dxa"/>
                              </w:tcPr>
                              <w:p w:rsidR="00FF29E7" w:rsidRPr="00FF29E7" w:rsidRDefault="00FF29E7" w:rsidP="00FF29E7">
                                <w:pPr>
                                  <w:pStyle w:val="BasicParagraph"/>
                                  <w:rPr>
                                    <w:rFonts w:ascii="Arial" w:hAnsi="Arial" w:cs="Arial"/>
                                    <w:color w:val="231F20" w:themeColor="text2"/>
                                    <w:sz w:val="18"/>
                                    <w:szCs w:val="18"/>
                                  </w:rPr>
                                </w:pPr>
                                <w:r w:rsidRPr="00FF29E7">
                                  <w:rPr>
                                    <w:rFonts w:ascii="Arial" w:hAnsi="Arial" w:cs="Arial"/>
                                    <w:color w:val="231F20" w:themeColor="text2"/>
                                    <w:sz w:val="18"/>
                                    <w:szCs w:val="18"/>
                                  </w:rPr>
                                  <w:t xml:space="preserve">Document </w:t>
                                </w:r>
                                <w:r w:rsidR="00110047">
                                  <w:rPr>
                                    <w:rFonts w:ascii="Arial" w:hAnsi="Arial" w:cs="Arial"/>
                                    <w:color w:val="231F20" w:themeColor="text2"/>
                                    <w:sz w:val="18"/>
                                    <w:szCs w:val="18"/>
                                  </w:rPr>
                                  <w:t>number</w:t>
                                </w:r>
                              </w:p>
                            </w:tc>
                            <w:tc>
                              <w:tcPr>
                                <w:tcW w:w="2684" w:type="dxa"/>
                              </w:tcPr>
                              <w:p w:rsidR="00FF29E7" w:rsidRPr="00FF29E7" w:rsidRDefault="00FF29E7">
                                <w:pPr>
                                  <w:rPr>
                                    <w:color w:val="231F20" w:themeColor="text2"/>
                                  </w:rPr>
                                </w:pPr>
                                <w:r w:rsidRPr="00FF29E7">
                                  <w:rPr>
                                    <w:color w:val="231F20" w:themeColor="text2"/>
                                  </w:rPr>
                                  <w:t>Date</w:t>
                                </w:r>
                              </w:p>
                            </w:tc>
                          </w:tr>
                          <w:tr w:rsidR="00FF29E7" w:rsidRPr="00FF29E7" w:rsidTr="00FF29E7">
                            <w:trPr>
                              <w:trHeight w:val="304"/>
                            </w:trPr>
                            <w:tc>
                              <w:tcPr>
                                <w:tcW w:w="2202" w:type="dxa"/>
                              </w:tcPr>
                              <w:p w:rsidR="00FF29E7" w:rsidRPr="006A2878" w:rsidRDefault="005008D8">
                                <w:pPr>
                                  <w:rPr>
                                    <w:rStyle w:val="Strong"/>
                                  </w:rPr>
                                </w:pPr>
                                <w:r>
                                  <w:rPr>
                                    <w:rStyle w:val="Strong"/>
                                  </w:rPr>
                                  <w:t>Peter Frampton</w:t>
                                </w:r>
                              </w:p>
                            </w:tc>
                            <w:tc>
                              <w:tcPr>
                                <w:tcW w:w="2202" w:type="dxa"/>
                              </w:tcPr>
                              <w:p w:rsidR="00FF29E7" w:rsidRPr="006A2878" w:rsidRDefault="00207EF5" w:rsidP="00207EF5">
                                <w:pPr>
                                  <w:rPr>
                                    <w:rStyle w:val="Strong"/>
                                  </w:rPr>
                                </w:pPr>
                                <w:r>
                                  <w:rPr>
                                    <w:rStyle w:val="Strong"/>
                                  </w:rPr>
                                  <w:t>BSCS-IA-002</w:t>
                                </w:r>
                              </w:p>
                            </w:tc>
                            <w:tc>
                              <w:tcPr>
                                <w:tcW w:w="2684" w:type="dxa"/>
                              </w:tcPr>
                              <w:p w:rsidR="00FF29E7" w:rsidRPr="006A2878" w:rsidRDefault="005008D8">
                                <w:pPr>
                                  <w:rPr>
                                    <w:rStyle w:val="Strong"/>
                                  </w:rPr>
                                </w:pPr>
                                <w:r>
                                  <w:rPr>
                                    <w:rStyle w:val="Strong"/>
                                  </w:rPr>
                                  <w:t>12 November 2021</w:t>
                                </w:r>
                                <w:r w:rsidR="00FF29E7" w:rsidRPr="006A2878">
                                  <w:rPr>
                                    <w:rStyle w:val="Strong"/>
                                  </w:rPr>
                                  <w:t xml:space="preserve"> </w:t>
                                </w:r>
                              </w:p>
                            </w:tc>
                          </w:tr>
                        </w:tbl>
                        <w:p w:rsidR="00FF29E7" w:rsidRPr="00FF29E7" w:rsidRDefault="00FF29E7">
                          <w:pPr>
                            <w:rPr>
                              <w:color w:val="231F20" w:themeColor="text2"/>
                            </w:rPr>
                          </w:pPr>
                        </w:p>
                      </w:txbxContent>
                    </v:textbox>
                  </v:shape>
                </w:pict>
              </mc:Fallback>
            </mc:AlternateContent>
          </w:r>
          <w:r w:rsidR="00A85ACF" w:rsidRPr="00892B30">
            <w:rPr>
              <w:rStyle w:val="Strong"/>
              <w:szCs w:val="18"/>
            </w:rPr>
            <w:t xml:space="preserve"> </w:t>
          </w:r>
          <w:r w:rsidR="00C16E52" w:rsidRPr="00892B30">
            <w:rPr>
              <w:rStyle w:val="Strong"/>
              <w:szCs w:val="18"/>
            </w:rPr>
            <w:br w:type="page"/>
          </w:r>
        </w:p>
        <w:p w:rsidR="00E42681" w:rsidRPr="00892B30" w:rsidRDefault="005E1D59" w:rsidP="00D72E14">
          <w:pPr>
            <w:rPr>
              <w:rStyle w:val="Strong"/>
              <w:b w:val="0"/>
              <w:bCs w:val="0"/>
              <w:color w:val="auto"/>
            </w:rPr>
          </w:pPr>
        </w:p>
      </w:sdtContent>
    </w:sdt>
    <w:p w:rsidR="00E03B82" w:rsidRPr="00892B30" w:rsidRDefault="00E03B82" w:rsidP="00E03B82">
      <w:pPr>
        <w:pStyle w:val="ElexonBody"/>
      </w:pPr>
    </w:p>
    <w:bookmarkStart w:id="0" w:name="_Toc87609687" w:displacedByCustomXml="next"/>
    <w:sdt>
      <w:sdtPr>
        <w:rPr>
          <w:rFonts w:asciiTheme="minorHAnsi" w:hAnsiTheme="minorHAnsi" w:cstheme="minorBidi"/>
          <w:b w:val="0"/>
          <w:bCs w:val="0"/>
          <w:color w:val="auto"/>
          <w:sz w:val="18"/>
          <w:szCs w:val="22"/>
        </w:rPr>
        <w:id w:val="957298865"/>
        <w:docPartObj>
          <w:docPartGallery w:val="Table of Contents"/>
          <w:docPartUnique/>
        </w:docPartObj>
      </w:sdtPr>
      <w:sdtEndPr>
        <w:rPr>
          <w:noProof/>
          <w:sz w:val="20"/>
        </w:rPr>
      </w:sdtEndPr>
      <w:sdtContent>
        <w:p w:rsidR="00E03B82" w:rsidRPr="00892B30" w:rsidRDefault="00E03B82" w:rsidP="00E03B82">
          <w:pPr>
            <w:pStyle w:val="TOCHeading"/>
          </w:pPr>
          <w:r w:rsidRPr="00892B30">
            <w:t>Contents</w:t>
          </w:r>
          <w:bookmarkEnd w:id="0"/>
        </w:p>
        <w:p w:rsidR="0079062E" w:rsidRDefault="00E03B82">
          <w:pPr>
            <w:pStyle w:val="TOC1"/>
            <w:rPr>
              <w:rFonts w:eastAsiaTheme="minorEastAsia"/>
              <w:b w:val="0"/>
              <w:color w:val="auto"/>
              <w:lang w:eastAsia="en-GB"/>
            </w:rPr>
          </w:pPr>
          <w:r w:rsidRPr="00892B30">
            <w:fldChar w:fldCharType="begin"/>
          </w:r>
          <w:r w:rsidRPr="00892B30">
            <w:instrText xml:space="preserve"> TOC \o "1-3" \h \z \u </w:instrText>
          </w:r>
          <w:r w:rsidRPr="00892B30">
            <w:fldChar w:fldCharType="separate"/>
          </w:r>
          <w:hyperlink w:anchor="_Toc87609687" w:history="1">
            <w:r w:rsidR="0079062E" w:rsidRPr="00FF6B96">
              <w:rPr>
                <w:rStyle w:val="Hyperlink"/>
              </w:rPr>
              <w:t>Contents</w:t>
            </w:r>
            <w:r w:rsidR="0079062E">
              <w:rPr>
                <w:webHidden/>
              </w:rPr>
              <w:tab/>
            </w:r>
            <w:r w:rsidR="0079062E">
              <w:rPr>
                <w:webHidden/>
              </w:rPr>
              <w:fldChar w:fldCharType="begin"/>
            </w:r>
            <w:r w:rsidR="0079062E">
              <w:rPr>
                <w:webHidden/>
              </w:rPr>
              <w:instrText xml:space="preserve"> PAGEREF _Toc87609687 \h </w:instrText>
            </w:r>
            <w:r w:rsidR="0079062E">
              <w:rPr>
                <w:webHidden/>
              </w:rPr>
            </w:r>
            <w:r w:rsidR="0079062E">
              <w:rPr>
                <w:webHidden/>
              </w:rPr>
              <w:fldChar w:fldCharType="separate"/>
            </w:r>
            <w:r w:rsidR="0079062E">
              <w:rPr>
                <w:webHidden/>
              </w:rPr>
              <w:t>2</w:t>
            </w:r>
            <w:r w:rsidR="0079062E">
              <w:rPr>
                <w:webHidden/>
              </w:rPr>
              <w:fldChar w:fldCharType="end"/>
            </w:r>
          </w:hyperlink>
        </w:p>
        <w:p w:rsidR="0079062E" w:rsidRDefault="005E1D59">
          <w:pPr>
            <w:pStyle w:val="TOC1"/>
            <w:rPr>
              <w:rFonts w:eastAsiaTheme="minorEastAsia"/>
              <w:b w:val="0"/>
              <w:color w:val="auto"/>
              <w:lang w:eastAsia="en-GB"/>
            </w:rPr>
          </w:pPr>
          <w:hyperlink w:anchor="_Toc87609688" w:history="1">
            <w:r w:rsidR="0079062E" w:rsidRPr="00FF6B96">
              <w:rPr>
                <w:rStyle w:val="Hyperlink"/>
              </w:rPr>
              <w:t>Centrica Proposal</w:t>
            </w:r>
            <w:r w:rsidR="0079062E">
              <w:rPr>
                <w:webHidden/>
              </w:rPr>
              <w:tab/>
            </w:r>
            <w:r w:rsidR="0079062E">
              <w:rPr>
                <w:webHidden/>
              </w:rPr>
              <w:fldChar w:fldCharType="begin"/>
            </w:r>
            <w:r w:rsidR="0079062E">
              <w:rPr>
                <w:webHidden/>
              </w:rPr>
              <w:instrText xml:space="preserve"> PAGEREF _Toc87609688 \h </w:instrText>
            </w:r>
            <w:r w:rsidR="0079062E">
              <w:rPr>
                <w:webHidden/>
              </w:rPr>
            </w:r>
            <w:r w:rsidR="0079062E">
              <w:rPr>
                <w:webHidden/>
              </w:rPr>
              <w:fldChar w:fldCharType="separate"/>
            </w:r>
            <w:r w:rsidR="0079062E">
              <w:rPr>
                <w:webHidden/>
              </w:rPr>
              <w:t>3</w:t>
            </w:r>
            <w:r w:rsidR="0079062E">
              <w:rPr>
                <w:webHidden/>
              </w:rPr>
              <w:fldChar w:fldCharType="end"/>
            </w:r>
          </w:hyperlink>
        </w:p>
        <w:p w:rsidR="0079062E" w:rsidRDefault="005E1D59">
          <w:pPr>
            <w:pStyle w:val="TOC1"/>
            <w:rPr>
              <w:rFonts w:eastAsiaTheme="minorEastAsia"/>
              <w:b w:val="0"/>
              <w:color w:val="auto"/>
              <w:lang w:eastAsia="en-GB"/>
            </w:rPr>
          </w:pPr>
          <w:hyperlink w:anchor="_Toc87609689" w:history="1">
            <w:r w:rsidR="0079062E" w:rsidRPr="00FF6B96">
              <w:rPr>
                <w:rStyle w:val="Hyperlink"/>
              </w:rPr>
              <w:t>Draft Elexon consideration of Impacts on other Parties</w:t>
            </w:r>
            <w:r w:rsidR="0079062E">
              <w:rPr>
                <w:webHidden/>
              </w:rPr>
              <w:tab/>
            </w:r>
            <w:r w:rsidR="0079062E">
              <w:rPr>
                <w:webHidden/>
              </w:rPr>
              <w:fldChar w:fldCharType="begin"/>
            </w:r>
            <w:r w:rsidR="0079062E">
              <w:rPr>
                <w:webHidden/>
              </w:rPr>
              <w:instrText xml:space="preserve"> PAGEREF _Toc87609689 \h </w:instrText>
            </w:r>
            <w:r w:rsidR="0079062E">
              <w:rPr>
                <w:webHidden/>
              </w:rPr>
            </w:r>
            <w:r w:rsidR="0079062E">
              <w:rPr>
                <w:webHidden/>
              </w:rPr>
              <w:fldChar w:fldCharType="separate"/>
            </w:r>
            <w:r w:rsidR="0079062E">
              <w:rPr>
                <w:webHidden/>
              </w:rPr>
              <w:t>4</w:t>
            </w:r>
            <w:r w:rsidR="0079062E">
              <w:rPr>
                <w:webHidden/>
              </w:rPr>
              <w:fldChar w:fldCharType="end"/>
            </w:r>
          </w:hyperlink>
        </w:p>
        <w:p w:rsidR="0079062E" w:rsidRDefault="005E1D59">
          <w:pPr>
            <w:pStyle w:val="TOC1"/>
            <w:rPr>
              <w:rFonts w:eastAsiaTheme="minorEastAsia"/>
              <w:b w:val="0"/>
              <w:color w:val="auto"/>
              <w:lang w:eastAsia="en-GB"/>
            </w:rPr>
          </w:pPr>
          <w:hyperlink w:anchor="_Toc87609690" w:history="1">
            <w:r w:rsidR="0079062E" w:rsidRPr="00FF6B96">
              <w:rPr>
                <w:rStyle w:val="Hyperlink"/>
              </w:rPr>
              <w:t>Consultation questions</w:t>
            </w:r>
            <w:r w:rsidR="0079062E">
              <w:rPr>
                <w:webHidden/>
              </w:rPr>
              <w:tab/>
            </w:r>
            <w:r w:rsidR="0079062E">
              <w:rPr>
                <w:webHidden/>
              </w:rPr>
              <w:fldChar w:fldCharType="begin"/>
            </w:r>
            <w:r w:rsidR="0079062E">
              <w:rPr>
                <w:webHidden/>
              </w:rPr>
              <w:instrText xml:space="preserve"> PAGEREF _Toc87609690 \h </w:instrText>
            </w:r>
            <w:r w:rsidR="0079062E">
              <w:rPr>
                <w:webHidden/>
              </w:rPr>
            </w:r>
            <w:r w:rsidR="0079062E">
              <w:rPr>
                <w:webHidden/>
              </w:rPr>
              <w:fldChar w:fldCharType="separate"/>
            </w:r>
            <w:r w:rsidR="0079062E">
              <w:rPr>
                <w:webHidden/>
              </w:rPr>
              <w:t>4</w:t>
            </w:r>
            <w:r w:rsidR="0079062E">
              <w:rPr>
                <w:webHidden/>
              </w:rPr>
              <w:fldChar w:fldCharType="end"/>
            </w:r>
          </w:hyperlink>
        </w:p>
        <w:p w:rsidR="00E03B82" w:rsidRPr="00892B30" w:rsidRDefault="00E03B82" w:rsidP="00E03B82">
          <w:r w:rsidRPr="00892B30">
            <w:rPr>
              <w:b/>
              <w:bCs/>
              <w:noProof/>
            </w:rPr>
            <w:fldChar w:fldCharType="end"/>
          </w:r>
        </w:p>
      </w:sdtContent>
    </w:sdt>
    <w:p w:rsidR="00E03B82" w:rsidRPr="00892B30" w:rsidRDefault="00FF29E7">
      <w:pPr>
        <w:spacing w:after="160" w:line="259" w:lineRule="auto"/>
      </w:pPr>
      <w:r w:rsidRPr="00892B30">
        <w:br w:type="page"/>
      </w:r>
    </w:p>
    <w:p w:rsidR="00E03B82" w:rsidRPr="00892B30" w:rsidRDefault="00E03B82"/>
    <w:p w:rsidR="003F393A" w:rsidRPr="00892B30" w:rsidRDefault="00F75CA7" w:rsidP="003F393A">
      <w:pPr>
        <w:pStyle w:val="Heading1"/>
      </w:pPr>
      <w:bookmarkStart w:id="1" w:name="_Toc53585191"/>
      <w:bookmarkStart w:id="2" w:name="_Toc87609688"/>
      <w:r>
        <w:t>Centrica</w:t>
      </w:r>
      <w:r w:rsidR="004464F3">
        <w:t xml:space="preserve"> </w:t>
      </w:r>
      <w:r w:rsidR="003F393A">
        <w:t>Proposal</w:t>
      </w:r>
      <w:bookmarkEnd w:id="1"/>
      <w:bookmarkEnd w:id="2"/>
    </w:p>
    <w:p w:rsidR="005C2FFD" w:rsidRDefault="005C2FFD" w:rsidP="005C2FFD">
      <w:pPr>
        <w:pStyle w:val="ElexonBody"/>
      </w:pPr>
      <w:r>
        <w:t xml:space="preserve">Centrica propose to participate in the Balancing Mechanism (BM) with Half-Hourly (HH) metered flexible assets as a Virtual Lead Party (VLP), where those assets are located at a premises with a Non Half-Hourly (NHH) boundary meter. Currently it is a requirement that a site is settled HH for a VLP to operate assets located on that site. They are working with a company providing controllable storage heaters, and believe they can deliver benefits to customers and to the electricity system by enabling participation in the BM without needing the customer’s Supplier to install and settle the boundary meter on a HH basis. </w:t>
      </w:r>
    </w:p>
    <w:p w:rsidR="005C2FFD" w:rsidRDefault="005C2FFD" w:rsidP="005C2FFD">
      <w:pPr>
        <w:pStyle w:val="ElexonBody"/>
      </w:pPr>
      <w:r>
        <w:t>The effect of the current arrangements is that customers without a HH metered and settled boundary meter cannot engage a VLP to deliver services using assets located on their premises. Market Wide Half Hourly Settlement (MHHS) will require HH settlement of customers with HH boundary meters, with implementation starting in 2023 and running through to 2025. Centrica believe they can deliver material benefit to consumers in this window, and further that a significant proportion of retail electricity consumers will remain NHH settled for a material amount of time following the implementation of MHHS due to the low penetration of HH capable meters in the market.</w:t>
      </w:r>
    </w:p>
    <w:p w:rsidR="005C2FFD" w:rsidRDefault="005C2FFD" w:rsidP="005C2FFD">
      <w:pPr>
        <w:pStyle w:val="ElexonBody"/>
      </w:pPr>
      <w:r>
        <w:t xml:space="preserve">The proposed approach involves submitting details for the sites in question as if the sites are HH settled. Elexon would provide our service providers with the </w:t>
      </w:r>
      <w:r w:rsidR="00E16B3E">
        <w:t>Metering System Identifiers (MSIDs)</w:t>
      </w:r>
      <w:r>
        <w:t xml:space="preserve"> of the affected premises, such that the validation checks will not fail for the sites being NHH, and we will not send D0354 requests to the site’s </w:t>
      </w:r>
      <w:r w:rsidR="00180D0A">
        <w:t>Data Aggregator (DA)</w:t>
      </w:r>
      <w:r>
        <w:t>. Centrica’s</w:t>
      </w:r>
      <w:r w:rsidR="00180D0A">
        <w:t xml:space="preserve"> Half Hourly Data Aggregator</w:t>
      </w:r>
      <w:r>
        <w:t xml:space="preserve"> </w:t>
      </w:r>
      <w:r w:rsidR="00180D0A">
        <w:t>(</w:t>
      </w:r>
      <w:r>
        <w:t>HHDA</w:t>
      </w:r>
      <w:r w:rsidR="00180D0A">
        <w:t>)</w:t>
      </w:r>
      <w:r>
        <w:t xml:space="preserve"> will submit details of the asset Delivered Volumes at the site per the normal VLP process, and the BSC processes will also be carried out as if the sites were HH. Centrica’s HHDA will also submit D0385 files to </w:t>
      </w:r>
      <w:r w:rsidR="00082C07">
        <w:t xml:space="preserve">the Supplier Volume </w:t>
      </w:r>
      <w:r w:rsidR="00066D43">
        <w:t>Allocation</w:t>
      </w:r>
      <w:r w:rsidR="00082C07">
        <w:t xml:space="preserve"> Agent (SVAA) </w:t>
      </w:r>
      <w:r>
        <w:t>with 0 volume associated, in place of the normal D0385 from the site’s HHDA. We do not believe this approach will require any BSC process changes beyond removing the HH validation check and not sending the D0354 to the site’s DA (which is not a HHDA). The Site’s boundary Supplier will still be identified, and delivery will be calculated against the 0 volumes. Because of these arrangements, the sites must be import only and Centrica will only be able to accept bids to reduce demand for these sites. Any offers accepted will be calculated as having a delivered volume of</w:t>
      </w:r>
      <w:bookmarkStart w:id="3" w:name="_GoBack"/>
      <w:bookmarkEnd w:id="3"/>
      <w:r>
        <w:t xml:space="preserve"> 0, resulting in imbalance penalties.</w:t>
      </w:r>
    </w:p>
    <w:p w:rsidR="005C2FFD" w:rsidRDefault="005C2FFD" w:rsidP="005C2FFD">
      <w:pPr>
        <w:pStyle w:val="ElexonBody"/>
      </w:pPr>
      <w:r>
        <w:t xml:space="preserve">This approach will affect the Suppliers of the sites involved. The current arrangements require sites to be HH settled so that when adjustments to Supplier positions are made, they are made against actual data rather than profiled data. This approach ensures that Supplier adjusted positions match expected positions and also enables validation of delivery. It is more difficult to validate the delivery of a HH service when the correction is made against an NHH profile, as there isn’t an accurate boundary meter read for comparison. </w:t>
      </w:r>
    </w:p>
    <w:p w:rsidR="005C2FFD" w:rsidRDefault="005C2FFD" w:rsidP="005C2FFD">
      <w:pPr>
        <w:pStyle w:val="ElexonBody"/>
      </w:pPr>
      <w:r>
        <w:t>An enduring solution is likely to involve removing the requirement for sites with VLPs to be HH settled. There could be restrictions to mitigate risk or impacts on boundary Suppliers. For example, the rules could apply only to sites up to a particular consumption/generation capacity.</w:t>
      </w:r>
    </w:p>
    <w:p w:rsidR="005C2FFD" w:rsidRDefault="005C2FFD" w:rsidP="005C2FFD">
      <w:pPr>
        <w:pStyle w:val="ElexonBody"/>
      </w:pPr>
      <w:r>
        <w:t>Eventually, we anticipate the vast majority of sites will be HH metered and any enduring solutions will not be regularly applied.</w:t>
      </w:r>
    </w:p>
    <w:p w:rsidR="005C2FFD" w:rsidRDefault="005C2FFD" w:rsidP="005C2FFD">
      <w:pPr>
        <w:spacing w:after="0" w:line="240" w:lineRule="auto"/>
        <w:sectPr w:rsidR="005C2FFD">
          <w:pgSz w:w="11906" w:h="16838"/>
          <w:pgMar w:top="680" w:right="680" w:bottom="992" w:left="680" w:header="567" w:footer="448" w:gutter="0"/>
          <w:cols w:space="720"/>
        </w:sectPr>
      </w:pPr>
    </w:p>
    <w:p w:rsidR="00D87C80" w:rsidRDefault="0035376E" w:rsidP="0035376E">
      <w:pPr>
        <w:pStyle w:val="Heading1"/>
      </w:pPr>
      <w:bookmarkStart w:id="4" w:name="_Toc87609689"/>
      <w:r>
        <w:lastRenderedPageBreak/>
        <w:t>Draft Elexon consideration of Impacts on other Parties</w:t>
      </w:r>
      <w:bookmarkEnd w:id="4"/>
    </w:p>
    <w:p w:rsidR="0035376E" w:rsidRDefault="0035376E" w:rsidP="0035376E">
      <w:pPr>
        <w:pStyle w:val="ElexonBody"/>
      </w:pPr>
      <w:r>
        <w:t xml:space="preserve">Elexon are required to provide a view on the impacts that operating the derogation will have on other Parties. This consideration is distinct from our consideration of the risks </w:t>
      </w:r>
      <w:r w:rsidR="00D90895">
        <w:t xml:space="preserve">to settlement </w:t>
      </w:r>
      <w:r>
        <w:t>of operating the derogation.</w:t>
      </w:r>
    </w:p>
    <w:p w:rsidR="005C2FFD" w:rsidRDefault="005C2FFD" w:rsidP="0035376E">
      <w:pPr>
        <w:pStyle w:val="ElexonBody"/>
      </w:pPr>
      <w:r>
        <w:t>We believe that this derogation will impact on the Suppliers of the premises involved in the trial. In normal operation, HH</w:t>
      </w:r>
      <w:r w:rsidR="008D6173">
        <w:t xml:space="preserve"> boundary metered volumes are adjusted against HH delivered volumes, ensuring accurate adjustments are made and that Parties can budget and bill effectively. During the trial, boundary volumes will be profiled NHH volumes instead of HH volumes, leading to some inaccuracies in the adjustments. These inaccuracies are a result of the inherent inaccuracies </w:t>
      </w:r>
      <w:r w:rsidR="009D563B">
        <w:t>in profiling customer consumption. The aggregate position of the boundary Supplier is in theory unaffected, because the volume that is being adjusted is measured HH</w:t>
      </w:r>
      <w:r w:rsidR="00FD1189">
        <w:t>.</w:t>
      </w:r>
    </w:p>
    <w:p w:rsidR="005008D8" w:rsidRDefault="005008D8" w:rsidP="0035376E">
      <w:pPr>
        <w:pStyle w:val="ElexonBody"/>
      </w:pPr>
      <w:r>
        <w:t xml:space="preserve">There may be some ‘bounce-back’ effect, where the total volume consumed by the assets participating in the trial remains the same over a 24-hour period. This means that total billing position may be unaffected. There may be some impact on consumers if the bounce-back moves consumption from one tariff rate to another. </w:t>
      </w:r>
    </w:p>
    <w:p w:rsidR="005008D8" w:rsidRDefault="00FD1189" w:rsidP="002E1110">
      <w:pPr>
        <w:pStyle w:val="ElexonBody"/>
      </w:pPr>
      <w:r>
        <w:t xml:space="preserve">Each Supplier is able to effectively opt out of the trial by settling their customers HH, either via the elective HH process or eventually via migration to the Market-Wide Half Hourly Settlement </w:t>
      </w:r>
      <w:r w:rsidR="00CB4530">
        <w:t xml:space="preserve">(MHHS) </w:t>
      </w:r>
      <w:r>
        <w:t xml:space="preserve">arrangements. </w:t>
      </w:r>
      <w:r w:rsidR="00CB4530">
        <w:t>However, we understand it may inefficient to migrate specific customers to elective HH prior to MHHS migration, especially for Suppliers who do not currently use the elective processes for any customers.</w:t>
      </w:r>
    </w:p>
    <w:p w:rsidR="00082C07" w:rsidRDefault="0060439C" w:rsidP="002E1110">
      <w:pPr>
        <w:pStyle w:val="ElexonBody"/>
      </w:pPr>
      <w:r>
        <w:t xml:space="preserve">There is also an impact </w:t>
      </w:r>
      <w:r w:rsidR="00082C07">
        <w:t xml:space="preserve">on </w:t>
      </w:r>
      <w:proofErr w:type="spellStart"/>
      <w:r w:rsidR="00082C07">
        <w:t>Elexon’s</w:t>
      </w:r>
      <w:proofErr w:type="spellEnd"/>
      <w:r w:rsidR="00082C07">
        <w:t xml:space="preserve"> service provider, the SVAA. The SVAA will be required to run an alternative process to ensure the</w:t>
      </w:r>
      <w:r w:rsidR="00E16B3E">
        <w:t xml:space="preserve"> MSIDs</w:t>
      </w:r>
      <w:r w:rsidR="00082C07">
        <w:t xml:space="preserve"> involved in the trial do not fail validation due to being NHH. This will require some coordination with Elexon and Centrica, and the implementation of a new process for validating the affected </w:t>
      </w:r>
      <w:r w:rsidR="00E16B3E">
        <w:t>MSIDs</w:t>
      </w:r>
      <w:r w:rsidR="00082C07">
        <w:t>.</w:t>
      </w:r>
    </w:p>
    <w:p w:rsidR="005008D8" w:rsidRDefault="005008D8" w:rsidP="00717602">
      <w:pPr>
        <w:pStyle w:val="Heading1"/>
      </w:pPr>
      <w:bookmarkStart w:id="5" w:name="_Toc87609690"/>
    </w:p>
    <w:p w:rsidR="00103DE9" w:rsidRDefault="00717602" w:rsidP="00717602">
      <w:pPr>
        <w:pStyle w:val="Heading1"/>
      </w:pPr>
      <w:r>
        <w:t>Consultation questions</w:t>
      </w:r>
      <w:bookmarkEnd w:id="5"/>
    </w:p>
    <w:p w:rsidR="00717602" w:rsidRPr="00717602" w:rsidRDefault="006178EC" w:rsidP="00717602">
      <w:pPr>
        <w:pStyle w:val="ElexonBody"/>
        <w:numPr>
          <w:ilvl w:val="0"/>
          <w:numId w:val="43"/>
        </w:numPr>
      </w:pPr>
      <w:r>
        <w:t>How, if at all, w</w:t>
      </w:r>
      <w:r w:rsidR="00717602">
        <w:t xml:space="preserve">ill you be impacted by the operation of the proposed derogation outlined in this document? Please refer to the draft Elexon consideration of Impacts on Other Parties (in this document) and the draft </w:t>
      </w:r>
      <w:r w:rsidR="002E1110">
        <w:t>Centrica</w:t>
      </w:r>
      <w:r>
        <w:t xml:space="preserve"> </w:t>
      </w:r>
      <w:r w:rsidR="00717602">
        <w:t>Elexon Risk Assessment.</w:t>
      </w:r>
    </w:p>
    <w:sectPr w:rsidR="00717602" w:rsidRPr="00717602" w:rsidSect="003F393A">
      <w:headerReference w:type="default" r:id="rId8"/>
      <w:footerReference w:type="default" r:id="rId9"/>
      <w:footerReference w:type="first" r:id="rId10"/>
      <w:pgSz w:w="11906" w:h="16838" w:code="9"/>
      <w:pgMar w:top="680" w:right="680" w:bottom="992" w:left="680" w:header="567"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6E" w:rsidRDefault="0035376E" w:rsidP="007F1A2A">
      <w:pPr>
        <w:spacing w:after="0" w:line="240" w:lineRule="auto"/>
      </w:pPr>
      <w:r>
        <w:separator/>
      </w:r>
    </w:p>
  </w:endnote>
  <w:endnote w:type="continuationSeparator" w:id="0">
    <w:p w:rsidR="0035376E" w:rsidRDefault="0035376E"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B2" w:rsidRPr="00AC33B2" w:rsidRDefault="00AC33B2" w:rsidP="00AC33B2">
    <w:pPr>
      <w:pStyle w:val="Footer"/>
      <w:tabs>
        <w:tab w:val="clear" w:pos="9360"/>
        <w:tab w:val="right" w:pos="10490"/>
      </w:tabs>
    </w:pPr>
    <w:r w:rsidRPr="00AC33B2">
      <w:t>@ Elexon 2020</w:t>
    </w:r>
    <w:r w:rsidRPr="00AC33B2">
      <w:tab/>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066D43">
              <w:rPr>
                <w:noProof/>
              </w:rPr>
              <w:t>4</w:t>
            </w:r>
            <w:r w:rsidRPr="00AC33B2">
              <w:rPr>
                <w:sz w:val="24"/>
                <w:szCs w:val="24"/>
              </w:rPr>
              <w:fldChar w:fldCharType="end"/>
            </w:r>
            <w:r w:rsidRPr="00AC33B2">
              <w:t xml:space="preserve"> of </w:t>
            </w:r>
            <w:r w:rsidR="00F902D6">
              <w:fldChar w:fldCharType="begin"/>
            </w:r>
            <w:r w:rsidR="00F902D6">
              <w:instrText xml:space="preserve"> NUMPAGES  </w:instrText>
            </w:r>
            <w:r w:rsidR="00F902D6">
              <w:fldChar w:fldCharType="separate"/>
            </w:r>
            <w:r w:rsidR="00066D43">
              <w:rPr>
                <w:noProof/>
              </w:rPr>
              <w:t>4</w:t>
            </w:r>
            <w:r w:rsidR="00F902D6">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BA" w:rsidRPr="008345BA" w:rsidRDefault="008345BA" w:rsidP="008345BA">
    <w:pPr>
      <w:pStyle w:val="Footer"/>
      <w:tabs>
        <w:tab w:val="clear" w:pos="9360"/>
        <w:tab w:val="right" w:pos="10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6E" w:rsidRDefault="0035376E" w:rsidP="007F1A2A">
      <w:pPr>
        <w:spacing w:after="0" w:line="240" w:lineRule="auto"/>
      </w:pPr>
      <w:r>
        <w:separator/>
      </w:r>
    </w:p>
  </w:footnote>
  <w:footnote w:type="continuationSeparator" w:id="0">
    <w:p w:rsidR="0035376E" w:rsidRDefault="0035376E"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0E" w:rsidRPr="00D51039" w:rsidRDefault="00E906DE" w:rsidP="00D51039">
    <w:pPr>
      <w:pStyle w:val="Header"/>
    </w:pPr>
    <w:fldSimple w:instr=" STYLEREF  Title  \* MERGEFORMAT ">
      <w:r w:rsidR="00066D43">
        <w:rPr>
          <w:noProof/>
        </w:rPr>
        <w:t>BSC Sandbox Impact Assessment and Consultation for Centrica</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CF5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064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D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C0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108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AA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61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8A6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0D1D5250"/>
    <w:multiLevelType w:val="hybridMultilevel"/>
    <w:tmpl w:val="3558DA4C"/>
    <w:lvl w:ilvl="0" w:tplc="2BC8FE88">
      <w:start w:val="1"/>
      <w:numFmt w:val="decimal"/>
      <w:lvlText w:val="%1."/>
      <w:lvlJc w:val="left"/>
      <w:pPr>
        <w:ind w:left="72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95C9B"/>
    <w:multiLevelType w:val="multilevel"/>
    <w:tmpl w:val="1F7C589E"/>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A9B5BDB"/>
    <w:multiLevelType w:val="multilevel"/>
    <w:tmpl w:val="42C84EE8"/>
    <w:lvl w:ilvl="0">
      <w:start w:val="1"/>
      <w:numFmt w:val="none"/>
      <w:lvlText w:val="%1"/>
      <w:lvlJc w:val="left"/>
      <w:pPr>
        <w:ind w:left="284" w:hanging="284"/>
      </w:pPr>
      <w:rPr>
        <w:rFonts w:ascii="Arial" w:hAnsi="Arial" w:hint="default"/>
        <w:b/>
        <w:i w:val="0"/>
        <w:sz w:val="17"/>
      </w:rPr>
    </w:lvl>
    <w:lvl w:ilvl="1">
      <w:start w:val="1"/>
      <w:numFmt w:val="decimal"/>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5" w15:restartNumberingAfterBreak="0">
    <w:nsid w:val="1CFF1A97"/>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16"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A777A"/>
    <w:multiLevelType w:val="multilevel"/>
    <w:tmpl w:val="6CFC974A"/>
    <w:numStyleLink w:val="Elexonnumber"/>
  </w:abstractNum>
  <w:abstractNum w:abstractNumId="1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9780E21"/>
    <w:multiLevelType w:val="multilevel"/>
    <w:tmpl w:val="6CFC974A"/>
    <w:numStyleLink w:val="Elexonnumber"/>
  </w:abstractNum>
  <w:abstractNum w:abstractNumId="21"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2" w15:restartNumberingAfterBreak="0">
    <w:nsid w:val="440B1D76"/>
    <w:multiLevelType w:val="multilevel"/>
    <w:tmpl w:val="6CFC974A"/>
    <w:numStyleLink w:val="Elexonnumber"/>
  </w:abstractNum>
  <w:abstractNum w:abstractNumId="23"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4" w15:restartNumberingAfterBreak="0">
    <w:nsid w:val="44540A9B"/>
    <w:multiLevelType w:val="multilevel"/>
    <w:tmpl w:val="A6C43024"/>
    <w:lvl w:ilvl="0">
      <w:start w:val="1"/>
      <w:numFmt w:val="bullet"/>
      <w:lvlText w:val=""/>
      <w:lvlJc w:val="left"/>
      <w:pPr>
        <w:ind w:left="680" w:hanging="680"/>
      </w:pPr>
      <w:rPr>
        <w:rFonts w:ascii="Wingdings" w:hAnsi="Wingdings" w:hint="default"/>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ind w:left="1134" w:hanging="227"/>
      </w:pPr>
      <w:rPr>
        <w:rFonts w:ascii="Wingdings" w:hAnsi="Wingdings" w:hint="default"/>
      </w:rPr>
    </w:lvl>
    <w:lvl w:ilvl="3">
      <w:start w:val="1"/>
      <w:numFmt w:val="bullet"/>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46231AB"/>
    <w:multiLevelType w:val="multilevel"/>
    <w:tmpl w:val="6CFC974A"/>
    <w:numStyleLink w:val="Elexonnumber"/>
  </w:abstractNum>
  <w:abstractNum w:abstractNumId="26" w15:restartNumberingAfterBreak="0">
    <w:nsid w:val="5C381A75"/>
    <w:multiLevelType w:val="hybridMultilevel"/>
    <w:tmpl w:val="22A8E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A12913"/>
    <w:multiLevelType w:val="multilevel"/>
    <w:tmpl w:val="B8A2ABA2"/>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66268CE"/>
    <w:multiLevelType w:val="multilevel"/>
    <w:tmpl w:val="075000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3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tplc="45400838">
        <w:start w:val="1"/>
        <w:numFmt w:val="none"/>
        <w:lvlText w:val="%1"/>
        <w:lvlJc w:val="left"/>
        <w:pPr>
          <w:ind w:left="0" w:firstLine="0"/>
        </w:pPr>
        <w:rPr>
          <w:rFonts w:ascii="Arial" w:hAnsi="Arial" w:hint="default"/>
          <w:b/>
          <w:i w:val="0"/>
          <w:sz w:val="17"/>
        </w:rPr>
      </w:lvl>
    </w:lvlOverride>
    <w:lvlOverride w:ilvl="1">
      <w:lvl w:ilvl="1" w:tplc="04090019">
        <w:start w:val="1"/>
        <w:numFmt w:val="decimal"/>
        <w:lvlText w:val="%2."/>
        <w:lvlJc w:val="left"/>
        <w:pPr>
          <w:ind w:left="567" w:hanging="567"/>
        </w:pPr>
        <w:rPr>
          <w:rFonts w:asciiTheme="minorHAnsi" w:hAnsiTheme="minorHAnsi" w:hint="default"/>
          <w:b/>
          <w:i w:val="0"/>
          <w:sz w:val="17"/>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
    <w:abstractNumId w:val="12"/>
  </w:num>
  <w:num w:numId="18">
    <w:abstractNumId w:val="14"/>
  </w:num>
  <w:num w:numId="19">
    <w:abstractNumId w:val="14"/>
  </w:num>
  <w:num w:numId="20">
    <w:abstractNumId w:val="29"/>
  </w:num>
  <w:num w:numId="21">
    <w:abstractNumId w:val="11"/>
  </w:num>
  <w:num w:numId="22">
    <w:abstractNumId w:val="23"/>
  </w:num>
  <w:num w:numId="23">
    <w:abstractNumId w:val="25"/>
  </w:num>
  <w:num w:numId="24">
    <w:abstractNumId w:val="13"/>
  </w:num>
  <w:num w:numId="25">
    <w:abstractNumId w:val="17"/>
  </w:num>
  <w:num w:numId="26">
    <w:abstractNumId w:val="15"/>
  </w:num>
  <w:num w:numId="27">
    <w:abstractNumId w:val="22"/>
  </w:num>
  <w:num w:numId="28">
    <w:abstractNumId w:val="20"/>
  </w:num>
  <w:num w:numId="29">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1">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2">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3">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4">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5">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6">
    <w:abstractNumId w:val="28"/>
  </w:num>
  <w:num w:numId="37">
    <w:abstractNumId w:val="28"/>
  </w:num>
  <w:num w:numId="38">
    <w:abstractNumId w:val="28"/>
  </w:num>
  <w:num w:numId="39">
    <w:abstractNumId w:val="28"/>
  </w:num>
  <w:num w:numId="40">
    <w:abstractNumId w:val="18"/>
  </w:num>
  <w:num w:numId="41">
    <w:abstractNumId w:val="30"/>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3B5E"/>
    <w:rsid w:val="00060AC7"/>
    <w:rsid w:val="00066D43"/>
    <w:rsid w:val="0008020D"/>
    <w:rsid w:val="00082C07"/>
    <w:rsid w:val="000E0B56"/>
    <w:rsid w:val="00103DE9"/>
    <w:rsid w:val="00110047"/>
    <w:rsid w:val="001258AA"/>
    <w:rsid w:val="00180D0A"/>
    <w:rsid w:val="001D58BD"/>
    <w:rsid w:val="00207EF5"/>
    <w:rsid w:val="00221E16"/>
    <w:rsid w:val="002226BD"/>
    <w:rsid w:val="0026756E"/>
    <w:rsid w:val="00275A03"/>
    <w:rsid w:val="002A28F3"/>
    <w:rsid w:val="002B7189"/>
    <w:rsid w:val="002E1110"/>
    <w:rsid w:val="002F6C5F"/>
    <w:rsid w:val="00310CB1"/>
    <w:rsid w:val="003263AE"/>
    <w:rsid w:val="00340C27"/>
    <w:rsid w:val="003411EC"/>
    <w:rsid w:val="0035376E"/>
    <w:rsid w:val="0036112A"/>
    <w:rsid w:val="00365A87"/>
    <w:rsid w:val="003713C5"/>
    <w:rsid w:val="003B2641"/>
    <w:rsid w:val="003F393A"/>
    <w:rsid w:val="003F7CF7"/>
    <w:rsid w:val="004464F3"/>
    <w:rsid w:val="00456B64"/>
    <w:rsid w:val="004B2619"/>
    <w:rsid w:val="005008D8"/>
    <w:rsid w:val="005033C6"/>
    <w:rsid w:val="00531ADF"/>
    <w:rsid w:val="00535B5A"/>
    <w:rsid w:val="005427F1"/>
    <w:rsid w:val="00570A5B"/>
    <w:rsid w:val="0058443B"/>
    <w:rsid w:val="00585BA3"/>
    <w:rsid w:val="005A7D30"/>
    <w:rsid w:val="005C2FFD"/>
    <w:rsid w:val="005D7769"/>
    <w:rsid w:val="005E1D59"/>
    <w:rsid w:val="0060439C"/>
    <w:rsid w:val="00612388"/>
    <w:rsid w:val="006178EC"/>
    <w:rsid w:val="00627D0E"/>
    <w:rsid w:val="00630CCA"/>
    <w:rsid w:val="006A2878"/>
    <w:rsid w:val="006A77BD"/>
    <w:rsid w:val="006F7595"/>
    <w:rsid w:val="00717602"/>
    <w:rsid w:val="007211FC"/>
    <w:rsid w:val="007351BE"/>
    <w:rsid w:val="00751ED0"/>
    <w:rsid w:val="0079062E"/>
    <w:rsid w:val="007935D5"/>
    <w:rsid w:val="007B21B5"/>
    <w:rsid w:val="007C43A5"/>
    <w:rsid w:val="007F1A2A"/>
    <w:rsid w:val="00802CB6"/>
    <w:rsid w:val="00832F59"/>
    <w:rsid w:val="008345BA"/>
    <w:rsid w:val="00892B30"/>
    <w:rsid w:val="008946DB"/>
    <w:rsid w:val="008D6173"/>
    <w:rsid w:val="00904932"/>
    <w:rsid w:val="009550AF"/>
    <w:rsid w:val="00973075"/>
    <w:rsid w:val="00977766"/>
    <w:rsid w:val="009917D5"/>
    <w:rsid w:val="00996912"/>
    <w:rsid w:val="009D1D53"/>
    <w:rsid w:val="009D563B"/>
    <w:rsid w:val="00A10A25"/>
    <w:rsid w:val="00A33F0A"/>
    <w:rsid w:val="00A342D0"/>
    <w:rsid w:val="00A55CED"/>
    <w:rsid w:val="00A677F5"/>
    <w:rsid w:val="00A85ACF"/>
    <w:rsid w:val="00AA02FD"/>
    <w:rsid w:val="00AA06FD"/>
    <w:rsid w:val="00AC33B2"/>
    <w:rsid w:val="00AD50AF"/>
    <w:rsid w:val="00B30E43"/>
    <w:rsid w:val="00B437F5"/>
    <w:rsid w:val="00B5291F"/>
    <w:rsid w:val="00B63954"/>
    <w:rsid w:val="00B87B44"/>
    <w:rsid w:val="00BA06BC"/>
    <w:rsid w:val="00BA0E67"/>
    <w:rsid w:val="00BA3D8A"/>
    <w:rsid w:val="00BF62B6"/>
    <w:rsid w:val="00C16E52"/>
    <w:rsid w:val="00C22ED1"/>
    <w:rsid w:val="00C60B7C"/>
    <w:rsid w:val="00C71655"/>
    <w:rsid w:val="00CB4530"/>
    <w:rsid w:val="00CE2CB3"/>
    <w:rsid w:val="00CF3C9B"/>
    <w:rsid w:val="00D04C46"/>
    <w:rsid w:val="00D27FDF"/>
    <w:rsid w:val="00D51039"/>
    <w:rsid w:val="00D53C17"/>
    <w:rsid w:val="00D72E14"/>
    <w:rsid w:val="00D7364B"/>
    <w:rsid w:val="00D86F12"/>
    <w:rsid w:val="00D87C80"/>
    <w:rsid w:val="00D90895"/>
    <w:rsid w:val="00E03B82"/>
    <w:rsid w:val="00E16B3E"/>
    <w:rsid w:val="00E174AA"/>
    <w:rsid w:val="00E42681"/>
    <w:rsid w:val="00E720F1"/>
    <w:rsid w:val="00E906DE"/>
    <w:rsid w:val="00EC5306"/>
    <w:rsid w:val="00EF5671"/>
    <w:rsid w:val="00F14B16"/>
    <w:rsid w:val="00F251A3"/>
    <w:rsid w:val="00F346D7"/>
    <w:rsid w:val="00F43087"/>
    <w:rsid w:val="00F75CA7"/>
    <w:rsid w:val="00F902D6"/>
    <w:rsid w:val="00F90BB1"/>
    <w:rsid w:val="00FD1189"/>
    <w:rsid w:val="00F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1DFF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ElexonBody"/>
    <w:link w:val="Heading1Char"/>
    <w:uiPriority w:val="9"/>
    <w:qFormat/>
    <w:rsid w:val="00B437F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26756E"/>
    <w:pPr>
      <w:numPr>
        <w:numId w:val="20"/>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B437F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87C80"/>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E42681"/>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B437F5"/>
    <w:rPr>
      <w:rFonts w:ascii="Arial" w:hAnsi="Arial" w:cs="Arial"/>
      <w:b/>
      <w:bCs/>
      <w:color w:val="00008C"/>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0008B"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A677F5"/>
    <w:pPr>
      <w:spacing w:after="0" w:line="240" w:lineRule="auto"/>
    </w:pPr>
    <w:rPr>
      <w:sz w:val="17"/>
    </w:rPr>
  </w:style>
  <w:style w:type="paragraph" w:customStyle="1" w:styleId="ElexonTableTextLarge">
    <w:name w:val="Elexon Table Text Large"/>
    <w:basedOn w:val="Elexon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0008B"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26756E"/>
    <w:rPr>
      <w:rFonts w:ascii="Arial" w:hAnsi="Arial" w:cs="Arial"/>
      <w:b/>
      <w:bCs/>
      <w:color w:val="00008C"/>
      <w:sz w:val="20"/>
      <w:szCs w:val="20"/>
      <w:lang w:val="en-GB"/>
    </w:rPr>
  </w:style>
  <w:style w:type="paragraph" w:customStyle="1" w:styleId="ElexonBody">
    <w:name w:val="Elexon Body"/>
    <w:basedOn w:val="Normal"/>
    <w:qFormat/>
    <w:rsid w:val="00365A87"/>
    <w:pPr>
      <w:spacing w:after="120" w:line="260" w:lineRule="atLeast"/>
    </w:pPr>
  </w:style>
  <w:style w:type="table" w:customStyle="1" w:styleId="ElexonBasicTable">
    <w:name w:val="Elexon Basic Table"/>
    <w:basedOn w:val="TableNormal"/>
    <w:uiPriority w:val="99"/>
    <w:rsid w:val="007211FC"/>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B437F5"/>
    <w:rPr>
      <w:rFonts w:ascii="Arial" w:hAnsi="Arial" w:cs="Arial"/>
      <w:b/>
      <w:bCs/>
      <w:color w:val="00008C"/>
      <w:sz w:val="18"/>
      <w:szCs w:val="18"/>
      <w:lang w:val="en-GB"/>
    </w:rPr>
  </w:style>
  <w:style w:type="paragraph" w:styleId="List">
    <w:name w:val="List"/>
    <w:basedOn w:val="Heading3"/>
    <w:next w:val="List2"/>
    <w:uiPriority w:val="99"/>
    <w:unhideWhenUsed/>
    <w:qFormat/>
    <w:rsid w:val="00B437F5"/>
    <w:pPr>
      <w:numPr>
        <w:numId w:val="35"/>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35"/>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35"/>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14"/>
      </w:numPr>
      <w:contextualSpacing/>
    </w:pPr>
  </w:style>
  <w:style w:type="paragraph" w:styleId="ListNumber">
    <w:name w:val="List Number"/>
    <w:basedOn w:val="Normal"/>
    <w:uiPriority w:val="99"/>
    <w:unhideWhenUsed/>
    <w:rsid w:val="00904932"/>
    <w:pPr>
      <w:numPr>
        <w:numId w:val="9"/>
      </w:numPr>
      <w:contextualSpacing/>
    </w:pPr>
    <w:rPr>
      <w:b/>
      <w:color w:val="00008B" w:themeColor="text1"/>
    </w:rPr>
  </w:style>
  <w:style w:type="paragraph" w:customStyle="1" w:styleId="ElexonNumberedTableText">
    <w:name w:val="Elexon Numbered Table Text"/>
    <w:basedOn w:val="ElexonTableTextSmall"/>
    <w:qFormat/>
    <w:rsid w:val="00BA0E67"/>
    <w:pPr>
      <w:numPr>
        <w:ilvl w:val="1"/>
        <w:numId w:val="20"/>
      </w:numPr>
    </w:pPr>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A85ACF"/>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A85ACF"/>
    <w:rPr>
      <w:rFonts w:asciiTheme="majorHAnsi" w:eastAsiaTheme="majorEastAsia" w:hAnsiTheme="majorHAnsi" w:cstheme="majorBidi"/>
      <w:b/>
      <w:caps/>
      <w:color w:val="00008B" w:themeColor="text1"/>
      <w:spacing w:val="80"/>
      <w:kern w:val="28"/>
      <w:sz w:val="50"/>
      <w:szCs w:val="56"/>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00045" w:themeColor="accent1" w:themeShade="7F"/>
      <w:sz w:val="18"/>
    </w:rPr>
  </w:style>
  <w:style w:type="paragraph" w:styleId="Subtitle">
    <w:name w:val="Subtitle"/>
    <w:basedOn w:val="Normal"/>
    <w:next w:val="Normal"/>
    <w:link w:val="SubtitleChar"/>
    <w:uiPriority w:val="11"/>
    <w:qFormat/>
    <w:rsid w:val="001258A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1258AA"/>
    <w:rPr>
      <w:rFonts w:ascii="Arial" w:hAnsi="Arial" w:cs="Arial"/>
      <w:color w:val="00008C"/>
      <w:sz w:val="30"/>
      <w:szCs w:val="30"/>
      <w:lang w:val="en-GB"/>
    </w:rPr>
  </w:style>
  <w:style w:type="paragraph" w:styleId="TOCHeading">
    <w:name w:val="TOC Heading"/>
    <w:basedOn w:val="Heading1"/>
    <w:next w:val="Normal"/>
    <w:uiPriority w:val="39"/>
    <w:unhideWhenUsed/>
    <w:qFormat/>
    <w:rsid w:val="00E03B82"/>
    <w:pP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0008B"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0008B"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0008B" w:themeColor="text1"/>
      <w:sz w:val="22"/>
    </w:rPr>
  </w:style>
  <w:style w:type="numbering" w:customStyle="1" w:styleId="Elexonnumber">
    <w:name w:val="Elexon number"/>
    <w:uiPriority w:val="99"/>
    <w:rsid w:val="00D87C80"/>
    <w:pPr>
      <w:numPr>
        <w:numId w:val="21"/>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3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41"/>
      </w:numPr>
      <w:spacing w:after="120" w:line="240" w:lineRule="atLeast"/>
      <w:contextualSpacing/>
    </w:pPr>
  </w:style>
  <w:style w:type="paragraph" w:styleId="ListBullet2">
    <w:name w:val="List Bullet 2"/>
    <w:basedOn w:val="Normal"/>
    <w:uiPriority w:val="99"/>
    <w:unhideWhenUsed/>
    <w:qFormat/>
    <w:rsid w:val="00E720F1"/>
    <w:pPr>
      <w:numPr>
        <w:ilvl w:val="1"/>
        <w:numId w:val="41"/>
      </w:numPr>
      <w:spacing w:after="120" w:line="260" w:lineRule="atLeast"/>
      <w:contextualSpacing/>
    </w:pPr>
  </w:style>
  <w:style w:type="paragraph" w:styleId="ListBullet3">
    <w:name w:val="List Bullet 3"/>
    <w:basedOn w:val="Normal"/>
    <w:uiPriority w:val="99"/>
    <w:unhideWhenUsed/>
    <w:qFormat/>
    <w:rsid w:val="00E720F1"/>
    <w:pPr>
      <w:numPr>
        <w:ilvl w:val="2"/>
        <w:numId w:val="41"/>
      </w:numPr>
      <w:spacing w:after="120" w:line="240" w:lineRule="atLeast"/>
      <w:contextualSpacing/>
    </w:pPr>
  </w:style>
  <w:style w:type="paragraph" w:styleId="ListBullet4">
    <w:name w:val="List Bullet 4"/>
    <w:basedOn w:val="Normal"/>
    <w:uiPriority w:val="99"/>
    <w:unhideWhenUsed/>
    <w:qFormat/>
    <w:rsid w:val="00E720F1"/>
    <w:pPr>
      <w:numPr>
        <w:ilvl w:val="3"/>
        <w:numId w:val="41"/>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00068" w:themeColor="accent1" w:themeShade="BF"/>
      <w:sz w:val="20"/>
    </w:rPr>
  </w:style>
  <w:style w:type="paragraph" w:styleId="ListBullet5">
    <w:name w:val="List Bullet 5"/>
    <w:basedOn w:val="Normal"/>
    <w:uiPriority w:val="99"/>
    <w:unhideWhenUsed/>
    <w:rsid w:val="00612388"/>
    <w:pPr>
      <w:numPr>
        <w:ilvl w:val="4"/>
        <w:numId w:val="40"/>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0008B"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Elexon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character" w:styleId="CommentReference">
    <w:name w:val="annotation reference"/>
    <w:basedOn w:val="DefaultParagraphFont"/>
    <w:uiPriority w:val="99"/>
    <w:semiHidden/>
    <w:unhideWhenUsed/>
    <w:rsid w:val="0035376E"/>
    <w:rPr>
      <w:sz w:val="16"/>
      <w:szCs w:val="16"/>
    </w:rPr>
  </w:style>
  <w:style w:type="paragraph" w:styleId="CommentText">
    <w:name w:val="annotation text"/>
    <w:basedOn w:val="Normal"/>
    <w:link w:val="CommentTextChar"/>
    <w:uiPriority w:val="99"/>
    <w:semiHidden/>
    <w:unhideWhenUsed/>
    <w:rsid w:val="0035376E"/>
    <w:pPr>
      <w:spacing w:line="240" w:lineRule="auto"/>
    </w:pPr>
    <w:rPr>
      <w:szCs w:val="20"/>
    </w:rPr>
  </w:style>
  <w:style w:type="character" w:customStyle="1" w:styleId="CommentTextChar">
    <w:name w:val="Comment Text Char"/>
    <w:basedOn w:val="DefaultParagraphFont"/>
    <w:link w:val="CommentText"/>
    <w:uiPriority w:val="99"/>
    <w:semiHidden/>
    <w:rsid w:val="0035376E"/>
    <w:rPr>
      <w:sz w:val="20"/>
      <w:szCs w:val="20"/>
      <w:lang w:val="en-GB"/>
    </w:rPr>
  </w:style>
  <w:style w:type="paragraph" w:styleId="BalloonText">
    <w:name w:val="Balloon Text"/>
    <w:basedOn w:val="Normal"/>
    <w:link w:val="BalloonTextChar"/>
    <w:uiPriority w:val="99"/>
    <w:semiHidden/>
    <w:unhideWhenUsed/>
    <w:rsid w:val="0035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6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3BF47154548528DBAA1CCD16263F9"/>
        <w:category>
          <w:name w:val="General"/>
          <w:gallery w:val="placeholder"/>
        </w:category>
        <w:types>
          <w:type w:val="bbPlcHdr"/>
        </w:types>
        <w:behaviors>
          <w:behavior w:val="content"/>
        </w:behaviors>
        <w:guid w:val="{7ED3C3EA-3C4F-4DC0-BDD3-7C71893819FD}"/>
      </w:docPartPr>
      <w:docPartBody>
        <w:p w:rsidR="00824FFF" w:rsidRDefault="007C22B4" w:rsidP="007C22B4">
          <w:pPr>
            <w:pStyle w:val="FD03BF47154548528DBAA1CCD16263F93"/>
          </w:pPr>
          <w:r w:rsidRPr="00E174AA">
            <w:rPr>
              <w:rStyle w:val="PlaceholderText"/>
            </w:rPr>
            <w:t xml:space="preserve">Click </w:t>
          </w:r>
          <w:r>
            <w:rPr>
              <w:rStyle w:val="PlaceholderText"/>
            </w:rPr>
            <w:t>to select document status</w:t>
          </w:r>
          <w:r w:rsidRPr="00E174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B4"/>
    <w:rsid w:val="004857A8"/>
    <w:rsid w:val="007A0C45"/>
    <w:rsid w:val="007C22B4"/>
    <w:rsid w:val="00824FFF"/>
    <w:rsid w:val="00AA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B4"/>
    <w:rPr>
      <w:color w:val="808080"/>
    </w:rPr>
  </w:style>
  <w:style w:type="paragraph" w:customStyle="1" w:styleId="FD03BF47154548528DBAA1CCD16263F9">
    <w:name w:val="FD03BF47154548528DBAA1CCD16263F9"/>
    <w:rsid w:val="007C22B4"/>
  </w:style>
  <w:style w:type="paragraph" w:customStyle="1" w:styleId="FD03BF47154548528DBAA1CCD16263F91">
    <w:name w:val="FD03BF47154548528DBAA1CCD16263F91"/>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2">
    <w:name w:val="FD03BF47154548528DBAA1CCD16263F92"/>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3">
    <w:name w:val="FD03BF47154548528DBAA1CCD16263F93"/>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A109-5DC1-48AC-8870-9CEE4C79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Peter Frampton</dc:creator>
  <cp:keywords/>
  <dc:description/>
  <cp:lastModifiedBy>Peter Frampton</cp:lastModifiedBy>
  <cp:revision>11</cp:revision>
  <dcterms:created xsi:type="dcterms:W3CDTF">2021-11-09T11:17:00Z</dcterms:created>
  <dcterms:modified xsi:type="dcterms:W3CDTF">2021-11-15T14:03:00Z</dcterms:modified>
</cp:coreProperties>
</file>