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10318"/>
      </w:tblGrid>
      <w:tr w:rsidR="00763AB3" w:rsidRPr="00D213E4" w:rsidTr="009726E8">
        <w:trPr>
          <w:cantSplit/>
          <w:trHeight w:val="550"/>
        </w:trPr>
        <w:tc>
          <w:tcPr>
            <w:tcW w:w="10318" w:type="dxa"/>
            <w:tcBorders>
              <w:bottom w:val="single" w:sz="36" w:space="0" w:color="0090AB" w:themeColor="text2"/>
            </w:tcBorders>
          </w:tcPr>
          <w:p w:rsidR="00763AB3" w:rsidRDefault="009E6D12" w:rsidP="009726E8">
            <w:pPr>
              <w:pStyle w:val="Title"/>
            </w:pPr>
            <w:r>
              <w:t>Aligning BSC Reporting with EMR Regulations</w:t>
            </w:r>
          </w:p>
        </w:tc>
      </w:tr>
      <w:tr w:rsidR="00763AB3" w:rsidRPr="001E1D73" w:rsidTr="009726E8">
        <w:tc>
          <w:tcPr>
            <w:tcW w:w="10318" w:type="dxa"/>
          </w:tcPr>
          <w:p w:rsidR="00763AB3" w:rsidRPr="00E11F1F" w:rsidRDefault="00763AB3" w:rsidP="009726E8">
            <w:pPr>
              <w:pStyle w:val="BodyText"/>
            </w:pPr>
          </w:p>
        </w:tc>
      </w:tr>
    </w:tbl>
    <w:p w:rsidR="00763AB3" w:rsidRDefault="00763AB3" w:rsidP="00763AB3">
      <w:pPr>
        <w:pStyle w:val="1pt"/>
      </w:pPr>
    </w:p>
    <w:p w:rsidR="00763AB3" w:rsidRDefault="00763AB3" w:rsidP="00763AB3">
      <w:pPr>
        <w:pStyle w:val="1pt"/>
      </w:pPr>
    </w:p>
    <w:tbl>
      <w:tblPr>
        <w:tblpPr w:leftFromText="181" w:rightFromText="181" w:bottomFromText="567" w:vertAnchor="page" w:horzAnchor="margin" w:tblpY="15376"/>
        <w:tblOverlap w:val="never"/>
        <w:tblW w:w="10307" w:type="dxa"/>
        <w:shd w:val="clear" w:color="auto" w:fill="FFFFFF" w:themeFill="background1"/>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763AB3" w:rsidTr="009726E8">
        <w:trPr>
          <w:trHeight w:val="159"/>
        </w:trPr>
        <w:tc>
          <w:tcPr>
            <w:tcW w:w="2296" w:type="dxa"/>
            <w:tcBorders>
              <w:top w:val="single" w:sz="36" w:space="0" w:color="0090AB" w:themeColor="text2"/>
            </w:tcBorders>
            <w:shd w:val="clear" w:color="auto" w:fill="FFFFFF" w:themeFill="background1"/>
          </w:tcPr>
          <w:p w:rsidR="00763AB3" w:rsidRDefault="00763AB3" w:rsidP="009726E8">
            <w:pPr>
              <w:pStyle w:val="1pt"/>
            </w:pPr>
          </w:p>
        </w:tc>
        <w:tc>
          <w:tcPr>
            <w:tcW w:w="284" w:type="dxa"/>
            <w:shd w:val="clear" w:color="auto" w:fill="FFFFFF" w:themeFill="background1"/>
          </w:tcPr>
          <w:p w:rsidR="00763AB3" w:rsidRDefault="00763AB3" w:rsidP="009726E8">
            <w:pPr>
              <w:pStyle w:val="1pt"/>
            </w:pPr>
          </w:p>
        </w:tc>
        <w:tc>
          <w:tcPr>
            <w:tcW w:w="2714" w:type="dxa"/>
            <w:tcBorders>
              <w:top w:val="single" w:sz="36" w:space="0" w:color="0090AB" w:themeColor="text2"/>
            </w:tcBorders>
            <w:shd w:val="clear" w:color="auto" w:fill="FFFFFF" w:themeFill="background1"/>
          </w:tcPr>
          <w:p w:rsidR="00763AB3" w:rsidRDefault="00763AB3" w:rsidP="009726E8">
            <w:pPr>
              <w:pStyle w:val="1pt"/>
            </w:pPr>
          </w:p>
        </w:tc>
        <w:tc>
          <w:tcPr>
            <w:tcW w:w="2712" w:type="dxa"/>
            <w:tcBorders>
              <w:top w:val="single" w:sz="36" w:space="0" w:color="0090AB" w:themeColor="text2"/>
            </w:tcBorders>
            <w:shd w:val="clear" w:color="auto" w:fill="FFFFFF" w:themeFill="background1"/>
          </w:tcPr>
          <w:p w:rsidR="00763AB3" w:rsidRDefault="00763AB3" w:rsidP="009726E8">
            <w:pPr>
              <w:pStyle w:val="1pt"/>
            </w:pPr>
          </w:p>
        </w:tc>
        <w:tc>
          <w:tcPr>
            <w:tcW w:w="2301" w:type="dxa"/>
            <w:tcBorders>
              <w:top w:val="single" w:sz="36" w:space="0" w:color="0090AB" w:themeColor="text2"/>
            </w:tcBorders>
            <w:shd w:val="clear" w:color="auto" w:fill="FFFFFF" w:themeFill="background1"/>
          </w:tcPr>
          <w:p w:rsidR="00763AB3" w:rsidRPr="009845EB" w:rsidRDefault="00763AB3" w:rsidP="009726E8">
            <w:pPr>
              <w:pStyle w:val="1pt"/>
            </w:pPr>
          </w:p>
        </w:tc>
      </w:tr>
      <w:tr w:rsidR="00763AB3" w:rsidTr="009726E8">
        <w:trPr>
          <w:trHeight w:val="357"/>
        </w:trPr>
        <w:tc>
          <w:tcPr>
            <w:tcW w:w="2296" w:type="dxa"/>
            <w:shd w:val="clear" w:color="auto" w:fill="FFFFFF" w:themeFill="background1"/>
          </w:tcPr>
          <w:p w:rsidR="00763AB3" w:rsidRPr="00BF573B" w:rsidRDefault="00D15882" w:rsidP="00D15882">
            <w:pPr>
              <w:pStyle w:val="FooterRef1"/>
              <w:framePr w:hSpace="0" w:wrap="auto" w:vAnchor="margin" w:hAnchor="text" w:yAlign="inline"/>
              <w:suppressOverlap w:val="0"/>
            </w:pPr>
            <w:r>
              <w:t>Aligning BSC</w:t>
            </w:r>
            <w:r w:rsidR="004542EC">
              <w:t xml:space="preserve"> Data</w:t>
            </w:r>
            <w:r>
              <w:t xml:space="preserve"> with EMR Regulations</w:t>
            </w:r>
            <w:r w:rsidR="004542EC">
              <w:t xml:space="preserve"> - Responses</w:t>
            </w:r>
          </w:p>
        </w:tc>
        <w:tc>
          <w:tcPr>
            <w:tcW w:w="284" w:type="dxa"/>
            <w:shd w:val="clear" w:color="auto" w:fill="FFFFFF" w:themeFill="background1"/>
          </w:tcPr>
          <w:p w:rsidR="00763AB3" w:rsidRDefault="00763AB3" w:rsidP="009726E8">
            <w:pPr>
              <w:pStyle w:val="Footer"/>
            </w:pPr>
          </w:p>
        </w:tc>
        <w:tc>
          <w:tcPr>
            <w:tcW w:w="2714" w:type="dxa"/>
            <w:shd w:val="clear" w:color="auto" w:fill="FFFFFF" w:themeFill="background1"/>
          </w:tcPr>
          <w:p w:rsidR="00763AB3" w:rsidRPr="00B120C5" w:rsidRDefault="00763AB3" w:rsidP="009726E8">
            <w:pPr>
              <w:pStyle w:val="FooterRef2"/>
              <w:framePr w:hSpace="0" w:wrap="auto" w:vAnchor="margin" w:hAnchor="text" w:yAlign="inline"/>
              <w:suppressOverlap w:val="0"/>
            </w:pPr>
          </w:p>
        </w:tc>
        <w:tc>
          <w:tcPr>
            <w:tcW w:w="2712" w:type="dxa"/>
            <w:shd w:val="clear" w:color="auto" w:fill="FFFFFF" w:themeFill="background1"/>
          </w:tcPr>
          <w:p w:rsidR="00763AB3" w:rsidRPr="00B120C5" w:rsidRDefault="00763AB3" w:rsidP="009726E8">
            <w:pPr>
              <w:pStyle w:val="FooterRef3"/>
              <w:framePr w:hSpace="0" w:wrap="auto" w:vAnchor="margin" w:hAnchor="text" w:yAlign="inline"/>
              <w:suppressOverlap w:val="0"/>
            </w:pPr>
          </w:p>
        </w:tc>
        <w:tc>
          <w:tcPr>
            <w:tcW w:w="2301" w:type="dxa"/>
            <w:vMerge w:val="restart"/>
            <w:shd w:val="clear" w:color="auto" w:fill="FFFFFF" w:themeFill="background1"/>
            <w:vAlign w:val="bottom"/>
          </w:tcPr>
          <w:p w:rsidR="00763AB3" w:rsidRDefault="00763AB3" w:rsidP="009726E8">
            <w:pPr>
              <w:pStyle w:val="Footer"/>
            </w:pPr>
            <w:r>
              <w:rPr>
                <w:rFonts w:hint="eastAsia"/>
                <w:noProof/>
                <w:lang w:eastAsia="en-GB"/>
              </w:rPr>
              <w:drawing>
                <wp:inline distT="0" distB="0" distL="0" distR="0" wp14:anchorId="412A43A0" wp14:editId="0D7133E2">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763AB3" w:rsidTr="009726E8">
        <w:trPr>
          <w:trHeight w:val="295"/>
        </w:trPr>
        <w:tc>
          <w:tcPr>
            <w:tcW w:w="2296" w:type="dxa"/>
            <w:shd w:val="clear" w:color="auto" w:fill="FFFFFF" w:themeFill="background1"/>
          </w:tcPr>
          <w:p w:rsidR="00763AB3" w:rsidRPr="004873F8" w:rsidRDefault="00763AB3" w:rsidP="009726E8">
            <w:pPr>
              <w:pStyle w:val="Footer"/>
            </w:pPr>
            <w:r w:rsidRPr="004873F8">
              <w:t xml:space="preserve">Page </w:t>
            </w:r>
            <w:r>
              <w:fldChar w:fldCharType="begin"/>
            </w:r>
            <w:r>
              <w:instrText xml:space="preserve"> PAGE  \* Arabic  \* MERGEFORMAT </w:instrText>
            </w:r>
            <w:r>
              <w:fldChar w:fldCharType="separate"/>
            </w:r>
            <w:r w:rsidR="0010438D">
              <w:rPr>
                <w:noProof/>
              </w:rPr>
              <w:t>1</w:t>
            </w:r>
            <w:r>
              <w:rPr>
                <w:noProof/>
              </w:rPr>
              <w:fldChar w:fldCharType="end"/>
            </w:r>
            <w:r w:rsidRPr="004873F8">
              <w:t xml:space="preserve"> of </w:t>
            </w:r>
            <w:r w:rsidR="0060136A">
              <w:fldChar w:fldCharType="begin"/>
            </w:r>
            <w:r w:rsidR="0060136A">
              <w:instrText xml:space="preserve"> NUMPAGES  \* Arabic  \* MERGEFORMAT </w:instrText>
            </w:r>
            <w:r w:rsidR="0060136A">
              <w:fldChar w:fldCharType="separate"/>
            </w:r>
            <w:r w:rsidR="0010438D">
              <w:rPr>
                <w:noProof/>
              </w:rPr>
              <w:t>4</w:t>
            </w:r>
            <w:r w:rsidR="0060136A">
              <w:rPr>
                <w:noProof/>
              </w:rPr>
              <w:fldChar w:fldCharType="end"/>
            </w:r>
          </w:p>
        </w:tc>
        <w:tc>
          <w:tcPr>
            <w:tcW w:w="284" w:type="dxa"/>
            <w:shd w:val="clear" w:color="auto" w:fill="FFFFFF" w:themeFill="background1"/>
          </w:tcPr>
          <w:p w:rsidR="00763AB3" w:rsidRDefault="00763AB3" w:rsidP="009726E8">
            <w:pPr>
              <w:pStyle w:val="Footer"/>
            </w:pPr>
          </w:p>
        </w:tc>
        <w:tc>
          <w:tcPr>
            <w:tcW w:w="2714" w:type="dxa"/>
            <w:shd w:val="clear" w:color="auto" w:fill="FFFFFF" w:themeFill="background1"/>
          </w:tcPr>
          <w:p w:rsidR="00763AB3" w:rsidRDefault="004542EC" w:rsidP="009726E8">
            <w:pPr>
              <w:pStyle w:val="FooterDate"/>
              <w:framePr w:hSpace="0" w:wrap="auto" w:vAnchor="margin" w:hAnchor="text" w:yAlign="inline"/>
              <w:suppressOverlap w:val="0"/>
            </w:pPr>
            <w:r>
              <w:t>15 October 2018</w:t>
            </w:r>
          </w:p>
        </w:tc>
        <w:tc>
          <w:tcPr>
            <w:tcW w:w="2712" w:type="dxa"/>
            <w:shd w:val="clear" w:color="auto" w:fill="FFFFFF" w:themeFill="background1"/>
          </w:tcPr>
          <w:p w:rsidR="00763AB3" w:rsidRDefault="00763AB3" w:rsidP="009726E8">
            <w:pPr>
              <w:pStyle w:val="Footer"/>
            </w:pPr>
            <w:r>
              <w:t xml:space="preserve">© ELEXON </w:t>
            </w:r>
            <w:r>
              <w:fldChar w:fldCharType="begin"/>
            </w:r>
            <w:r>
              <w:instrText xml:space="preserve"> DATE  \@ "yyyy" </w:instrText>
            </w:r>
            <w:r>
              <w:fldChar w:fldCharType="separate"/>
            </w:r>
            <w:r w:rsidR="0060136A">
              <w:rPr>
                <w:noProof/>
              </w:rPr>
              <w:t>2018</w:t>
            </w:r>
            <w:r>
              <w:fldChar w:fldCharType="end"/>
            </w:r>
          </w:p>
        </w:tc>
        <w:tc>
          <w:tcPr>
            <w:tcW w:w="2301" w:type="dxa"/>
            <w:vMerge/>
            <w:shd w:val="clear" w:color="auto" w:fill="FFFFFF" w:themeFill="background1"/>
          </w:tcPr>
          <w:p w:rsidR="00763AB3" w:rsidRDefault="00763AB3" w:rsidP="009726E8">
            <w:pPr>
              <w:pStyle w:val="Footer"/>
            </w:pPr>
          </w:p>
        </w:tc>
      </w:tr>
    </w:tbl>
    <w:p w:rsidR="00763AB3" w:rsidRDefault="00763AB3" w:rsidP="00763AB3">
      <w:pPr>
        <w:pStyle w:val="1pt"/>
        <w:sectPr w:rsidR="00763AB3" w:rsidSect="0097176D">
          <w:headerReference w:type="default" r:id="rId10"/>
          <w:footerReference w:type="default" r:id="rId11"/>
          <w:pgSz w:w="11906" w:h="16838" w:code="9"/>
          <w:pgMar w:top="1162" w:right="794" w:bottom="1928" w:left="794" w:header="879" w:footer="539" w:gutter="0"/>
          <w:cols w:space="708"/>
          <w:titlePg/>
          <w:docGrid w:linePitch="360"/>
        </w:sectPr>
      </w:pPr>
    </w:p>
    <w:p w:rsidR="009E6D12" w:rsidRPr="005462A4" w:rsidRDefault="009E6D12" w:rsidP="009E6D12">
      <w:pPr>
        <w:pStyle w:val="BodyText"/>
        <w:rPr>
          <w:b/>
          <w:i/>
        </w:rPr>
      </w:pPr>
      <w:r>
        <w:lastRenderedPageBreak/>
        <w:t xml:space="preserve">We invite you to respond to </w:t>
      </w:r>
      <w:bookmarkStart w:id="0" w:name="_GoBack"/>
      <w:r>
        <w:t>the consultation on aligning BSC reporting with EMR Regulations (in relation to Imports to Licensed Generation, and Exempt Supply across the Distribution Network).</w:t>
      </w:r>
      <w:bookmarkEnd w:id="0"/>
    </w:p>
    <w:p w:rsidR="009E6D12" w:rsidRDefault="009E6D12" w:rsidP="009E6D12">
      <w:pPr>
        <w:pStyle w:val="Heading"/>
      </w:pPr>
      <w:proofErr w:type="gramStart"/>
      <w:r w:rsidRPr="003655F0">
        <w:t>Your</w:t>
      </w:r>
      <w:proofErr w:type="gramEnd"/>
      <w:r w:rsidRPr="003655F0">
        <w:t xml:space="preserve"> Contact Details:</w:t>
      </w:r>
    </w:p>
    <w:tbl>
      <w:tblPr>
        <w:tblStyle w:val="ElexonTable"/>
        <w:tblW w:w="5000" w:type="pct"/>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2272"/>
        <w:gridCol w:w="8046"/>
      </w:tblGrid>
      <w:tr w:rsidR="009E6D12" w:rsidRPr="00563391" w:rsidTr="000F43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pct"/>
            <w:shd w:val="clear" w:color="auto" w:fill="FFFFFF" w:themeFill="background1"/>
          </w:tcPr>
          <w:p w:rsidR="009E6D12" w:rsidRPr="00204E43" w:rsidRDefault="009E6D12" w:rsidP="000F4369">
            <w:r w:rsidRPr="00204E43">
              <w:t>Respondent</w:t>
            </w:r>
          </w:p>
        </w:tc>
        <w:tc>
          <w:tcPr>
            <w:tcW w:w="3899" w:type="pct"/>
            <w:shd w:val="clear" w:color="auto" w:fill="FFFFFF" w:themeFill="background1"/>
          </w:tcPr>
          <w:p w:rsidR="009E6D12" w:rsidRPr="00204E43" w:rsidRDefault="009E6D12" w:rsidP="000F4369">
            <w:pPr>
              <w:pStyle w:val="Tabletext"/>
              <w:cnfStyle w:val="100000000000" w:firstRow="1" w:lastRow="0" w:firstColumn="0" w:lastColumn="0" w:oddVBand="0" w:evenVBand="0" w:oddHBand="0" w:evenHBand="0" w:firstRowFirstColumn="0" w:firstRowLastColumn="0" w:lastRowFirstColumn="0" w:lastRowLastColumn="0"/>
            </w:pPr>
          </w:p>
        </w:tc>
      </w:tr>
      <w:tr w:rsidR="009E6D12" w:rsidRPr="00563391" w:rsidTr="000F4369">
        <w:tc>
          <w:tcPr>
            <w:cnfStyle w:val="001000000000" w:firstRow="0" w:lastRow="0" w:firstColumn="1" w:lastColumn="0" w:oddVBand="0" w:evenVBand="0" w:oddHBand="0" w:evenHBand="0" w:firstRowFirstColumn="0" w:firstRowLastColumn="0" w:lastRowFirstColumn="0" w:lastRowLastColumn="0"/>
            <w:tcW w:w="1101" w:type="pct"/>
            <w:shd w:val="clear" w:color="auto" w:fill="FFFFFF" w:themeFill="background1"/>
          </w:tcPr>
          <w:p w:rsidR="009E6D12" w:rsidRPr="00204E43" w:rsidRDefault="009E6D12" w:rsidP="000F4369">
            <w:r w:rsidRPr="00204E43">
              <w:t>Telephone contact</w:t>
            </w:r>
          </w:p>
        </w:tc>
        <w:tc>
          <w:tcPr>
            <w:tcW w:w="3899" w:type="pct"/>
            <w:shd w:val="clear" w:color="auto" w:fill="FFFFFF" w:themeFill="background1"/>
          </w:tcPr>
          <w:p w:rsidR="009E6D12" w:rsidRPr="00204E43" w:rsidRDefault="009E6D12" w:rsidP="000F4369">
            <w:pPr>
              <w:pStyle w:val="Tabletext"/>
              <w:cnfStyle w:val="000000000000" w:firstRow="0" w:lastRow="0" w:firstColumn="0" w:lastColumn="0" w:oddVBand="0" w:evenVBand="0" w:oddHBand="0" w:evenHBand="0" w:firstRowFirstColumn="0" w:firstRowLastColumn="0" w:lastRowFirstColumn="0" w:lastRowLastColumn="0"/>
            </w:pPr>
          </w:p>
        </w:tc>
      </w:tr>
      <w:tr w:rsidR="009E6D12" w:rsidRPr="00563391" w:rsidTr="000F4369">
        <w:tc>
          <w:tcPr>
            <w:cnfStyle w:val="001000000000" w:firstRow="0" w:lastRow="0" w:firstColumn="1" w:lastColumn="0" w:oddVBand="0" w:evenVBand="0" w:oddHBand="0" w:evenHBand="0" w:firstRowFirstColumn="0" w:firstRowLastColumn="0" w:lastRowFirstColumn="0" w:lastRowLastColumn="0"/>
            <w:tcW w:w="1101" w:type="pct"/>
            <w:shd w:val="clear" w:color="auto" w:fill="FFFFFF" w:themeFill="background1"/>
          </w:tcPr>
          <w:p w:rsidR="009E6D12" w:rsidRPr="00204E43" w:rsidRDefault="009E6D12" w:rsidP="000F4369">
            <w:r w:rsidRPr="00204E43">
              <w:t>Company name</w:t>
            </w:r>
          </w:p>
        </w:tc>
        <w:tc>
          <w:tcPr>
            <w:tcW w:w="3899" w:type="pct"/>
            <w:shd w:val="clear" w:color="auto" w:fill="FFFFFF" w:themeFill="background1"/>
          </w:tcPr>
          <w:p w:rsidR="009E6D12" w:rsidRPr="00204E43" w:rsidRDefault="009E6D12" w:rsidP="000F4369">
            <w:pPr>
              <w:pStyle w:val="Tabletext"/>
              <w:cnfStyle w:val="000000000000" w:firstRow="0" w:lastRow="0" w:firstColumn="0" w:lastColumn="0" w:oddVBand="0" w:evenVBand="0" w:oddHBand="0" w:evenHBand="0" w:firstRowFirstColumn="0" w:firstRowLastColumn="0" w:lastRowFirstColumn="0" w:lastRowLastColumn="0"/>
            </w:pPr>
          </w:p>
        </w:tc>
      </w:tr>
      <w:tr w:rsidR="009E6D12" w:rsidRPr="00563391" w:rsidTr="000F4369">
        <w:tc>
          <w:tcPr>
            <w:cnfStyle w:val="001000000000" w:firstRow="0" w:lastRow="0" w:firstColumn="1" w:lastColumn="0" w:oddVBand="0" w:evenVBand="0" w:oddHBand="0" w:evenHBand="0" w:firstRowFirstColumn="0" w:firstRowLastColumn="0" w:lastRowFirstColumn="0" w:lastRowLastColumn="0"/>
            <w:tcW w:w="1101" w:type="pct"/>
            <w:shd w:val="clear" w:color="auto" w:fill="FFFFFF" w:themeFill="background1"/>
          </w:tcPr>
          <w:p w:rsidR="009E6D12" w:rsidRPr="00204E43" w:rsidRDefault="009E6D12" w:rsidP="000F4369">
            <w:r w:rsidRPr="00204E43">
              <w:t xml:space="preserve">Number of BSC Parties represented </w:t>
            </w:r>
          </w:p>
        </w:tc>
        <w:tc>
          <w:tcPr>
            <w:tcW w:w="3899" w:type="pct"/>
            <w:shd w:val="clear" w:color="auto" w:fill="FFFFFF" w:themeFill="background1"/>
          </w:tcPr>
          <w:p w:rsidR="009E6D12" w:rsidRPr="00204E43" w:rsidRDefault="009E6D12" w:rsidP="000F4369">
            <w:pPr>
              <w:pStyle w:val="Tabletext"/>
              <w:cnfStyle w:val="000000000000" w:firstRow="0" w:lastRow="0" w:firstColumn="0" w:lastColumn="0" w:oddVBand="0" w:evenVBand="0" w:oddHBand="0" w:evenHBand="0" w:firstRowFirstColumn="0" w:firstRowLastColumn="0" w:lastRowFirstColumn="0" w:lastRowLastColumn="0"/>
            </w:pPr>
          </w:p>
        </w:tc>
      </w:tr>
      <w:tr w:rsidR="009E6D12" w:rsidRPr="00563391" w:rsidTr="000F4369">
        <w:tc>
          <w:tcPr>
            <w:cnfStyle w:val="001000000000" w:firstRow="0" w:lastRow="0" w:firstColumn="1" w:lastColumn="0" w:oddVBand="0" w:evenVBand="0" w:oddHBand="0" w:evenHBand="0" w:firstRowFirstColumn="0" w:firstRowLastColumn="0" w:lastRowFirstColumn="0" w:lastRowLastColumn="0"/>
            <w:tcW w:w="1101" w:type="pct"/>
            <w:shd w:val="clear" w:color="auto" w:fill="FFFFFF" w:themeFill="background1"/>
          </w:tcPr>
          <w:p w:rsidR="009E6D12" w:rsidRPr="00204E43" w:rsidRDefault="009E6D12" w:rsidP="000F4369">
            <w:r w:rsidRPr="00204E43">
              <w:t>Names of BSC Parties represented</w:t>
            </w:r>
          </w:p>
        </w:tc>
        <w:tc>
          <w:tcPr>
            <w:tcW w:w="3899" w:type="pct"/>
            <w:shd w:val="clear" w:color="auto" w:fill="FFFFFF" w:themeFill="background1"/>
          </w:tcPr>
          <w:p w:rsidR="009E6D12" w:rsidRPr="00204E43" w:rsidRDefault="009E6D12" w:rsidP="000F4369">
            <w:pPr>
              <w:pStyle w:val="Tabletext"/>
              <w:cnfStyle w:val="000000000000" w:firstRow="0" w:lastRow="0" w:firstColumn="0" w:lastColumn="0" w:oddVBand="0" w:evenVBand="0" w:oddHBand="0" w:evenHBand="0" w:firstRowFirstColumn="0" w:firstRowLastColumn="0" w:lastRowFirstColumn="0" w:lastRowLastColumn="0"/>
            </w:pPr>
          </w:p>
        </w:tc>
      </w:tr>
      <w:tr w:rsidR="009E6D12" w:rsidRPr="00563391" w:rsidTr="000F4369">
        <w:tc>
          <w:tcPr>
            <w:cnfStyle w:val="001000000000" w:firstRow="0" w:lastRow="0" w:firstColumn="1" w:lastColumn="0" w:oddVBand="0" w:evenVBand="0" w:oddHBand="0" w:evenHBand="0" w:firstRowFirstColumn="0" w:firstRowLastColumn="0" w:lastRowFirstColumn="0" w:lastRowLastColumn="0"/>
            <w:tcW w:w="1101" w:type="pct"/>
            <w:shd w:val="clear" w:color="auto" w:fill="FFFFFF" w:themeFill="background1"/>
          </w:tcPr>
          <w:p w:rsidR="009E6D12" w:rsidRPr="00204E43" w:rsidRDefault="009E6D12" w:rsidP="000F4369">
            <w:r w:rsidRPr="00204E43">
              <w:t>Number of non-Parties represented</w:t>
            </w:r>
          </w:p>
        </w:tc>
        <w:tc>
          <w:tcPr>
            <w:tcW w:w="3899" w:type="pct"/>
            <w:shd w:val="clear" w:color="auto" w:fill="FFFFFF" w:themeFill="background1"/>
          </w:tcPr>
          <w:p w:rsidR="009E6D12" w:rsidRPr="00204E43" w:rsidRDefault="009E6D12" w:rsidP="000F4369">
            <w:pPr>
              <w:pStyle w:val="Tabletext"/>
              <w:cnfStyle w:val="000000000000" w:firstRow="0" w:lastRow="0" w:firstColumn="0" w:lastColumn="0" w:oddVBand="0" w:evenVBand="0" w:oddHBand="0" w:evenHBand="0" w:firstRowFirstColumn="0" w:firstRowLastColumn="0" w:lastRowFirstColumn="0" w:lastRowLastColumn="0"/>
            </w:pPr>
          </w:p>
        </w:tc>
      </w:tr>
      <w:tr w:rsidR="009E6D12" w:rsidRPr="00563391" w:rsidTr="000F4369">
        <w:tc>
          <w:tcPr>
            <w:cnfStyle w:val="001000000000" w:firstRow="0" w:lastRow="0" w:firstColumn="1" w:lastColumn="0" w:oddVBand="0" w:evenVBand="0" w:oddHBand="0" w:evenHBand="0" w:firstRowFirstColumn="0" w:firstRowLastColumn="0" w:lastRowFirstColumn="0" w:lastRowLastColumn="0"/>
            <w:tcW w:w="1101" w:type="pct"/>
            <w:shd w:val="clear" w:color="auto" w:fill="FFFFFF" w:themeFill="background1"/>
          </w:tcPr>
          <w:p w:rsidR="009E6D12" w:rsidRPr="00204E43" w:rsidRDefault="009E6D12" w:rsidP="000F4369">
            <w:r w:rsidRPr="00204E43">
              <w:t>Names of non-Parties represented</w:t>
            </w:r>
          </w:p>
        </w:tc>
        <w:tc>
          <w:tcPr>
            <w:tcW w:w="3899" w:type="pct"/>
            <w:shd w:val="clear" w:color="auto" w:fill="FFFFFF" w:themeFill="background1"/>
          </w:tcPr>
          <w:p w:rsidR="009E6D12" w:rsidRPr="00204E43" w:rsidRDefault="009E6D12" w:rsidP="000F4369">
            <w:pPr>
              <w:pStyle w:val="Tabletext"/>
              <w:cnfStyle w:val="000000000000" w:firstRow="0" w:lastRow="0" w:firstColumn="0" w:lastColumn="0" w:oddVBand="0" w:evenVBand="0" w:oddHBand="0" w:evenHBand="0" w:firstRowFirstColumn="0" w:firstRowLastColumn="0" w:lastRowFirstColumn="0" w:lastRowLastColumn="0"/>
            </w:pPr>
          </w:p>
        </w:tc>
      </w:tr>
      <w:tr w:rsidR="009E6D12" w:rsidRPr="00563391" w:rsidTr="000F4369">
        <w:tc>
          <w:tcPr>
            <w:cnfStyle w:val="001000000000" w:firstRow="0" w:lastRow="0" w:firstColumn="1" w:lastColumn="0" w:oddVBand="0" w:evenVBand="0" w:oddHBand="0" w:evenHBand="0" w:firstRowFirstColumn="0" w:firstRowLastColumn="0" w:lastRowFirstColumn="0" w:lastRowLastColumn="0"/>
            <w:tcW w:w="1101" w:type="pct"/>
            <w:shd w:val="clear" w:color="auto" w:fill="FFFFFF" w:themeFill="background1"/>
          </w:tcPr>
          <w:p w:rsidR="009E6D12" w:rsidRPr="00204E43" w:rsidRDefault="009E6D12" w:rsidP="000F4369">
            <w:r w:rsidRPr="00204E43">
              <w:t>Role of Parties/non-Parties represented</w:t>
            </w:r>
          </w:p>
        </w:tc>
        <w:tc>
          <w:tcPr>
            <w:tcW w:w="3899" w:type="pct"/>
            <w:shd w:val="clear" w:color="auto" w:fill="FFFFFF" w:themeFill="background1"/>
          </w:tcPr>
          <w:p w:rsidR="009E6D12" w:rsidRPr="00204E43" w:rsidRDefault="009E6D12" w:rsidP="000F4369">
            <w:pPr>
              <w:cnfStyle w:val="000000000000" w:firstRow="0" w:lastRow="0" w:firstColumn="0" w:lastColumn="0" w:oddVBand="0" w:evenVBand="0" w:oddHBand="0" w:evenHBand="0" w:firstRowFirstColumn="0" w:firstRowLastColumn="0" w:lastRowFirstColumn="0" w:lastRowLastColumn="0"/>
            </w:pPr>
          </w:p>
        </w:tc>
      </w:tr>
      <w:tr w:rsidR="009E6D12" w:rsidRPr="00563391" w:rsidTr="000F4369">
        <w:tc>
          <w:tcPr>
            <w:cnfStyle w:val="001000000000" w:firstRow="0" w:lastRow="0" w:firstColumn="1" w:lastColumn="0" w:oddVBand="0" w:evenVBand="0" w:oddHBand="0" w:evenHBand="0" w:firstRowFirstColumn="0" w:firstRowLastColumn="0" w:lastRowFirstColumn="0" w:lastRowLastColumn="0"/>
            <w:tcW w:w="1101" w:type="pct"/>
            <w:shd w:val="clear" w:color="auto" w:fill="FFFFFF" w:themeFill="background1"/>
          </w:tcPr>
          <w:p w:rsidR="009E6D12" w:rsidRPr="00204E43" w:rsidRDefault="009E6D12" w:rsidP="000F4369">
            <w:r w:rsidRPr="00204E43">
              <w:rPr>
                <w:color w:val="262626" w:themeColor="text1" w:themeTint="D9"/>
              </w:rPr>
              <w:t>Does this response contain confidential information?</w:t>
            </w:r>
          </w:p>
        </w:tc>
        <w:tc>
          <w:tcPr>
            <w:tcW w:w="3899" w:type="pct"/>
            <w:shd w:val="clear" w:color="auto" w:fill="FFFFFF" w:themeFill="background1"/>
          </w:tcPr>
          <w:p w:rsidR="009E6D12" w:rsidRPr="00204E43" w:rsidRDefault="009E6D12" w:rsidP="000F4369">
            <w:pPr>
              <w:cnfStyle w:val="000000000000" w:firstRow="0" w:lastRow="0" w:firstColumn="0" w:lastColumn="0" w:oddVBand="0" w:evenVBand="0" w:oddHBand="0" w:evenHBand="0" w:firstRowFirstColumn="0" w:firstRowLastColumn="0" w:lastRowFirstColumn="0" w:lastRowLastColumn="0"/>
            </w:pPr>
          </w:p>
        </w:tc>
      </w:tr>
    </w:tbl>
    <w:p w:rsidR="009E6D12" w:rsidRPr="003655F0" w:rsidRDefault="009E6D12" w:rsidP="009E6D12">
      <w:pPr>
        <w:pStyle w:val="BodyText"/>
      </w:pPr>
    </w:p>
    <w:tbl>
      <w:tblPr>
        <w:tblStyle w:val="ElexonTable"/>
        <w:tblW w:w="5000" w:type="pct"/>
        <w:tblLook w:val="04A0" w:firstRow="1" w:lastRow="0" w:firstColumn="1" w:lastColumn="0" w:noHBand="0" w:noVBand="1"/>
      </w:tblPr>
      <w:tblGrid>
        <w:gridCol w:w="8642"/>
        <w:gridCol w:w="1676"/>
      </w:tblGrid>
      <w:tr w:rsidR="009E6D12" w:rsidRPr="00563391" w:rsidTr="000F43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8" w:type="pct"/>
            <w:tcBorders>
              <w:left w:val="nil"/>
              <w:bottom w:val="nil"/>
              <w:right w:val="nil"/>
            </w:tcBorders>
            <w:shd w:val="clear" w:color="auto" w:fill="FFFFFF" w:themeFill="background1"/>
          </w:tcPr>
          <w:p w:rsidR="009E6D12" w:rsidRPr="00CD3883" w:rsidRDefault="009E6D12" w:rsidP="00965905">
            <w:pPr>
              <w:pStyle w:val="Tabletext"/>
            </w:pPr>
            <w:r w:rsidRPr="00CD3883">
              <w:t xml:space="preserve">When we present </w:t>
            </w:r>
            <w:r>
              <w:t>the consultation responses to the BSC Panel in November</w:t>
            </w:r>
            <w:r w:rsidRPr="00CD3883">
              <w:t>, we intend to</w:t>
            </w:r>
            <w:r w:rsidR="00965905">
              <w:t xml:space="preserve"> publish</w:t>
            </w:r>
            <w:r w:rsidRPr="00CD3883">
              <w:t xml:space="preserve"> your comments (unless indicated as confidential) as an attachment to the P</w:t>
            </w:r>
            <w:r w:rsidR="00965905">
              <w:t>anel</w:t>
            </w:r>
            <w:r w:rsidRPr="00CD3883">
              <w:t xml:space="preserve"> paper which will be publicly available on the website.</w:t>
            </w:r>
            <w:r w:rsidR="00965905">
              <w:t xml:space="preserve"> Please identify any information in your response which is confidential. </w:t>
            </w:r>
          </w:p>
        </w:tc>
        <w:tc>
          <w:tcPr>
            <w:tcW w:w="812" w:type="pct"/>
            <w:tcBorders>
              <w:left w:val="nil"/>
              <w:bottom w:val="nil"/>
              <w:right w:val="nil"/>
            </w:tcBorders>
            <w:shd w:val="clear" w:color="auto" w:fill="FFFFFF" w:themeFill="background1"/>
          </w:tcPr>
          <w:p w:rsidR="009E6D12" w:rsidRPr="00AB71AD" w:rsidRDefault="009E6D12" w:rsidP="000F4369">
            <w:pPr>
              <w:pStyle w:val="Tabletext"/>
              <w:cnfStyle w:val="100000000000" w:firstRow="1" w:lastRow="0" w:firstColumn="0" w:lastColumn="0" w:oddVBand="0" w:evenVBand="0" w:oddHBand="0" w:evenHBand="0" w:firstRowFirstColumn="0" w:firstRowLastColumn="0" w:lastRowFirstColumn="0" w:lastRowLastColumn="0"/>
            </w:pPr>
          </w:p>
        </w:tc>
      </w:tr>
      <w:tr w:rsidR="009E6D12" w:rsidRPr="00563391" w:rsidTr="000F4369">
        <w:tc>
          <w:tcPr>
            <w:cnfStyle w:val="001000000000" w:firstRow="0" w:lastRow="0" w:firstColumn="1" w:lastColumn="0" w:oddVBand="0" w:evenVBand="0" w:oddHBand="0" w:evenHBand="0" w:firstRowFirstColumn="0" w:firstRowLastColumn="0" w:lastRowFirstColumn="0" w:lastRowLastColumn="0"/>
            <w:tcW w:w="4188" w:type="pct"/>
            <w:tcBorders>
              <w:top w:val="nil"/>
              <w:left w:val="nil"/>
              <w:right w:val="nil"/>
            </w:tcBorders>
          </w:tcPr>
          <w:p w:rsidR="009E6D12" w:rsidRPr="00CD3883" w:rsidRDefault="009E6D12" w:rsidP="00965905">
            <w:pPr>
              <w:pStyle w:val="Tabletext"/>
              <w:ind w:left="0"/>
              <w:rPr>
                <w:b/>
              </w:rPr>
            </w:pPr>
          </w:p>
        </w:tc>
        <w:tc>
          <w:tcPr>
            <w:tcW w:w="812" w:type="pct"/>
            <w:tcBorders>
              <w:top w:val="nil"/>
              <w:left w:val="nil"/>
              <w:right w:val="nil"/>
            </w:tcBorders>
          </w:tcPr>
          <w:p w:rsidR="009E6D12" w:rsidRPr="009220B1" w:rsidRDefault="009E6D12" w:rsidP="000F4369">
            <w:pPr>
              <w:pStyle w:val="Tablesubheadturquoise"/>
              <w:cnfStyle w:val="000000000000" w:firstRow="0" w:lastRow="0" w:firstColumn="0" w:lastColumn="0" w:oddVBand="0" w:evenVBand="0" w:oddHBand="0" w:evenHBand="0" w:firstRowFirstColumn="0" w:firstRowLastColumn="0" w:lastRowFirstColumn="0" w:lastRowLastColumn="0"/>
            </w:pPr>
          </w:p>
        </w:tc>
      </w:tr>
    </w:tbl>
    <w:p w:rsidR="00965905" w:rsidRDefault="00965905" w:rsidP="009E6D12">
      <w:pPr>
        <w:spacing w:after="0" w:line="240" w:lineRule="auto"/>
      </w:pPr>
    </w:p>
    <w:p w:rsidR="00965905" w:rsidRDefault="00965905" w:rsidP="002E6DB2">
      <w:pPr>
        <w:pageBreakBefore/>
        <w:spacing w:after="0" w:line="240" w:lineRule="auto"/>
      </w:pPr>
      <w:r>
        <w:lastRenderedPageBreak/>
        <w:t>Please provide your answers to the following consultation questions (from the consultation document)</w:t>
      </w:r>
      <w:r w:rsidR="003B2E7D">
        <w:t>. The following questions relate to Import to Licensed Generation</w:t>
      </w:r>
      <w:r>
        <w:t>:</w:t>
      </w:r>
    </w:p>
    <w:p w:rsidR="00965905" w:rsidRDefault="00965905" w:rsidP="009E6D12">
      <w:pPr>
        <w:spacing w:after="0" w:line="240" w:lineRule="auto"/>
      </w:pPr>
    </w:p>
    <w:tbl>
      <w:tblPr>
        <w:tblStyle w:val="TableGrid"/>
        <w:tblW w:w="0" w:type="auto"/>
        <w:tblLook w:val="04A0" w:firstRow="1" w:lastRow="0" w:firstColumn="1" w:lastColumn="0" w:noHBand="0" w:noVBand="1"/>
      </w:tblPr>
      <w:tblGrid>
        <w:gridCol w:w="613"/>
        <w:gridCol w:w="5250"/>
        <w:gridCol w:w="4671"/>
      </w:tblGrid>
      <w:tr w:rsidR="00965905" w:rsidTr="002E6DB2">
        <w:trPr>
          <w:tblHeader/>
        </w:trPr>
        <w:tc>
          <w:tcPr>
            <w:tcW w:w="613" w:type="dxa"/>
            <w:shd w:val="clear" w:color="auto" w:fill="65C7C2" w:themeFill="accent1"/>
          </w:tcPr>
          <w:p w:rsidR="00965905" w:rsidRPr="00E27DF4" w:rsidRDefault="00965905" w:rsidP="000F4369">
            <w:pPr>
              <w:pStyle w:val="BodyText"/>
              <w:rPr>
                <w:b/>
              </w:rPr>
            </w:pPr>
          </w:p>
        </w:tc>
        <w:tc>
          <w:tcPr>
            <w:tcW w:w="5250" w:type="dxa"/>
            <w:shd w:val="clear" w:color="auto" w:fill="65C7C2" w:themeFill="accent1"/>
          </w:tcPr>
          <w:p w:rsidR="00965905" w:rsidRPr="002E6DB2" w:rsidRDefault="002E6DB2" w:rsidP="000F4369">
            <w:pPr>
              <w:pStyle w:val="BodyText"/>
              <w:rPr>
                <w:b/>
              </w:rPr>
            </w:pPr>
            <w:r w:rsidRPr="002E6DB2">
              <w:rPr>
                <w:b/>
              </w:rPr>
              <w:t>Consultation Question</w:t>
            </w:r>
          </w:p>
        </w:tc>
        <w:tc>
          <w:tcPr>
            <w:tcW w:w="4671" w:type="dxa"/>
            <w:shd w:val="clear" w:color="auto" w:fill="65C7C2" w:themeFill="accent1"/>
          </w:tcPr>
          <w:p w:rsidR="00965905" w:rsidRPr="002E6DB2" w:rsidRDefault="002E6DB2" w:rsidP="000F4369">
            <w:pPr>
              <w:pStyle w:val="BodyText"/>
              <w:rPr>
                <w:b/>
              </w:rPr>
            </w:pPr>
            <w:r w:rsidRPr="002E6DB2">
              <w:rPr>
                <w:b/>
              </w:rPr>
              <w:t>Your Response</w:t>
            </w:r>
          </w:p>
        </w:tc>
      </w:tr>
      <w:tr w:rsidR="009867ED" w:rsidTr="00965905">
        <w:tc>
          <w:tcPr>
            <w:tcW w:w="613" w:type="dxa"/>
            <w:shd w:val="clear" w:color="auto" w:fill="65C7C2" w:themeFill="accent1"/>
          </w:tcPr>
          <w:p w:rsidR="009867ED" w:rsidRPr="00E27DF4" w:rsidRDefault="009867ED" w:rsidP="000F4369">
            <w:pPr>
              <w:pStyle w:val="BodyText"/>
              <w:rPr>
                <w:b/>
              </w:rPr>
            </w:pPr>
            <w:r w:rsidRPr="00E27DF4">
              <w:rPr>
                <w:b/>
              </w:rPr>
              <w:t>Q1.</w:t>
            </w:r>
          </w:p>
        </w:tc>
        <w:tc>
          <w:tcPr>
            <w:tcW w:w="5250" w:type="dxa"/>
          </w:tcPr>
          <w:p w:rsidR="009867ED" w:rsidRDefault="009867ED" w:rsidP="000F4369">
            <w:pPr>
              <w:pStyle w:val="BodyText"/>
            </w:pPr>
            <w:r>
              <w:t>Do you agree with the principle that ELEXON should provide the EMR SSP with gross demand values that exclude any electricity provided to Licensed Generators for the purpose of licensed generation (in order to facilitate the approach to EMR charging specified in the BEIS/Ofgem SSFP)?</w:t>
            </w:r>
          </w:p>
          <w:p w:rsidR="009867ED" w:rsidRDefault="009867ED" w:rsidP="000F4369">
            <w:pPr>
              <w:pStyle w:val="BodyText"/>
            </w:pPr>
            <w:r>
              <w:t>Please provide rationale.</w:t>
            </w:r>
          </w:p>
        </w:tc>
        <w:tc>
          <w:tcPr>
            <w:tcW w:w="4671" w:type="dxa"/>
          </w:tcPr>
          <w:p w:rsidR="009867ED" w:rsidRDefault="009867ED" w:rsidP="000F4369">
            <w:pPr>
              <w:pStyle w:val="BodyText"/>
            </w:pPr>
          </w:p>
        </w:tc>
      </w:tr>
      <w:tr w:rsidR="002E6DB2" w:rsidTr="00965905">
        <w:tc>
          <w:tcPr>
            <w:tcW w:w="613" w:type="dxa"/>
            <w:shd w:val="clear" w:color="auto" w:fill="65C7C2" w:themeFill="accent1"/>
          </w:tcPr>
          <w:p w:rsidR="002E6DB2" w:rsidRPr="00E27DF4" w:rsidRDefault="002E6DB2" w:rsidP="000F4369">
            <w:pPr>
              <w:pStyle w:val="BodyText"/>
              <w:rPr>
                <w:b/>
              </w:rPr>
            </w:pPr>
            <w:r w:rsidRPr="00E27DF4">
              <w:rPr>
                <w:b/>
              </w:rPr>
              <w:t>Q</w:t>
            </w:r>
            <w:r>
              <w:rPr>
                <w:b/>
              </w:rPr>
              <w:t>2</w:t>
            </w:r>
            <w:r w:rsidRPr="00E27DF4">
              <w:rPr>
                <w:b/>
              </w:rPr>
              <w:t>.</w:t>
            </w:r>
          </w:p>
        </w:tc>
        <w:tc>
          <w:tcPr>
            <w:tcW w:w="5250" w:type="dxa"/>
          </w:tcPr>
          <w:p w:rsidR="002E6DB2" w:rsidRDefault="002E6DB2" w:rsidP="004E0D31">
            <w:pPr>
              <w:pStyle w:val="BodyText"/>
            </w:pPr>
            <w:r>
              <w:t>Do you agree that continuing to levy CFD and CM charges on any electricity supplied to a company holding a Generation Licence for purposes that are not generation-related is appropriate (and remains consistent with the requirements of the Act)? Please provide any supporting evidence.</w:t>
            </w:r>
          </w:p>
        </w:tc>
        <w:tc>
          <w:tcPr>
            <w:tcW w:w="4671" w:type="dxa"/>
          </w:tcPr>
          <w:p w:rsidR="002E6DB2" w:rsidRDefault="002E6DB2" w:rsidP="000F4369">
            <w:pPr>
              <w:pStyle w:val="BodyText"/>
            </w:pPr>
          </w:p>
        </w:tc>
      </w:tr>
      <w:tr w:rsidR="0094294D" w:rsidTr="00965905">
        <w:tc>
          <w:tcPr>
            <w:tcW w:w="613" w:type="dxa"/>
            <w:shd w:val="clear" w:color="auto" w:fill="65C7C2" w:themeFill="accent1"/>
          </w:tcPr>
          <w:p w:rsidR="0094294D" w:rsidRPr="00E27DF4" w:rsidRDefault="0094294D" w:rsidP="000F4369">
            <w:pPr>
              <w:pStyle w:val="BodyText"/>
              <w:rPr>
                <w:b/>
              </w:rPr>
            </w:pPr>
            <w:r>
              <w:rPr>
                <w:b/>
              </w:rPr>
              <w:t>Q3</w:t>
            </w:r>
          </w:p>
        </w:tc>
        <w:tc>
          <w:tcPr>
            <w:tcW w:w="5250" w:type="dxa"/>
          </w:tcPr>
          <w:p w:rsidR="0094294D" w:rsidRDefault="0094294D" w:rsidP="000F4369">
            <w:pPr>
              <w:pStyle w:val="BodyText"/>
            </w:pPr>
            <w:r>
              <w:t>Do you agree with our proposed approach of developing a solution in two stages:</w:t>
            </w:r>
          </w:p>
          <w:p w:rsidR="0094294D" w:rsidRDefault="0094294D" w:rsidP="0094294D">
            <w:pPr>
              <w:pStyle w:val="BodyText"/>
              <w:numPr>
                <w:ilvl w:val="0"/>
                <w:numId w:val="31"/>
              </w:numPr>
            </w:pPr>
            <w:r>
              <w:t>An enduring solution, developed through the BSC Modification process, that includes an agreed BSC definition of which activities should be treated as generation-related, and BSC processes (potentially similar to those proposed for Issue 70) for collecting and processing data from sub-metering; and</w:t>
            </w:r>
          </w:p>
          <w:p w:rsidR="0094294D" w:rsidRDefault="0094294D" w:rsidP="0094294D">
            <w:pPr>
              <w:pStyle w:val="BodyText"/>
              <w:numPr>
                <w:ilvl w:val="0"/>
                <w:numId w:val="31"/>
              </w:numPr>
            </w:pPr>
            <w:r>
              <w:t>An interim solution that is deliverable much earlier than the enduring solution, but relies on Suppliers to form their own view of which activities should be treated as generation-related, and cannot use data from sub-metering.</w:t>
            </w:r>
          </w:p>
          <w:p w:rsidR="0094294D" w:rsidRDefault="0094294D" w:rsidP="000F4369">
            <w:pPr>
              <w:pStyle w:val="BodyText"/>
            </w:pPr>
            <w:r>
              <w:t>Please provide reasons for your views.</w:t>
            </w:r>
          </w:p>
        </w:tc>
        <w:tc>
          <w:tcPr>
            <w:tcW w:w="4671" w:type="dxa"/>
          </w:tcPr>
          <w:p w:rsidR="0094294D" w:rsidRDefault="0094294D" w:rsidP="000F4369">
            <w:pPr>
              <w:pStyle w:val="BodyText"/>
            </w:pPr>
          </w:p>
        </w:tc>
      </w:tr>
      <w:tr w:rsidR="004E0D31" w:rsidTr="00965905">
        <w:tc>
          <w:tcPr>
            <w:tcW w:w="613" w:type="dxa"/>
            <w:shd w:val="clear" w:color="auto" w:fill="65C7C2" w:themeFill="accent1"/>
          </w:tcPr>
          <w:p w:rsidR="004E0D31" w:rsidRDefault="004E0D31" w:rsidP="000F4369">
            <w:pPr>
              <w:pStyle w:val="BodyText"/>
              <w:rPr>
                <w:b/>
              </w:rPr>
            </w:pPr>
            <w:r>
              <w:rPr>
                <w:b/>
              </w:rPr>
              <w:t>Q4</w:t>
            </w:r>
          </w:p>
        </w:tc>
        <w:tc>
          <w:tcPr>
            <w:tcW w:w="5250" w:type="dxa"/>
          </w:tcPr>
          <w:p w:rsidR="004E0D31" w:rsidRDefault="004E0D31" w:rsidP="006B6149">
            <w:pPr>
              <w:pStyle w:val="BodyText"/>
            </w:pPr>
            <w:r>
              <w:t>Do you have any suggestions on controls that should be included in the interim or enduring solutions, to provide parties with assurance that the correct energy is being treated as non-chargeable?</w:t>
            </w:r>
          </w:p>
          <w:p w:rsidR="004E0D31" w:rsidRDefault="004E0D31" w:rsidP="006B6149">
            <w:pPr>
              <w:pStyle w:val="BodyText"/>
            </w:pPr>
            <w:r>
              <w:t>Please provide rationale.</w:t>
            </w:r>
          </w:p>
        </w:tc>
        <w:tc>
          <w:tcPr>
            <w:tcW w:w="4671" w:type="dxa"/>
          </w:tcPr>
          <w:p w:rsidR="004E0D31" w:rsidRDefault="004E0D31" w:rsidP="000F4369">
            <w:pPr>
              <w:pStyle w:val="BodyText"/>
            </w:pPr>
          </w:p>
        </w:tc>
      </w:tr>
      <w:tr w:rsidR="00BE7DE9" w:rsidTr="00965905">
        <w:tc>
          <w:tcPr>
            <w:tcW w:w="613" w:type="dxa"/>
            <w:shd w:val="clear" w:color="auto" w:fill="65C7C2" w:themeFill="accent1"/>
          </w:tcPr>
          <w:p w:rsidR="00BE7DE9" w:rsidRDefault="00BE7DE9" w:rsidP="000F4369">
            <w:pPr>
              <w:pStyle w:val="BodyText"/>
              <w:rPr>
                <w:b/>
              </w:rPr>
            </w:pPr>
            <w:r>
              <w:rPr>
                <w:b/>
              </w:rPr>
              <w:t>Q5</w:t>
            </w:r>
          </w:p>
        </w:tc>
        <w:tc>
          <w:tcPr>
            <w:tcW w:w="5250" w:type="dxa"/>
          </w:tcPr>
          <w:p w:rsidR="00BE7DE9" w:rsidRDefault="00BE7DE9" w:rsidP="000F4369">
            <w:pPr>
              <w:pStyle w:val="BodyText"/>
            </w:pPr>
            <w:r>
              <w:t>Do you agree with the principle of the interim solution being delivered using a ‘hybrid’ approach i.e. established under BSC governance but implemented in collaboration with LCCC/ESC/EMRS?</w:t>
            </w:r>
          </w:p>
        </w:tc>
        <w:tc>
          <w:tcPr>
            <w:tcW w:w="4671" w:type="dxa"/>
          </w:tcPr>
          <w:p w:rsidR="00BE7DE9" w:rsidRDefault="00BE7DE9" w:rsidP="000F4369">
            <w:pPr>
              <w:pStyle w:val="BodyText"/>
            </w:pPr>
          </w:p>
        </w:tc>
      </w:tr>
      <w:tr w:rsidR="0010438D" w:rsidTr="004123EC">
        <w:trPr>
          <w:cantSplit/>
        </w:trPr>
        <w:tc>
          <w:tcPr>
            <w:tcW w:w="613" w:type="dxa"/>
            <w:shd w:val="clear" w:color="auto" w:fill="65C7C2" w:themeFill="accent1"/>
          </w:tcPr>
          <w:p w:rsidR="0010438D" w:rsidRDefault="0010438D" w:rsidP="000F4369">
            <w:pPr>
              <w:pStyle w:val="BodyText"/>
              <w:rPr>
                <w:b/>
              </w:rPr>
            </w:pPr>
            <w:r>
              <w:rPr>
                <w:b/>
              </w:rPr>
              <w:lastRenderedPageBreak/>
              <w:t>Q6</w:t>
            </w:r>
          </w:p>
        </w:tc>
        <w:tc>
          <w:tcPr>
            <w:tcW w:w="5250" w:type="dxa"/>
          </w:tcPr>
          <w:p w:rsidR="0010438D" w:rsidRDefault="0010438D" w:rsidP="00E73991">
            <w:pPr>
              <w:pStyle w:val="BodyText"/>
            </w:pPr>
            <w:r w:rsidRPr="001A5055">
              <w:rPr>
                <w:u w:val="single"/>
              </w:rPr>
              <w:t>For Licensed Suppliers</w:t>
            </w:r>
            <w:r>
              <w:t xml:space="preserve">: Please provide an estimate of how many sites you supply electricity to at which a Licensed Generator is currently being charged CFD/CM charges? </w:t>
            </w:r>
          </w:p>
          <w:p w:rsidR="0010438D" w:rsidRDefault="0010438D" w:rsidP="0010438D">
            <w:pPr>
              <w:pStyle w:val="BodyText"/>
            </w:pPr>
            <w:r w:rsidRPr="001A5055">
              <w:rPr>
                <w:u w:val="single"/>
              </w:rPr>
              <w:t>For Licensed Generators</w:t>
            </w:r>
            <w:r>
              <w:t>: Please provide an estimate of how many sites you generate electricity at where you are currently being charged CFD/CM charges?</w:t>
            </w:r>
          </w:p>
        </w:tc>
        <w:tc>
          <w:tcPr>
            <w:tcW w:w="4671" w:type="dxa"/>
          </w:tcPr>
          <w:p w:rsidR="0010438D" w:rsidRDefault="0010438D" w:rsidP="000F4369">
            <w:pPr>
              <w:pStyle w:val="BodyText"/>
            </w:pPr>
          </w:p>
        </w:tc>
      </w:tr>
      <w:tr w:rsidR="0010438D" w:rsidTr="00965905">
        <w:tc>
          <w:tcPr>
            <w:tcW w:w="613" w:type="dxa"/>
            <w:shd w:val="clear" w:color="auto" w:fill="65C7C2" w:themeFill="accent1"/>
          </w:tcPr>
          <w:p w:rsidR="0010438D" w:rsidRDefault="0010438D" w:rsidP="000F4369">
            <w:pPr>
              <w:pStyle w:val="BodyText"/>
              <w:rPr>
                <w:b/>
              </w:rPr>
            </w:pPr>
            <w:r>
              <w:rPr>
                <w:b/>
              </w:rPr>
              <w:t>Q7</w:t>
            </w:r>
          </w:p>
        </w:tc>
        <w:tc>
          <w:tcPr>
            <w:tcW w:w="5250" w:type="dxa"/>
          </w:tcPr>
          <w:p w:rsidR="0010438D" w:rsidRPr="001A5055" w:rsidRDefault="0010438D" w:rsidP="00E73991">
            <w:pPr>
              <w:pStyle w:val="BodyText"/>
            </w:pPr>
            <w:r w:rsidRPr="001A5055">
              <w:t>O</w:t>
            </w:r>
            <w:r>
              <w:t>f the sites included in your response to Q6, please estimate how many would be eligible for the interim solution (i.e. Licensed Generation that has its own MPAN, rather than being ‘behind the meter’ with other on-site demand)?</w:t>
            </w:r>
          </w:p>
        </w:tc>
        <w:tc>
          <w:tcPr>
            <w:tcW w:w="4671" w:type="dxa"/>
          </w:tcPr>
          <w:p w:rsidR="0010438D" w:rsidRDefault="0010438D" w:rsidP="000F4369">
            <w:pPr>
              <w:pStyle w:val="BodyText"/>
            </w:pPr>
          </w:p>
        </w:tc>
      </w:tr>
      <w:tr w:rsidR="0010438D" w:rsidTr="00965905">
        <w:tc>
          <w:tcPr>
            <w:tcW w:w="613" w:type="dxa"/>
            <w:shd w:val="clear" w:color="auto" w:fill="65C7C2" w:themeFill="accent1"/>
          </w:tcPr>
          <w:p w:rsidR="0010438D" w:rsidRDefault="0010438D" w:rsidP="000F4369">
            <w:pPr>
              <w:pStyle w:val="BodyText"/>
              <w:rPr>
                <w:b/>
              </w:rPr>
            </w:pPr>
            <w:r>
              <w:rPr>
                <w:b/>
              </w:rPr>
              <w:t>Q8</w:t>
            </w:r>
          </w:p>
        </w:tc>
        <w:tc>
          <w:tcPr>
            <w:tcW w:w="5250" w:type="dxa"/>
          </w:tcPr>
          <w:p w:rsidR="0010438D" w:rsidRPr="001A5055" w:rsidRDefault="0010438D" w:rsidP="00E73991">
            <w:pPr>
              <w:pStyle w:val="BodyText"/>
            </w:pPr>
            <w:r w:rsidRPr="001A5055">
              <w:t>O</w:t>
            </w:r>
            <w:r>
              <w:t>f the sites included in your response to Q7, please estimate the average size (kW or MW) of each site?</w:t>
            </w:r>
          </w:p>
        </w:tc>
        <w:tc>
          <w:tcPr>
            <w:tcW w:w="4671" w:type="dxa"/>
          </w:tcPr>
          <w:p w:rsidR="0010438D" w:rsidRDefault="0010438D" w:rsidP="000F4369">
            <w:pPr>
              <w:pStyle w:val="BodyText"/>
            </w:pPr>
          </w:p>
        </w:tc>
      </w:tr>
      <w:tr w:rsidR="0010438D" w:rsidTr="00965905">
        <w:tc>
          <w:tcPr>
            <w:tcW w:w="613" w:type="dxa"/>
            <w:shd w:val="clear" w:color="auto" w:fill="65C7C2" w:themeFill="accent1"/>
          </w:tcPr>
          <w:p w:rsidR="0010438D" w:rsidRDefault="0010438D" w:rsidP="000F4369">
            <w:pPr>
              <w:pStyle w:val="BodyText"/>
              <w:rPr>
                <w:b/>
              </w:rPr>
            </w:pPr>
            <w:r>
              <w:rPr>
                <w:b/>
              </w:rPr>
              <w:t>Q9</w:t>
            </w:r>
          </w:p>
        </w:tc>
        <w:tc>
          <w:tcPr>
            <w:tcW w:w="5250" w:type="dxa"/>
          </w:tcPr>
          <w:p w:rsidR="0010438D" w:rsidRPr="001A5055" w:rsidRDefault="0010438D" w:rsidP="00E73991">
            <w:pPr>
              <w:pStyle w:val="BodyText"/>
            </w:pPr>
            <w:r w:rsidRPr="001A5055">
              <w:t>O</w:t>
            </w:r>
            <w:r>
              <w:t>f the sites</w:t>
            </w:r>
            <w:r w:rsidR="004E0D31">
              <w:t xml:space="preserve"> included in your response to Q7</w:t>
            </w:r>
            <w:r>
              <w:t>, please provide a breakdown of the generation technologies involved (e.g. wind, diesel, PV, battery storage)?</w:t>
            </w:r>
          </w:p>
        </w:tc>
        <w:tc>
          <w:tcPr>
            <w:tcW w:w="4671" w:type="dxa"/>
          </w:tcPr>
          <w:p w:rsidR="0010438D" w:rsidRDefault="0010438D" w:rsidP="000F4369">
            <w:pPr>
              <w:pStyle w:val="BodyText"/>
            </w:pPr>
          </w:p>
        </w:tc>
      </w:tr>
    </w:tbl>
    <w:p w:rsidR="003B2E7D" w:rsidRDefault="003B2E7D" w:rsidP="003B2E7D">
      <w:pPr>
        <w:spacing w:after="0" w:line="240" w:lineRule="auto"/>
      </w:pPr>
    </w:p>
    <w:p w:rsidR="003B2E7D" w:rsidRDefault="003B2E7D" w:rsidP="003B2E7D">
      <w:pPr>
        <w:spacing w:after="0" w:line="240" w:lineRule="auto"/>
      </w:pPr>
      <w:r>
        <w:t>And the following questions relate to exempt supply over the Distribution Network:</w:t>
      </w:r>
    </w:p>
    <w:p w:rsidR="003B2E7D" w:rsidRDefault="003B2E7D" w:rsidP="003B2E7D">
      <w:pPr>
        <w:spacing w:after="0" w:line="240" w:lineRule="auto"/>
      </w:pPr>
    </w:p>
    <w:tbl>
      <w:tblPr>
        <w:tblStyle w:val="TableGrid"/>
        <w:tblW w:w="0" w:type="auto"/>
        <w:tblLook w:val="04A0" w:firstRow="1" w:lastRow="0" w:firstColumn="1" w:lastColumn="0" w:noHBand="0" w:noVBand="1"/>
      </w:tblPr>
      <w:tblGrid>
        <w:gridCol w:w="688"/>
        <w:gridCol w:w="5211"/>
        <w:gridCol w:w="4635"/>
      </w:tblGrid>
      <w:tr w:rsidR="003B2E7D" w:rsidTr="00AA00A5">
        <w:trPr>
          <w:tblHeader/>
        </w:trPr>
        <w:tc>
          <w:tcPr>
            <w:tcW w:w="688" w:type="dxa"/>
            <w:shd w:val="clear" w:color="auto" w:fill="65C7C2" w:themeFill="accent1"/>
          </w:tcPr>
          <w:p w:rsidR="003B2E7D" w:rsidRPr="00E27DF4" w:rsidRDefault="003B2E7D" w:rsidP="000F4369">
            <w:pPr>
              <w:pStyle w:val="BodyText"/>
              <w:rPr>
                <w:b/>
              </w:rPr>
            </w:pPr>
          </w:p>
        </w:tc>
        <w:tc>
          <w:tcPr>
            <w:tcW w:w="5211" w:type="dxa"/>
            <w:shd w:val="clear" w:color="auto" w:fill="65C7C2" w:themeFill="accent1"/>
          </w:tcPr>
          <w:p w:rsidR="003B2E7D" w:rsidRPr="002E6DB2" w:rsidRDefault="003B2E7D" w:rsidP="000F4369">
            <w:pPr>
              <w:pStyle w:val="BodyText"/>
              <w:rPr>
                <w:b/>
              </w:rPr>
            </w:pPr>
            <w:r w:rsidRPr="002E6DB2">
              <w:rPr>
                <w:b/>
              </w:rPr>
              <w:t>Consultation Question</w:t>
            </w:r>
          </w:p>
        </w:tc>
        <w:tc>
          <w:tcPr>
            <w:tcW w:w="4635" w:type="dxa"/>
            <w:shd w:val="clear" w:color="auto" w:fill="65C7C2" w:themeFill="accent1"/>
          </w:tcPr>
          <w:p w:rsidR="003B2E7D" w:rsidRPr="002E6DB2" w:rsidRDefault="003B2E7D" w:rsidP="000F4369">
            <w:pPr>
              <w:pStyle w:val="BodyText"/>
              <w:rPr>
                <w:b/>
              </w:rPr>
            </w:pPr>
            <w:r w:rsidRPr="002E6DB2">
              <w:rPr>
                <w:b/>
              </w:rPr>
              <w:t>Your Response</w:t>
            </w:r>
          </w:p>
        </w:tc>
      </w:tr>
      <w:tr w:rsidR="004E0D31" w:rsidTr="004542EC">
        <w:trPr>
          <w:cantSplit/>
        </w:trPr>
        <w:tc>
          <w:tcPr>
            <w:tcW w:w="688" w:type="dxa"/>
            <w:shd w:val="clear" w:color="auto" w:fill="65C7C2" w:themeFill="accent1"/>
          </w:tcPr>
          <w:p w:rsidR="004E0D31" w:rsidRPr="00E27DF4" w:rsidRDefault="004E0D31" w:rsidP="000F4369">
            <w:pPr>
              <w:pStyle w:val="BodyText"/>
              <w:rPr>
                <w:b/>
              </w:rPr>
            </w:pPr>
            <w:r w:rsidRPr="00E27DF4">
              <w:rPr>
                <w:b/>
              </w:rPr>
              <w:t>Q1</w:t>
            </w:r>
            <w:r>
              <w:rPr>
                <w:b/>
              </w:rPr>
              <w:t>0</w:t>
            </w:r>
            <w:r w:rsidRPr="00E27DF4">
              <w:rPr>
                <w:b/>
              </w:rPr>
              <w:t>.</w:t>
            </w:r>
          </w:p>
        </w:tc>
        <w:tc>
          <w:tcPr>
            <w:tcW w:w="5211" w:type="dxa"/>
          </w:tcPr>
          <w:p w:rsidR="004E0D31" w:rsidRDefault="004E0D31" w:rsidP="006B6149">
            <w:pPr>
              <w:pStyle w:val="BodyText"/>
            </w:pPr>
            <w:r>
              <w:t>Do you agree that ELEXON should seek to put in place interim solutions to ensure that – where possible - licensed suppliers are not charged CFD and CM levies on exempt supply that they facilitate?</w:t>
            </w:r>
          </w:p>
        </w:tc>
        <w:tc>
          <w:tcPr>
            <w:tcW w:w="4635" w:type="dxa"/>
          </w:tcPr>
          <w:p w:rsidR="004E0D31" w:rsidRDefault="004E0D31" w:rsidP="000F4369">
            <w:pPr>
              <w:pStyle w:val="BodyText"/>
            </w:pPr>
          </w:p>
        </w:tc>
      </w:tr>
      <w:tr w:rsidR="00AA00A5" w:rsidTr="004542EC">
        <w:trPr>
          <w:cantSplit/>
        </w:trPr>
        <w:tc>
          <w:tcPr>
            <w:tcW w:w="688" w:type="dxa"/>
            <w:shd w:val="clear" w:color="auto" w:fill="65C7C2" w:themeFill="accent1"/>
          </w:tcPr>
          <w:p w:rsidR="00AA00A5" w:rsidRPr="00E27DF4" w:rsidRDefault="00AA00A5" w:rsidP="000F4369">
            <w:pPr>
              <w:pStyle w:val="BodyText"/>
              <w:rPr>
                <w:b/>
              </w:rPr>
            </w:pPr>
            <w:r>
              <w:rPr>
                <w:b/>
              </w:rPr>
              <w:t>Q11.</w:t>
            </w:r>
          </w:p>
        </w:tc>
        <w:tc>
          <w:tcPr>
            <w:tcW w:w="5211" w:type="dxa"/>
          </w:tcPr>
          <w:p w:rsidR="00AA00A5" w:rsidRDefault="00AA00A5" w:rsidP="000F4369">
            <w:pPr>
              <w:pStyle w:val="BodyText"/>
            </w:pPr>
            <w:r>
              <w:t xml:space="preserve">Do you agree that – as an interim solution </w:t>
            </w:r>
            <w:r w:rsidR="004E0D31">
              <w:t>(</w:t>
            </w:r>
            <w:r>
              <w:t>until enduring processes for exempt supply can be put in place</w:t>
            </w:r>
            <w:r w:rsidR="004E0D31">
              <w:t>)</w:t>
            </w:r>
            <w:r>
              <w:t xml:space="preserve"> – it is reasonable to treat Exports from a generation asset as non-chargeable (for CFD and CM purposes) if there is evidence that all (or almost all) of those Exports will be supplied to customers by an exempt supplier?</w:t>
            </w:r>
          </w:p>
          <w:p w:rsidR="00AA00A5" w:rsidRDefault="00AA00A5" w:rsidP="004E0D31">
            <w:pPr>
              <w:pStyle w:val="BodyText"/>
            </w:pPr>
            <w:r>
              <w:t xml:space="preserve">Please give </w:t>
            </w:r>
            <w:r w:rsidR="004E0D31">
              <w:t>rationale</w:t>
            </w:r>
            <w:r>
              <w:t xml:space="preserve"> for your views.</w:t>
            </w:r>
          </w:p>
        </w:tc>
        <w:tc>
          <w:tcPr>
            <w:tcW w:w="4635" w:type="dxa"/>
          </w:tcPr>
          <w:p w:rsidR="00AA00A5" w:rsidRDefault="00AA00A5" w:rsidP="000F4369">
            <w:pPr>
              <w:pStyle w:val="BodyText"/>
            </w:pPr>
          </w:p>
          <w:p w:rsidR="00AA00A5" w:rsidRPr="00AA00A5" w:rsidRDefault="00AA00A5" w:rsidP="00AA00A5"/>
          <w:p w:rsidR="00AA00A5" w:rsidRDefault="00AA00A5" w:rsidP="00AA00A5"/>
          <w:p w:rsidR="00AA00A5" w:rsidRPr="00AA00A5" w:rsidRDefault="00AA00A5" w:rsidP="00AA00A5">
            <w:pPr>
              <w:jc w:val="right"/>
            </w:pPr>
          </w:p>
        </w:tc>
      </w:tr>
      <w:tr w:rsidR="00F47C96" w:rsidTr="004542EC">
        <w:trPr>
          <w:cantSplit/>
        </w:trPr>
        <w:tc>
          <w:tcPr>
            <w:tcW w:w="688" w:type="dxa"/>
            <w:shd w:val="clear" w:color="auto" w:fill="65C7C2" w:themeFill="accent1"/>
          </w:tcPr>
          <w:p w:rsidR="00F47C96" w:rsidRDefault="00F47C96" w:rsidP="000F4369">
            <w:pPr>
              <w:pStyle w:val="BodyText"/>
              <w:rPr>
                <w:b/>
              </w:rPr>
            </w:pPr>
            <w:r>
              <w:rPr>
                <w:b/>
              </w:rPr>
              <w:t>Q12.</w:t>
            </w:r>
          </w:p>
        </w:tc>
        <w:tc>
          <w:tcPr>
            <w:tcW w:w="5211" w:type="dxa"/>
          </w:tcPr>
          <w:p w:rsidR="00F47C96" w:rsidRDefault="00F47C96" w:rsidP="00E73991">
            <w:pPr>
              <w:pStyle w:val="BodyText"/>
            </w:pPr>
            <w:r>
              <w:t>Do you have any comments on this process for applying to the BSC Panel, so as to implement an interim solution?</w:t>
            </w:r>
          </w:p>
          <w:p w:rsidR="00F47C96" w:rsidRDefault="00F47C96" w:rsidP="00E73991">
            <w:pPr>
              <w:pStyle w:val="BodyText"/>
            </w:pPr>
            <w:r>
              <w:t>Please provide supporting rationale.</w:t>
            </w:r>
          </w:p>
        </w:tc>
        <w:tc>
          <w:tcPr>
            <w:tcW w:w="4635" w:type="dxa"/>
          </w:tcPr>
          <w:p w:rsidR="00F47C96" w:rsidRDefault="00F47C96" w:rsidP="000F4369">
            <w:pPr>
              <w:pStyle w:val="BodyText"/>
            </w:pPr>
          </w:p>
        </w:tc>
      </w:tr>
      <w:tr w:rsidR="00F47C96" w:rsidTr="004542EC">
        <w:trPr>
          <w:cantSplit/>
        </w:trPr>
        <w:tc>
          <w:tcPr>
            <w:tcW w:w="688" w:type="dxa"/>
            <w:shd w:val="clear" w:color="auto" w:fill="65C7C2" w:themeFill="accent1"/>
          </w:tcPr>
          <w:p w:rsidR="00F47C96" w:rsidRDefault="00F47C96" w:rsidP="000F4369">
            <w:pPr>
              <w:pStyle w:val="BodyText"/>
              <w:rPr>
                <w:b/>
              </w:rPr>
            </w:pPr>
            <w:r>
              <w:rPr>
                <w:b/>
              </w:rPr>
              <w:lastRenderedPageBreak/>
              <w:t>Q13.</w:t>
            </w:r>
          </w:p>
        </w:tc>
        <w:tc>
          <w:tcPr>
            <w:tcW w:w="5211" w:type="dxa"/>
          </w:tcPr>
          <w:p w:rsidR="00F47C96" w:rsidRDefault="00F47C96" w:rsidP="00E73991">
            <w:pPr>
              <w:pStyle w:val="BodyText"/>
            </w:pPr>
            <w:r w:rsidRPr="001A5055">
              <w:rPr>
                <w:u w:val="single"/>
              </w:rPr>
              <w:t xml:space="preserve">For </w:t>
            </w:r>
            <w:r>
              <w:rPr>
                <w:u w:val="single"/>
              </w:rPr>
              <w:t>exempt s</w:t>
            </w:r>
            <w:r w:rsidRPr="001A5055">
              <w:rPr>
                <w:u w:val="single"/>
              </w:rPr>
              <w:t>uppliers</w:t>
            </w:r>
            <w:r>
              <w:t>: Please provide an estimate of how many generating assets you might wish to be treated as non-chargeable (over the potential two-year lifespan of an interims solution)?</w:t>
            </w:r>
          </w:p>
          <w:p w:rsidR="00F47C96" w:rsidRDefault="00F47C96" w:rsidP="00E73991">
            <w:pPr>
              <w:pStyle w:val="BodyText"/>
            </w:pPr>
            <w:r w:rsidRPr="00BD0FFA">
              <w:rPr>
                <w:u w:val="single"/>
              </w:rPr>
              <w:t>For Licensed Suppliers</w:t>
            </w:r>
            <w:r>
              <w:t>: Please provide any estimate of how many customers and/or generating assets you have registered Metering Systems for that might want to make use of an interim solution for exempt supply?</w:t>
            </w:r>
          </w:p>
        </w:tc>
        <w:tc>
          <w:tcPr>
            <w:tcW w:w="4635" w:type="dxa"/>
          </w:tcPr>
          <w:p w:rsidR="00F47C96" w:rsidRDefault="00F47C96" w:rsidP="000F4369">
            <w:pPr>
              <w:pStyle w:val="BodyText"/>
            </w:pPr>
          </w:p>
        </w:tc>
      </w:tr>
      <w:tr w:rsidR="00F47C96" w:rsidTr="004542EC">
        <w:trPr>
          <w:cantSplit/>
        </w:trPr>
        <w:tc>
          <w:tcPr>
            <w:tcW w:w="688" w:type="dxa"/>
            <w:shd w:val="clear" w:color="auto" w:fill="65C7C2" w:themeFill="accent1"/>
          </w:tcPr>
          <w:p w:rsidR="00F47C96" w:rsidRDefault="00F47C96" w:rsidP="000F4369">
            <w:pPr>
              <w:pStyle w:val="BodyText"/>
              <w:rPr>
                <w:b/>
              </w:rPr>
            </w:pPr>
            <w:r>
              <w:rPr>
                <w:b/>
              </w:rPr>
              <w:t>Q14.</w:t>
            </w:r>
          </w:p>
        </w:tc>
        <w:tc>
          <w:tcPr>
            <w:tcW w:w="5211" w:type="dxa"/>
          </w:tcPr>
          <w:p w:rsidR="00F47C96" w:rsidRPr="001A5055" w:rsidRDefault="00F47C96" w:rsidP="00E73991">
            <w:pPr>
              <w:pStyle w:val="BodyText"/>
            </w:pPr>
            <w:r w:rsidRPr="001A5055">
              <w:t>O</w:t>
            </w:r>
            <w:r>
              <w:t>f the generating assets included in your response to Q13, please estimate the average size (kW) of each site?</w:t>
            </w:r>
          </w:p>
        </w:tc>
        <w:tc>
          <w:tcPr>
            <w:tcW w:w="4635" w:type="dxa"/>
          </w:tcPr>
          <w:p w:rsidR="00F47C96" w:rsidRDefault="00F47C96" w:rsidP="000F4369">
            <w:pPr>
              <w:pStyle w:val="BodyText"/>
            </w:pPr>
          </w:p>
        </w:tc>
      </w:tr>
      <w:tr w:rsidR="00F47C96" w:rsidTr="004542EC">
        <w:trPr>
          <w:cantSplit/>
        </w:trPr>
        <w:tc>
          <w:tcPr>
            <w:tcW w:w="688" w:type="dxa"/>
            <w:shd w:val="clear" w:color="auto" w:fill="65C7C2" w:themeFill="accent1"/>
          </w:tcPr>
          <w:p w:rsidR="00F47C96" w:rsidRDefault="00F47C96" w:rsidP="000F4369">
            <w:pPr>
              <w:pStyle w:val="BodyText"/>
              <w:rPr>
                <w:b/>
              </w:rPr>
            </w:pPr>
            <w:r>
              <w:rPr>
                <w:b/>
              </w:rPr>
              <w:t>Q15.</w:t>
            </w:r>
          </w:p>
        </w:tc>
        <w:tc>
          <w:tcPr>
            <w:tcW w:w="5211" w:type="dxa"/>
          </w:tcPr>
          <w:p w:rsidR="00F47C96" w:rsidRPr="001A5055" w:rsidRDefault="00F47C96" w:rsidP="0010438D">
            <w:pPr>
              <w:pStyle w:val="BodyText"/>
            </w:pPr>
            <w:r w:rsidRPr="001A5055">
              <w:t>O</w:t>
            </w:r>
            <w:r>
              <w:t>f the generating assets included in your response to Q13, please provide a breakdown of the generation technologies involved (e.g. wind, diesel, PV, battery storage)?</w:t>
            </w:r>
          </w:p>
        </w:tc>
        <w:tc>
          <w:tcPr>
            <w:tcW w:w="4635" w:type="dxa"/>
          </w:tcPr>
          <w:p w:rsidR="00F47C96" w:rsidRDefault="00F47C96" w:rsidP="000F4369">
            <w:pPr>
              <w:pStyle w:val="BodyText"/>
            </w:pPr>
          </w:p>
        </w:tc>
      </w:tr>
    </w:tbl>
    <w:p w:rsidR="003B2E7D" w:rsidRDefault="003B2E7D" w:rsidP="00AA00A5">
      <w:pPr>
        <w:spacing w:after="0" w:line="240" w:lineRule="auto"/>
      </w:pPr>
    </w:p>
    <w:p w:rsidR="00681146" w:rsidRDefault="00681146" w:rsidP="00681146">
      <w:pPr>
        <w:pStyle w:val="BodyText"/>
      </w:pPr>
      <w:r>
        <w:t xml:space="preserve">Please send your responses to </w:t>
      </w:r>
      <w:proofErr w:type="spellStart"/>
      <w:r>
        <w:t>to</w:t>
      </w:r>
      <w:proofErr w:type="spellEnd"/>
      <w:r>
        <w:t xml:space="preserve"> </w:t>
      </w:r>
      <w:hyperlink r:id="rId12" w:history="1">
        <w:r w:rsidRPr="00E7066F">
          <w:rPr>
            <w:rStyle w:val="Hyperlink"/>
          </w:rPr>
          <w:t>Design.Authority@elexon.co.uk</w:t>
        </w:r>
      </w:hyperlink>
      <w:r>
        <w:t xml:space="preserve"> by </w:t>
      </w:r>
      <w:r>
        <w:rPr>
          <w:b/>
        </w:rPr>
        <w:t>17:00</w:t>
      </w:r>
      <w:r w:rsidRPr="00140934">
        <w:rPr>
          <w:b/>
        </w:rPr>
        <w:t xml:space="preserve"> on </w:t>
      </w:r>
      <w:r>
        <w:rPr>
          <w:b/>
        </w:rPr>
        <w:t>Tuesday 30</w:t>
      </w:r>
      <w:r w:rsidRPr="00E7066F">
        <w:rPr>
          <w:b/>
        </w:rPr>
        <w:t xml:space="preserve"> October</w:t>
      </w:r>
      <w:r w:rsidRPr="00140934">
        <w:rPr>
          <w:b/>
        </w:rPr>
        <w:t xml:space="preserve"> 2018</w:t>
      </w:r>
      <w:r>
        <w:t xml:space="preserve">. </w:t>
      </w:r>
    </w:p>
    <w:p w:rsidR="00681146" w:rsidRDefault="00681146" w:rsidP="00681146">
      <w:pPr>
        <w:pStyle w:val="BodyText"/>
      </w:pPr>
      <w:r>
        <w:t>If you have any questions on this consultation document please contact John Lucas (</w:t>
      </w:r>
      <w:hyperlink r:id="rId13" w:history="1">
        <w:r w:rsidRPr="00C570E5">
          <w:rPr>
            <w:rStyle w:val="Hyperlink"/>
          </w:rPr>
          <w:t>john.lucas@elexon.co.uk</w:t>
        </w:r>
      </w:hyperlink>
      <w:r>
        <w:t xml:space="preserve">, 020 7380 4345). </w:t>
      </w:r>
    </w:p>
    <w:p w:rsidR="0020255E" w:rsidRPr="00763AB3" w:rsidRDefault="0020255E" w:rsidP="00AA00A5">
      <w:pPr>
        <w:spacing w:after="0" w:line="240" w:lineRule="auto"/>
      </w:pPr>
    </w:p>
    <w:sectPr w:rsidR="0020255E" w:rsidRPr="00763AB3" w:rsidSect="00FA38AF">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62" w:right="794" w:bottom="1928" w:left="794" w:header="879"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D12" w:rsidRDefault="009E6D12" w:rsidP="00D00160">
      <w:pPr>
        <w:spacing w:after="0"/>
      </w:pPr>
      <w:r>
        <w:separator/>
      </w:r>
    </w:p>
    <w:p w:rsidR="009E6D12" w:rsidRDefault="009E6D12"/>
  </w:endnote>
  <w:endnote w:type="continuationSeparator" w:id="0">
    <w:p w:rsidR="009E6D12" w:rsidRDefault="009E6D12" w:rsidP="00D00160">
      <w:pPr>
        <w:spacing w:after="0"/>
      </w:pPr>
      <w:r>
        <w:continuationSeparator/>
      </w:r>
    </w:p>
    <w:p w:rsidR="009E6D12" w:rsidRDefault="009E6D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763AB3" w:rsidTr="008632A3">
      <w:trPr>
        <w:trHeight w:val="159"/>
      </w:trPr>
      <w:tc>
        <w:tcPr>
          <w:tcW w:w="2296" w:type="dxa"/>
          <w:tcBorders>
            <w:top w:val="single" w:sz="36" w:space="0" w:color="0090AB" w:themeColor="text2"/>
          </w:tcBorders>
        </w:tcPr>
        <w:p w:rsidR="00763AB3" w:rsidRDefault="00763AB3" w:rsidP="008632A3">
          <w:pPr>
            <w:pStyle w:val="1pt"/>
          </w:pPr>
        </w:p>
      </w:tc>
      <w:tc>
        <w:tcPr>
          <w:tcW w:w="284" w:type="dxa"/>
        </w:tcPr>
        <w:p w:rsidR="00763AB3" w:rsidRDefault="00763AB3" w:rsidP="008632A3">
          <w:pPr>
            <w:pStyle w:val="1pt"/>
          </w:pPr>
        </w:p>
      </w:tc>
      <w:tc>
        <w:tcPr>
          <w:tcW w:w="2714" w:type="dxa"/>
          <w:tcBorders>
            <w:top w:val="single" w:sz="36" w:space="0" w:color="0090AB" w:themeColor="text2"/>
          </w:tcBorders>
        </w:tcPr>
        <w:p w:rsidR="00763AB3" w:rsidRDefault="00763AB3" w:rsidP="008632A3">
          <w:pPr>
            <w:pStyle w:val="1pt"/>
          </w:pPr>
        </w:p>
      </w:tc>
      <w:tc>
        <w:tcPr>
          <w:tcW w:w="2712" w:type="dxa"/>
          <w:tcBorders>
            <w:top w:val="single" w:sz="36" w:space="0" w:color="0090AB" w:themeColor="text2"/>
          </w:tcBorders>
        </w:tcPr>
        <w:p w:rsidR="00763AB3" w:rsidRDefault="00763AB3" w:rsidP="008632A3">
          <w:pPr>
            <w:pStyle w:val="1pt"/>
          </w:pPr>
        </w:p>
      </w:tc>
      <w:tc>
        <w:tcPr>
          <w:tcW w:w="2301" w:type="dxa"/>
          <w:tcBorders>
            <w:top w:val="single" w:sz="36" w:space="0" w:color="0090AB" w:themeColor="text2"/>
          </w:tcBorders>
        </w:tcPr>
        <w:p w:rsidR="00763AB3" w:rsidRPr="009845EB" w:rsidRDefault="00763AB3" w:rsidP="008632A3">
          <w:pPr>
            <w:pStyle w:val="1pt"/>
          </w:pPr>
        </w:p>
      </w:tc>
    </w:tr>
    <w:tr w:rsidR="00763AB3" w:rsidTr="008632A3">
      <w:trPr>
        <w:trHeight w:val="357"/>
      </w:trPr>
      <w:tc>
        <w:tcPr>
          <w:tcW w:w="2296" w:type="dxa"/>
        </w:tcPr>
        <w:p w:rsidR="00763AB3" w:rsidRPr="00BF573B" w:rsidRDefault="00EA11EA" w:rsidP="008632A3">
          <w:pPr>
            <w:pStyle w:val="Footer"/>
          </w:pPr>
          <w:fldSimple w:instr=" STYLEREF  &quot;Footer Ref 1&quot;  \* MERGEFORMAT ">
            <w:r w:rsidR="0010438D">
              <w:rPr>
                <w:noProof/>
              </w:rPr>
              <w:t>Aligning BSC Data with EMR Regulations - Responses</w:t>
            </w:r>
          </w:fldSimple>
        </w:p>
      </w:tc>
      <w:tc>
        <w:tcPr>
          <w:tcW w:w="284" w:type="dxa"/>
        </w:tcPr>
        <w:p w:rsidR="00763AB3" w:rsidRDefault="00763AB3" w:rsidP="008632A3">
          <w:pPr>
            <w:pStyle w:val="Footer"/>
          </w:pPr>
        </w:p>
      </w:tc>
      <w:tc>
        <w:tcPr>
          <w:tcW w:w="5426" w:type="dxa"/>
          <w:gridSpan w:val="2"/>
        </w:tcPr>
        <w:p w:rsidR="00763AB3" w:rsidRDefault="00763AB3" w:rsidP="008632A3">
          <w:pPr>
            <w:pStyle w:val="Footer"/>
          </w:pPr>
          <w:r>
            <w:fldChar w:fldCharType="begin"/>
          </w:r>
          <w:r>
            <w:instrText xml:space="preserve"> STYLEREF  "Footer Ref 2"  \* MERGEFORMAT </w:instrText>
          </w:r>
          <w:r>
            <w:rPr>
              <w:noProof/>
            </w:rPr>
            <w:fldChar w:fldCharType="end"/>
          </w:r>
        </w:p>
      </w:tc>
      <w:tc>
        <w:tcPr>
          <w:tcW w:w="2301" w:type="dxa"/>
          <w:vMerge w:val="restart"/>
          <w:vAlign w:val="bottom"/>
        </w:tcPr>
        <w:p w:rsidR="00763AB3" w:rsidRDefault="00763AB3" w:rsidP="008632A3">
          <w:pPr>
            <w:pStyle w:val="Footer"/>
          </w:pPr>
          <w:r>
            <w:rPr>
              <w:rFonts w:hint="eastAsia"/>
              <w:noProof/>
              <w:lang w:eastAsia="en-GB"/>
            </w:rPr>
            <w:drawing>
              <wp:inline distT="0" distB="0" distL="0" distR="0" wp14:anchorId="14F71A46" wp14:editId="66B7B509">
                <wp:extent cx="1461960" cy="360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763AB3" w:rsidTr="008632A3">
      <w:trPr>
        <w:trHeight w:val="295"/>
      </w:trPr>
      <w:tc>
        <w:tcPr>
          <w:tcW w:w="2296" w:type="dxa"/>
        </w:tcPr>
        <w:p w:rsidR="00763AB3" w:rsidRPr="004873F8" w:rsidRDefault="00763AB3" w:rsidP="008632A3">
          <w:pPr>
            <w:pStyle w:val="Footer"/>
          </w:pPr>
          <w:r w:rsidRPr="004873F8">
            <w:t xml:space="preserve">Page </w:t>
          </w:r>
          <w:r>
            <w:fldChar w:fldCharType="begin"/>
          </w:r>
          <w:r>
            <w:instrText xml:space="preserve"> PAGE  \* Arabic  \* MERGEFORMAT </w:instrText>
          </w:r>
          <w:r>
            <w:fldChar w:fldCharType="separate"/>
          </w:r>
          <w:r>
            <w:rPr>
              <w:noProof/>
            </w:rPr>
            <w:t>2</w:t>
          </w:r>
          <w:r>
            <w:rPr>
              <w:noProof/>
            </w:rPr>
            <w:fldChar w:fldCharType="end"/>
          </w:r>
          <w:r w:rsidRPr="004873F8">
            <w:t xml:space="preserve"> of </w:t>
          </w:r>
          <w:r w:rsidR="0060136A">
            <w:fldChar w:fldCharType="begin"/>
          </w:r>
          <w:r w:rsidR="0060136A">
            <w:instrText xml:space="preserve"> NUMPAGES  \* Arabic  \* MERGEFORMAT </w:instrText>
          </w:r>
          <w:r w:rsidR="0060136A">
            <w:fldChar w:fldCharType="separate"/>
          </w:r>
          <w:r w:rsidR="0010438D">
            <w:rPr>
              <w:noProof/>
            </w:rPr>
            <w:t>4</w:t>
          </w:r>
          <w:r w:rsidR="0060136A">
            <w:rPr>
              <w:noProof/>
            </w:rPr>
            <w:fldChar w:fldCharType="end"/>
          </w:r>
        </w:p>
      </w:tc>
      <w:tc>
        <w:tcPr>
          <w:tcW w:w="284" w:type="dxa"/>
        </w:tcPr>
        <w:p w:rsidR="00763AB3" w:rsidRDefault="00763AB3" w:rsidP="008632A3">
          <w:pPr>
            <w:pStyle w:val="Footer"/>
          </w:pPr>
        </w:p>
      </w:tc>
      <w:tc>
        <w:tcPr>
          <w:tcW w:w="2714" w:type="dxa"/>
        </w:tcPr>
        <w:p w:rsidR="00763AB3" w:rsidRDefault="00EA11EA" w:rsidP="008632A3">
          <w:pPr>
            <w:pStyle w:val="Footer"/>
          </w:pPr>
          <w:fldSimple w:instr=" STYLEREF  &quot;Footer Date&quot;  \* MERGEFORMAT ">
            <w:r w:rsidR="0010438D">
              <w:rPr>
                <w:noProof/>
              </w:rPr>
              <w:t>15 October 2018</w:t>
            </w:r>
          </w:fldSimple>
        </w:p>
      </w:tc>
      <w:tc>
        <w:tcPr>
          <w:tcW w:w="2712" w:type="dxa"/>
        </w:tcPr>
        <w:p w:rsidR="00763AB3" w:rsidRDefault="00763AB3" w:rsidP="008632A3">
          <w:pPr>
            <w:pStyle w:val="Footer"/>
          </w:pPr>
          <w:r>
            <w:t xml:space="preserve">© ELEXON </w:t>
          </w:r>
          <w:r>
            <w:fldChar w:fldCharType="begin"/>
          </w:r>
          <w:r>
            <w:instrText xml:space="preserve"> DATE  \@ "yyyy" </w:instrText>
          </w:r>
          <w:r>
            <w:fldChar w:fldCharType="separate"/>
          </w:r>
          <w:r w:rsidR="0060136A">
            <w:rPr>
              <w:noProof/>
            </w:rPr>
            <w:t>2018</w:t>
          </w:r>
          <w:r>
            <w:fldChar w:fldCharType="end"/>
          </w:r>
        </w:p>
      </w:tc>
      <w:tc>
        <w:tcPr>
          <w:tcW w:w="2301" w:type="dxa"/>
          <w:vMerge/>
        </w:tcPr>
        <w:p w:rsidR="00763AB3" w:rsidRDefault="00763AB3" w:rsidP="008632A3">
          <w:pPr>
            <w:pStyle w:val="Footer"/>
          </w:pPr>
        </w:p>
      </w:tc>
    </w:tr>
  </w:tbl>
  <w:p w:rsidR="00763AB3" w:rsidRDefault="00763AB3" w:rsidP="00025A8A">
    <w:pPr>
      <w:pStyle w:val="1p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FA38AF" w:rsidTr="008632A3">
      <w:trPr>
        <w:trHeight w:val="159"/>
      </w:trPr>
      <w:tc>
        <w:tcPr>
          <w:tcW w:w="2296" w:type="dxa"/>
          <w:tcBorders>
            <w:top w:val="single" w:sz="36" w:space="0" w:color="0090AB" w:themeColor="text2"/>
          </w:tcBorders>
        </w:tcPr>
        <w:p w:rsidR="00FA38AF" w:rsidRDefault="00FA38AF" w:rsidP="008632A3">
          <w:pPr>
            <w:pStyle w:val="1pt"/>
          </w:pPr>
        </w:p>
      </w:tc>
      <w:tc>
        <w:tcPr>
          <w:tcW w:w="284" w:type="dxa"/>
        </w:tcPr>
        <w:p w:rsidR="00FA38AF" w:rsidRDefault="00FA38AF" w:rsidP="008632A3">
          <w:pPr>
            <w:pStyle w:val="1pt"/>
          </w:pPr>
        </w:p>
      </w:tc>
      <w:tc>
        <w:tcPr>
          <w:tcW w:w="2714" w:type="dxa"/>
          <w:tcBorders>
            <w:top w:val="single" w:sz="36" w:space="0" w:color="0090AB" w:themeColor="text2"/>
          </w:tcBorders>
        </w:tcPr>
        <w:p w:rsidR="00FA38AF" w:rsidRDefault="00FA38AF" w:rsidP="008632A3">
          <w:pPr>
            <w:pStyle w:val="1pt"/>
          </w:pPr>
        </w:p>
      </w:tc>
      <w:tc>
        <w:tcPr>
          <w:tcW w:w="2712" w:type="dxa"/>
          <w:tcBorders>
            <w:top w:val="single" w:sz="36" w:space="0" w:color="0090AB" w:themeColor="text2"/>
          </w:tcBorders>
        </w:tcPr>
        <w:p w:rsidR="00FA38AF" w:rsidRDefault="00FA38AF" w:rsidP="008632A3">
          <w:pPr>
            <w:pStyle w:val="1pt"/>
          </w:pPr>
        </w:p>
      </w:tc>
      <w:tc>
        <w:tcPr>
          <w:tcW w:w="2301" w:type="dxa"/>
          <w:tcBorders>
            <w:top w:val="single" w:sz="36" w:space="0" w:color="0090AB" w:themeColor="text2"/>
          </w:tcBorders>
        </w:tcPr>
        <w:p w:rsidR="00FA38AF" w:rsidRPr="009845EB" w:rsidRDefault="00FA38AF" w:rsidP="008632A3">
          <w:pPr>
            <w:pStyle w:val="1pt"/>
          </w:pPr>
        </w:p>
      </w:tc>
    </w:tr>
    <w:tr w:rsidR="00FA38AF" w:rsidTr="008632A3">
      <w:trPr>
        <w:trHeight w:val="357"/>
      </w:trPr>
      <w:tc>
        <w:tcPr>
          <w:tcW w:w="2296" w:type="dxa"/>
        </w:tcPr>
        <w:p w:rsidR="00FA38AF" w:rsidRPr="00BF573B" w:rsidRDefault="00EA11EA" w:rsidP="008632A3">
          <w:pPr>
            <w:pStyle w:val="Footer"/>
          </w:pPr>
          <w:fldSimple w:instr=" STYLEREF  &quot;Footer Ref 1&quot;  \* MERGEFORMAT ">
            <w:r w:rsidR="0060136A">
              <w:rPr>
                <w:noProof/>
              </w:rPr>
              <w:t>Aligning BSC Data with EMR Regulations - Responses</w:t>
            </w:r>
          </w:fldSimple>
        </w:p>
      </w:tc>
      <w:tc>
        <w:tcPr>
          <w:tcW w:w="284" w:type="dxa"/>
        </w:tcPr>
        <w:p w:rsidR="00FA38AF" w:rsidRDefault="00FA38AF" w:rsidP="008632A3">
          <w:pPr>
            <w:pStyle w:val="Footer"/>
          </w:pPr>
        </w:p>
      </w:tc>
      <w:tc>
        <w:tcPr>
          <w:tcW w:w="5426" w:type="dxa"/>
          <w:gridSpan w:val="2"/>
        </w:tcPr>
        <w:p w:rsidR="00FA38AF" w:rsidRDefault="00FA38AF" w:rsidP="008632A3">
          <w:pPr>
            <w:pStyle w:val="Footer"/>
          </w:pPr>
          <w:r>
            <w:fldChar w:fldCharType="begin"/>
          </w:r>
          <w:r>
            <w:instrText xml:space="preserve"> STYLEREF  "Footer Ref 2"  \* MERGEFORMAT </w:instrText>
          </w:r>
          <w:r>
            <w:rPr>
              <w:noProof/>
            </w:rPr>
            <w:fldChar w:fldCharType="end"/>
          </w:r>
        </w:p>
      </w:tc>
      <w:tc>
        <w:tcPr>
          <w:tcW w:w="2301" w:type="dxa"/>
          <w:vMerge w:val="restart"/>
          <w:vAlign w:val="bottom"/>
        </w:tcPr>
        <w:p w:rsidR="00FA38AF" w:rsidRDefault="00FA38AF" w:rsidP="008632A3">
          <w:pPr>
            <w:pStyle w:val="Footer"/>
          </w:pPr>
          <w:r>
            <w:rPr>
              <w:rFonts w:hint="eastAsia"/>
              <w:noProof/>
              <w:lang w:eastAsia="en-GB"/>
            </w:rPr>
            <w:drawing>
              <wp:inline distT="0" distB="0" distL="0" distR="0" wp14:anchorId="5C3E73E0" wp14:editId="62F03582">
                <wp:extent cx="1461960" cy="360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FA38AF" w:rsidTr="008632A3">
      <w:trPr>
        <w:trHeight w:val="295"/>
      </w:trPr>
      <w:tc>
        <w:tcPr>
          <w:tcW w:w="2296" w:type="dxa"/>
        </w:tcPr>
        <w:p w:rsidR="00FA38AF" w:rsidRPr="004873F8" w:rsidRDefault="00FA38AF" w:rsidP="008632A3">
          <w:pPr>
            <w:pStyle w:val="Footer"/>
          </w:pPr>
          <w:r w:rsidRPr="004873F8">
            <w:t xml:space="preserve">Page </w:t>
          </w:r>
          <w:r>
            <w:fldChar w:fldCharType="begin"/>
          </w:r>
          <w:r>
            <w:instrText xml:space="preserve"> PAGE  \* Arabic  \* MERGEFORMAT </w:instrText>
          </w:r>
          <w:r>
            <w:fldChar w:fldCharType="separate"/>
          </w:r>
          <w:r w:rsidR="0060136A">
            <w:rPr>
              <w:noProof/>
            </w:rPr>
            <w:t>4</w:t>
          </w:r>
          <w:r>
            <w:rPr>
              <w:noProof/>
            </w:rPr>
            <w:fldChar w:fldCharType="end"/>
          </w:r>
          <w:r w:rsidRPr="004873F8">
            <w:t xml:space="preserve"> of </w:t>
          </w:r>
          <w:r w:rsidR="0060136A">
            <w:fldChar w:fldCharType="begin"/>
          </w:r>
          <w:r w:rsidR="0060136A">
            <w:instrText xml:space="preserve"> NUMPAGES  \* Arabic  \* MERGEFORMAT </w:instrText>
          </w:r>
          <w:r w:rsidR="0060136A">
            <w:fldChar w:fldCharType="separate"/>
          </w:r>
          <w:r w:rsidR="0060136A">
            <w:rPr>
              <w:noProof/>
            </w:rPr>
            <w:t>4</w:t>
          </w:r>
          <w:r w:rsidR="0060136A">
            <w:rPr>
              <w:noProof/>
            </w:rPr>
            <w:fldChar w:fldCharType="end"/>
          </w:r>
        </w:p>
      </w:tc>
      <w:tc>
        <w:tcPr>
          <w:tcW w:w="284" w:type="dxa"/>
        </w:tcPr>
        <w:p w:rsidR="00FA38AF" w:rsidRDefault="00FA38AF" w:rsidP="008632A3">
          <w:pPr>
            <w:pStyle w:val="Footer"/>
          </w:pPr>
        </w:p>
      </w:tc>
      <w:tc>
        <w:tcPr>
          <w:tcW w:w="2714" w:type="dxa"/>
        </w:tcPr>
        <w:p w:rsidR="00FA38AF" w:rsidRDefault="00EA11EA" w:rsidP="008632A3">
          <w:pPr>
            <w:pStyle w:val="Footer"/>
          </w:pPr>
          <w:fldSimple w:instr=" STYLEREF  &quot;Footer Date&quot;  \* MERGEFORMAT ">
            <w:r w:rsidR="0060136A">
              <w:rPr>
                <w:noProof/>
              </w:rPr>
              <w:t>15 October 2018</w:t>
            </w:r>
          </w:fldSimple>
        </w:p>
      </w:tc>
      <w:tc>
        <w:tcPr>
          <w:tcW w:w="2712" w:type="dxa"/>
        </w:tcPr>
        <w:p w:rsidR="00FA38AF" w:rsidRDefault="00FA38AF" w:rsidP="008632A3">
          <w:pPr>
            <w:pStyle w:val="Footer"/>
          </w:pPr>
          <w:r>
            <w:t xml:space="preserve">© ELEXON </w:t>
          </w:r>
          <w:r>
            <w:fldChar w:fldCharType="begin"/>
          </w:r>
          <w:r>
            <w:instrText xml:space="preserve"> DATE  \@ "yyyy" </w:instrText>
          </w:r>
          <w:r>
            <w:fldChar w:fldCharType="separate"/>
          </w:r>
          <w:r w:rsidR="0060136A">
            <w:rPr>
              <w:noProof/>
            </w:rPr>
            <w:t>2018</w:t>
          </w:r>
          <w:r>
            <w:fldChar w:fldCharType="end"/>
          </w:r>
        </w:p>
      </w:tc>
      <w:tc>
        <w:tcPr>
          <w:tcW w:w="2301" w:type="dxa"/>
          <w:vMerge/>
        </w:tcPr>
        <w:p w:rsidR="00FA38AF" w:rsidRDefault="00FA38AF" w:rsidP="008632A3">
          <w:pPr>
            <w:pStyle w:val="Footer"/>
          </w:pPr>
        </w:p>
      </w:tc>
    </w:tr>
  </w:tbl>
  <w:p w:rsidR="00FA38AF" w:rsidRDefault="00FA38AF" w:rsidP="00025A8A">
    <w:pPr>
      <w:pStyle w:val="1p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D12" w:rsidRDefault="009E6D12" w:rsidP="00D00160">
      <w:pPr>
        <w:spacing w:after="0"/>
      </w:pPr>
      <w:r>
        <w:separator/>
      </w:r>
    </w:p>
    <w:p w:rsidR="009E6D12" w:rsidRDefault="009E6D12"/>
  </w:footnote>
  <w:footnote w:type="continuationSeparator" w:id="0">
    <w:p w:rsidR="009E6D12" w:rsidRDefault="009E6D12" w:rsidP="00D00160">
      <w:pPr>
        <w:spacing w:after="0"/>
      </w:pPr>
      <w:r>
        <w:continuationSeparator/>
      </w:r>
    </w:p>
    <w:p w:rsidR="009E6D12" w:rsidRDefault="009E6D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763AB3" w:rsidRPr="009D47D6" w:rsidTr="008632A3">
      <w:trPr>
        <w:cantSplit/>
        <w:trHeight w:hRule="exact" w:val="284"/>
      </w:trPr>
      <w:tc>
        <w:tcPr>
          <w:tcW w:w="10318" w:type="dxa"/>
          <w:tcBorders>
            <w:top w:val="nil"/>
            <w:bottom w:val="nil"/>
          </w:tcBorders>
        </w:tcPr>
        <w:p w:rsidR="00763AB3" w:rsidRDefault="00763AB3" w:rsidP="008632A3">
          <w:pPr>
            <w:pStyle w:val="BodyText"/>
          </w:pPr>
        </w:p>
      </w:tc>
    </w:tr>
    <w:tr w:rsidR="00763AB3" w:rsidRPr="009D47D6" w:rsidTr="008632A3">
      <w:trPr>
        <w:cantSplit/>
        <w:trHeight w:hRule="exact" w:val="550"/>
      </w:trPr>
      <w:tc>
        <w:tcPr>
          <w:tcW w:w="10318" w:type="dxa"/>
          <w:tcBorders>
            <w:top w:val="nil"/>
          </w:tcBorders>
        </w:tcPr>
        <w:p w:rsidR="00763AB3" w:rsidRPr="009D47D6" w:rsidRDefault="00EA11EA" w:rsidP="008632A3">
          <w:pPr>
            <w:pStyle w:val="Title"/>
          </w:pPr>
          <w:fldSimple w:instr=" STYLEREF  Title  \* MERGEFORMAT ">
            <w:r w:rsidR="0010438D">
              <w:rPr>
                <w:noProof/>
              </w:rPr>
              <w:t>Aligning BSC Reporting with EMR Regulations</w:t>
            </w:r>
          </w:fldSimple>
        </w:p>
      </w:tc>
    </w:tr>
    <w:tr w:rsidR="00763AB3" w:rsidRPr="009D47D6" w:rsidTr="008632A3">
      <w:trPr>
        <w:cantSplit/>
        <w:trHeight w:hRule="exact" w:val="369"/>
      </w:trPr>
      <w:tc>
        <w:tcPr>
          <w:tcW w:w="10318" w:type="dxa"/>
        </w:tcPr>
        <w:p w:rsidR="00763AB3" w:rsidRPr="009D47D6" w:rsidRDefault="00763AB3" w:rsidP="008632A3">
          <w:pPr>
            <w:pStyle w:val="BodyText"/>
          </w:pPr>
        </w:p>
      </w:tc>
    </w:tr>
  </w:tbl>
  <w:p w:rsidR="00763AB3" w:rsidRDefault="00763AB3" w:rsidP="00025A8A">
    <w:pPr>
      <w:pStyle w:val="1p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FA38AF" w:rsidRPr="009D47D6" w:rsidTr="008632A3">
      <w:trPr>
        <w:cantSplit/>
        <w:trHeight w:hRule="exact" w:val="284"/>
      </w:trPr>
      <w:tc>
        <w:tcPr>
          <w:tcW w:w="10318" w:type="dxa"/>
          <w:tcBorders>
            <w:top w:val="nil"/>
            <w:bottom w:val="nil"/>
          </w:tcBorders>
        </w:tcPr>
        <w:p w:rsidR="00FA38AF" w:rsidRDefault="00FA38AF" w:rsidP="008632A3">
          <w:pPr>
            <w:pStyle w:val="BodyText"/>
          </w:pPr>
        </w:p>
      </w:tc>
    </w:tr>
    <w:tr w:rsidR="00FA38AF" w:rsidRPr="009D47D6" w:rsidTr="003D0B17">
      <w:trPr>
        <w:cantSplit/>
        <w:trHeight w:val="550"/>
      </w:trPr>
      <w:tc>
        <w:tcPr>
          <w:tcW w:w="10318" w:type="dxa"/>
          <w:tcBorders>
            <w:top w:val="nil"/>
          </w:tcBorders>
        </w:tcPr>
        <w:p w:rsidR="00FA38AF" w:rsidRPr="009D47D6" w:rsidRDefault="0060136A" w:rsidP="008632A3">
          <w:pPr>
            <w:pStyle w:val="Title"/>
          </w:pPr>
          <w:r>
            <w:fldChar w:fldCharType="begin"/>
          </w:r>
          <w:r>
            <w:instrText xml:space="preserve"> STYLEREF  Title  \* MERGEFORMAT </w:instrText>
          </w:r>
          <w:r>
            <w:fldChar w:fldCharType="separate"/>
          </w:r>
          <w:r>
            <w:rPr>
              <w:noProof/>
            </w:rPr>
            <w:t>Aligning BSC Reporting with EMR Regulations</w:t>
          </w:r>
          <w:r>
            <w:rPr>
              <w:noProof/>
            </w:rPr>
            <w:fldChar w:fldCharType="end"/>
          </w:r>
        </w:p>
      </w:tc>
    </w:tr>
    <w:tr w:rsidR="00FA38AF" w:rsidRPr="009D47D6" w:rsidTr="008632A3">
      <w:trPr>
        <w:cantSplit/>
        <w:trHeight w:hRule="exact" w:val="369"/>
      </w:trPr>
      <w:tc>
        <w:tcPr>
          <w:tcW w:w="10318" w:type="dxa"/>
        </w:tcPr>
        <w:p w:rsidR="00FA38AF" w:rsidRPr="009D47D6" w:rsidRDefault="00FA38AF" w:rsidP="008632A3">
          <w:pPr>
            <w:pStyle w:val="BodyText"/>
          </w:pPr>
        </w:p>
      </w:tc>
    </w:tr>
  </w:tbl>
  <w:p w:rsidR="00FA38AF" w:rsidRDefault="00FA38AF" w:rsidP="00025A8A">
    <w:pPr>
      <w:pStyle w:val="1p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76743A"/>
    <w:lvl w:ilvl="0">
      <w:start w:val="1"/>
      <w:numFmt w:val="decimal"/>
      <w:lvlText w:val="%1."/>
      <w:lvlJc w:val="left"/>
      <w:pPr>
        <w:tabs>
          <w:tab w:val="num" w:pos="1492"/>
        </w:tabs>
        <w:ind w:left="1492" w:hanging="360"/>
      </w:pPr>
    </w:lvl>
  </w:abstractNum>
  <w:abstractNum w:abstractNumId="1">
    <w:nsid w:val="FFFFFF7D"/>
    <w:multiLevelType w:val="singleLevel"/>
    <w:tmpl w:val="CBDE83E0"/>
    <w:lvl w:ilvl="0">
      <w:start w:val="1"/>
      <w:numFmt w:val="decimal"/>
      <w:lvlText w:val="%1."/>
      <w:lvlJc w:val="left"/>
      <w:pPr>
        <w:tabs>
          <w:tab w:val="num" w:pos="1209"/>
        </w:tabs>
        <w:ind w:left="1209" w:hanging="360"/>
      </w:pPr>
    </w:lvl>
  </w:abstractNum>
  <w:abstractNum w:abstractNumId="2">
    <w:nsid w:val="FFFFFF80"/>
    <w:multiLevelType w:val="singleLevel"/>
    <w:tmpl w:val="BDA29E28"/>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DC6A65CC"/>
    <w:lvl w:ilvl="0">
      <w:start w:val="1"/>
      <w:numFmt w:val="bullet"/>
      <w:lvlText w:val=""/>
      <w:lvlJc w:val="left"/>
      <w:pPr>
        <w:tabs>
          <w:tab w:val="num" w:pos="1209"/>
        </w:tabs>
        <w:ind w:left="1209" w:hanging="360"/>
      </w:pPr>
      <w:rPr>
        <w:rFonts w:ascii="Symbol" w:hAnsi="Symbol" w:hint="default"/>
      </w:rPr>
    </w:lvl>
  </w:abstractNum>
  <w:abstractNum w:abstractNumId="4">
    <w:nsid w:val="0DF34DA6"/>
    <w:multiLevelType w:val="multilevel"/>
    <w:tmpl w:val="2E4EC6B8"/>
    <w:numStyleLink w:val="ListBullets"/>
  </w:abstractNum>
  <w:abstractNum w:abstractNumId="5">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6">
    <w:nsid w:val="1E9B4FFB"/>
    <w:multiLevelType w:val="multilevel"/>
    <w:tmpl w:val="6DDC093C"/>
    <w:numStyleLink w:val="ListNumbers"/>
  </w:abstractNum>
  <w:abstractNum w:abstractNumId="7">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8">
    <w:nsid w:val="2C0F7816"/>
    <w:multiLevelType w:val="multilevel"/>
    <w:tmpl w:val="A28EC53E"/>
    <w:numStyleLink w:val="ListHeadings"/>
  </w:abstractNum>
  <w:abstractNum w:abstractNumId="9">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10">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11">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3E225E17"/>
    <w:multiLevelType w:val="multilevel"/>
    <w:tmpl w:val="A28EC53E"/>
    <w:numStyleLink w:val="ListHeadings"/>
  </w:abstractNum>
  <w:abstractNum w:abstractNumId="13">
    <w:nsid w:val="46A73215"/>
    <w:multiLevelType w:val="multilevel"/>
    <w:tmpl w:val="2E4EC6B8"/>
    <w:numStyleLink w:val="ListBullets"/>
  </w:abstractNum>
  <w:abstractNum w:abstractNumId="14">
    <w:nsid w:val="4E060A0C"/>
    <w:multiLevelType w:val="multilevel"/>
    <w:tmpl w:val="2E4EC6B8"/>
    <w:numStyleLink w:val="ListBullets"/>
  </w:abstractNum>
  <w:abstractNum w:abstractNumId="15">
    <w:nsid w:val="51AE54FD"/>
    <w:multiLevelType w:val="hybridMultilevel"/>
    <w:tmpl w:val="6D0AA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D596BEA"/>
    <w:multiLevelType w:val="multilevel"/>
    <w:tmpl w:val="A28EC53E"/>
    <w:numStyleLink w:val="ListHeadings"/>
  </w:abstractNum>
  <w:abstractNum w:abstractNumId="17">
    <w:nsid w:val="60E33CAB"/>
    <w:multiLevelType w:val="multilevel"/>
    <w:tmpl w:val="2E4EC6B8"/>
    <w:numStyleLink w:val="ListBullets"/>
  </w:abstractNum>
  <w:abstractNum w:abstractNumId="18">
    <w:nsid w:val="73D63850"/>
    <w:multiLevelType w:val="multilevel"/>
    <w:tmpl w:val="269C7F9C"/>
    <w:numStyleLink w:val="ListTable"/>
  </w:abstractNum>
  <w:abstractNum w:abstractNumId="19">
    <w:nsid w:val="73FF3C1E"/>
    <w:multiLevelType w:val="multilevel"/>
    <w:tmpl w:val="2E4EC6B8"/>
    <w:numStyleLink w:val="ListBullets"/>
  </w:abstractNum>
  <w:abstractNum w:abstractNumId="20">
    <w:nsid w:val="7D004CA6"/>
    <w:multiLevelType w:val="multilevel"/>
    <w:tmpl w:val="2E4EC6B8"/>
    <w:numStyleLink w:val="ListBullets"/>
  </w:abstractNum>
  <w:abstractNum w:abstractNumId="21">
    <w:nsid w:val="7DE21902"/>
    <w:multiLevelType w:val="multilevel"/>
    <w:tmpl w:val="6DDC093C"/>
    <w:numStyleLink w:val="ListNumbers"/>
  </w:abstractNum>
  <w:abstractNum w:abstractNumId="22">
    <w:nsid w:val="7F0825B4"/>
    <w:multiLevelType w:val="multilevel"/>
    <w:tmpl w:val="2E4EC6B8"/>
    <w:numStyleLink w:val="ListBullets"/>
  </w:abstractNum>
  <w:num w:numId="1">
    <w:abstractNumId w:val="10"/>
  </w:num>
  <w:num w:numId="2">
    <w:abstractNumId w:val="5"/>
  </w:num>
  <w:num w:numId="3">
    <w:abstractNumId w:val="7"/>
  </w:num>
  <w:num w:numId="4">
    <w:abstractNumId w:val="16"/>
  </w:num>
  <w:num w:numId="5">
    <w:abstractNumId w:val="11"/>
  </w:num>
  <w:num w:numId="6">
    <w:abstractNumId w:val="14"/>
  </w:num>
  <w:num w:numId="7">
    <w:abstractNumId w:val="6"/>
  </w:num>
  <w:num w:numId="8">
    <w:abstractNumId w:val="3"/>
  </w:num>
  <w:num w:numId="9">
    <w:abstractNumId w:val="2"/>
  </w:num>
  <w:num w:numId="10">
    <w:abstractNumId w:val="1"/>
  </w:num>
  <w:num w:numId="11">
    <w:abstractNumId w:val="0"/>
  </w:num>
  <w:num w:numId="12">
    <w:abstractNumId w:val="13"/>
  </w:num>
  <w:num w:numId="13">
    <w:abstractNumId w:val="17"/>
  </w:num>
  <w:num w:numId="14">
    <w:abstractNumId w:val="4"/>
  </w:num>
  <w:num w:numId="15">
    <w:abstractNumId w:val="22"/>
  </w:num>
  <w:num w:numId="16">
    <w:abstractNumId w:val="19"/>
  </w:num>
  <w:num w:numId="17">
    <w:abstractNumId w:val="8"/>
  </w:num>
  <w:num w:numId="18">
    <w:abstractNumId w:val="20"/>
  </w:num>
  <w:num w:numId="19">
    <w:abstractNumId w:val="21"/>
  </w:num>
  <w:num w:numId="20">
    <w:abstractNumId w:val="10"/>
  </w:num>
  <w:num w:numId="21">
    <w:abstractNumId w:val="5"/>
  </w:num>
  <w:num w:numId="22">
    <w:abstractNumId w:val="7"/>
  </w:num>
  <w:num w:numId="23">
    <w:abstractNumId w:val="9"/>
  </w:num>
  <w:num w:numId="24">
    <w:abstractNumId w:val="12"/>
  </w:num>
  <w:num w:numId="25">
    <w:abstractNumId w:val="12"/>
  </w:num>
  <w:num w:numId="26">
    <w:abstractNumId w:val="12"/>
  </w:num>
  <w:num w:numId="27">
    <w:abstractNumId w:val="18"/>
  </w:num>
  <w:num w:numId="28">
    <w:abstractNumId w:val="20"/>
  </w:num>
  <w:num w:numId="29">
    <w:abstractNumId w:val="20"/>
  </w:num>
  <w:num w:numId="30">
    <w:abstractNumId w:val="20"/>
  </w:num>
  <w:num w:numId="3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10241"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D12"/>
    <w:rsid w:val="00003DBA"/>
    <w:rsid w:val="000078F3"/>
    <w:rsid w:val="000128C9"/>
    <w:rsid w:val="00015631"/>
    <w:rsid w:val="00015705"/>
    <w:rsid w:val="0001665B"/>
    <w:rsid w:val="00022399"/>
    <w:rsid w:val="0002328B"/>
    <w:rsid w:val="00024FCF"/>
    <w:rsid w:val="00025108"/>
    <w:rsid w:val="00025A8A"/>
    <w:rsid w:val="00026FC0"/>
    <w:rsid w:val="00035FC0"/>
    <w:rsid w:val="00041EC1"/>
    <w:rsid w:val="00045857"/>
    <w:rsid w:val="00047923"/>
    <w:rsid w:val="00050889"/>
    <w:rsid w:val="00051C54"/>
    <w:rsid w:val="000573F4"/>
    <w:rsid w:val="0006412A"/>
    <w:rsid w:val="0006470B"/>
    <w:rsid w:val="00083A4B"/>
    <w:rsid w:val="00084BB0"/>
    <w:rsid w:val="000A03BE"/>
    <w:rsid w:val="000A32E3"/>
    <w:rsid w:val="000B0BF6"/>
    <w:rsid w:val="000B64DB"/>
    <w:rsid w:val="000C0795"/>
    <w:rsid w:val="000C4DC9"/>
    <w:rsid w:val="000C4F41"/>
    <w:rsid w:val="000C543E"/>
    <w:rsid w:val="000C7695"/>
    <w:rsid w:val="000D4049"/>
    <w:rsid w:val="000D559A"/>
    <w:rsid w:val="000E25F9"/>
    <w:rsid w:val="000F670D"/>
    <w:rsid w:val="000F6CC1"/>
    <w:rsid w:val="0010438D"/>
    <w:rsid w:val="00105F47"/>
    <w:rsid w:val="001063E6"/>
    <w:rsid w:val="001069B5"/>
    <w:rsid w:val="001120E5"/>
    <w:rsid w:val="00114B30"/>
    <w:rsid w:val="001226F1"/>
    <w:rsid w:val="00123FE3"/>
    <w:rsid w:val="0012434E"/>
    <w:rsid w:val="00125B2A"/>
    <w:rsid w:val="0012760C"/>
    <w:rsid w:val="00127CD0"/>
    <w:rsid w:val="00130B0E"/>
    <w:rsid w:val="00130CF5"/>
    <w:rsid w:val="0014452C"/>
    <w:rsid w:val="00151EA9"/>
    <w:rsid w:val="00155174"/>
    <w:rsid w:val="0016442A"/>
    <w:rsid w:val="00164C03"/>
    <w:rsid w:val="00166D0F"/>
    <w:rsid w:val="00184103"/>
    <w:rsid w:val="0019370E"/>
    <w:rsid w:val="00193B3A"/>
    <w:rsid w:val="001A04A1"/>
    <w:rsid w:val="001A3219"/>
    <w:rsid w:val="001A5418"/>
    <w:rsid w:val="001B01E6"/>
    <w:rsid w:val="001B0740"/>
    <w:rsid w:val="001D09C2"/>
    <w:rsid w:val="001D222B"/>
    <w:rsid w:val="001D362E"/>
    <w:rsid w:val="001E0DED"/>
    <w:rsid w:val="001E2050"/>
    <w:rsid w:val="001F5FF8"/>
    <w:rsid w:val="00200719"/>
    <w:rsid w:val="0020255E"/>
    <w:rsid w:val="002050E1"/>
    <w:rsid w:val="00224CBF"/>
    <w:rsid w:val="00227464"/>
    <w:rsid w:val="00241ED6"/>
    <w:rsid w:val="00243F75"/>
    <w:rsid w:val="00253B86"/>
    <w:rsid w:val="0025704F"/>
    <w:rsid w:val="00270DC2"/>
    <w:rsid w:val="002720A6"/>
    <w:rsid w:val="00272B0C"/>
    <w:rsid w:val="00275E71"/>
    <w:rsid w:val="00276651"/>
    <w:rsid w:val="002811FE"/>
    <w:rsid w:val="00283684"/>
    <w:rsid w:val="002836E6"/>
    <w:rsid w:val="00283B5E"/>
    <w:rsid w:val="002850A8"/>
    <w:rsid w:val="00287A11"/>
    <w:rsid w:val="00290EEC"/>
    <w:rsid w:val="00293848"/>
    <w:rsid w:val="002A1873"/>
    <w:rsid w:val="002A4FFD"/>
    <w:rsid w:val="002B2467"/>
    <w:rsid w:val="002B60FA"/>
    <w:rsid w:val="002B64C3"/>
    <w:rsid w:val="002C2A71"/>
    <w:rsid w:val="002D4ED7"/>
    <w:rsid w:val="002E1537"/>
    <w:rsid w:val="002E4FC5"/>
    <w:rsid w:val="002E52AF"/>
    <w:rsid w:val="002E6DB2"/>
    <w:rsid w:val="002E7A18"/>
    <w:rsid w:val="002F138B"/>
    <w:rsid w:val="002F2F81"/>
    <w:rsid w:val="002F6971"/>
    <w:rsid w:val="00306E69"/>
    <w:rsid w:val="00312A7C"/>
    <w:rsid w:val="00326268"/>
    <w:rsid w:val="00333E34"/>
    <w:rsid w:val="00350F5E"/>
    <w:rsid w:val="00351A33"/>
    <w:rsid w:val="0035504E"/>
    <w:rsid w:val="00356E74"/>
    <w:rsid w:val="00360453"/>
    <w:rsid w:val="00370AB7"/>
    <w:rsid w:val="00375CC5"/>
    <w:rsid w:val="003812E8"/>
    <w:rsid w:val="00383845"/>
    <w:rsid w:val="003A1CE2"/>
    <w:rsid w:val="003A5A5F"/>
    <w:rsid w:val="003A60F6"/>
    <w:rsid w:val="003B1693"/>
    <w:rsid w:val="003B2E7D"/>
    <w:rsid w:val="003B566A"/>
    <w:rsid w:val="003C2435"/>
    <w:rsid w:val="003C6FA2"/>
    <w:rsid w:val="003D0B17"/>
    <w:rsid w:val="003D154E"/>
    <w:rsid w:val="003D20BC"/>
    <w:rsid w:val="003D2F63"/>
    <w:rsid w:val="003D527A"/>
    <w:rsid w:val="003E3D26"/>
    <w:rsid w:val="0040030D"/>
    <w:rsid w:val="00401A30"/>
    <w:rsid w:val="004022EE"/>
    <w:rsid w:val="004123EC"/>
    <w:rsid w:val="00412CE1"/>
    <w:rsid w:val="004133F4"/>
    <w:rsid w:val="004204F4"/>
    <w:rsid w:val="0043259F"/>
    <w:rsid w:val="0043358D"/>
    <w:rsid w:val="004542EC"/>
    <w:rsid w:val="00456823"/>
    <w:rsid w:val="004626FC"/>
    <w:rsid w:val="00464C7E"/>
    <w:rsid w:val="00465A5E"/>
    <w:rsid w:val="00467F86"/>
    <w:rsid w:val="00474B80"/>
    <w:rsid w:val="0048235F"/>
    <w:rsid w:val="0048274B"/>
    <w:rsid w:val="00483183"/>
    <w:rsid w:val="004844C2"/>
    <w:rsid w:val="004849C8"/>
    <w:rsid w:val="00486E3A"/>
    <w:rsid w:val="004873F8"/>
    <w:rsid w:val="004904CA"/>
    <w:rsid w:val="00492353"/>
    <w:rsid w:val="00493A65"/>
    <w:rsid w:val="0049503B"/>
    <w:rsid w:val="0049627F"/>
    <w:rsid w:val="004A135F"/>
    <w:rsid w:val="004A5FDA"/>
    <w:rsid w:val="004B4F5D"/>
    <w:rsid w:val="004B51B6"/>
    <w:rsid w:val="004C143F"/>
    <w:rsid w:val="004C753B"/>
    <w:rsid w:val="004D4201"/>
    <w:rsid w:val="004D4C4F"/>
    <w:rsid w:val="004E0D31"/>
    <w:rsid w:val="004E3651"/>
    <w:rsid w:val="00506E22"/>
    <w:rsid w:val="00510487"/>
    <w:rsid w:val="00511557"/>
    <w:rsid w:val="005129DD"/>
    <w:rsid w:val="00526528"/>
    <w:rsid w:val="00526D98"/>
    <w:rsid w:val="00541E77"/>
    <w:rsid w:val="005423DC"/>
    <w:rsid w:val="00555C8C"/>
    <w:rsid w:val="00556B2F"/>
    <w:rsid w:val="005600ED"/>
    <w:rsid w:val="0057310D"/>
    <w:rsid w:val="005745BE"/>
    <w:rsid w:val="00580B4F"/>
    <w:rsid w:val="00583067"/>
    <w:rsid w:val="00593D67"/>
    <w:rsid w:val="00596B83"/>
    <w:rsid w:val="005A3992"/>
    <w:rsid w:val="005A3FBE"/>
    <w:rsid w:val="005A5015"/>
    <w:rsid w:val="005C63AE"/>
    <w:rsid w:val="005D267A"/>
    <w:rsid w:val="005D6CAB"/>
    <w:rsid w:val="005E1A46"/>
    <w:rsid w:val="005E2F8F"/>
    <w:rsid w:val="005F4F9F"/>
    <w:rsid w:val="005F6761"/>
    <w:rsid w:val="0060136A"/>
    <w:rsid w:val="00603C7D"/>
    <w:rsid w:val="00604929"/>
    <w:rsid w:val="006119C2"/>
    <w:rsid w:val="00617BEE"/>
    <w:rsid w:val="00627B7E"/>
    <w:rsid w:val="00643DB1"/>
    <w:rsid w:val="00660CB1"/>
    <w:rsid w:val="006670AF"/>
    <w:rsid w:val="006713C4"/>
    <w:rsid w:val="00671888"/>
    <w:rsid w:val="006807CF"/>
    <w:rsid w:val="00681146"/>
    <w:rsid w:val="00691A37"/>
    <w:rsid w:val="00693B09"/>
    <w:rsid w:val="0069564B"/>
    <w:rsid w:val="00696C07"/>
    <w:rsid w:val="006A1050"/>
    <w:rsid w:val="006A1AF5"/>
    <w:rsid w:val="006A3242"/>
    <w:rsid w:val="006B2A34"/>
    <w:rsid w:val="006C0DD4"/>
    <w:rsid w:val="006C2D4C"/>
    <w:rsid w:val="006C5231"/>
    <w:rsid w:val="006D188B"/>
    <w:rsid w:val="006D5BC0"/>
    <w:rsid w:val="006E1377"/>
    <w:rsid w:val="006E445E"/>
    <w:rsid w:val="006F2B4C"/>
    <w:rsid w:val="00700125"/>
    <w:rsid w:val="00701B7D"/>
    <w:rsid w:val="00705107"/>
    <w:rsid w:val="00713AA5"/>
    <w:rsid w:val="00714E30"/>
    <w:rsid w:val="0072343F"/>
    <w:rsid w:val="00724E12"/>
    <w:rsid w:val="0073692C"/>
    <w:rsid w:val="00740CE6"/>
    <w:rsid w:val="00740D57"/>
    <w:rsid w:val="0074339D"/>
    <w:rsid w:val="0074369E"/>
    <w:rsid w:val="007455F6"/>
    <w:rsid w:val="00751685"/>
    <w:rsid w:val="0075650A"/>
    <w:rsid w:val="00763AB3"/>
    <w:rsid w:val="0077420B"/>
    <w:rsid w:val="00776261"/>
    <w:rsid w:val="007845B9"/>
    <w:rsid w:val="00793CE4"/>
    <w:rsid w:val="00794941"/>
    <w:rsid w:val="007A5271"/>
    <w:rsid w:val="007A750B"/>
    <w:rsid w:val="007B1DAF"/>
    <w:rsid w:val="007C16D2"/>
    <w:rsid w:val="007C5F0B"/>
    <w:rsid w:val="007C73F7"/>
    <w:rsid w:val="007D0E52"/>
    <w:rsid w:val="007D59DF"/>
    <w:rsid w:val="007E0107"/>
    <w:rsid w:val="007F32EE"/>
    <w:rsid w:val="007F3DA5"/>
    <w:rsid w:val="007F7133"/>
    <w:rsid w:val="00807E70"/>
    <w:rsid w:val="0082633E"/>
    <w:rsid w:val="0087420B"/>
    <w:rsid w:val="00874A5B"/>
    <w:rsid w:val="00882677"/>
    <w:rsid w:val="00886BFD"/>
    <w:rsid w:val="008902C0"/>
    <w:rsid w:val="0089353A"/>
    <w:rsid w:val="0089428A"/>
    <w:rsid w:val="008A719F"/>
    <w:rsid w:val="008B4235"/>
    <w:rsid w:val="008B638A"/>
    <w:rsid w:val="008C340B"/>
    <w:rsid w:val="008C3527"/>
    <w:rsid w:val="008C6D28"/>
    <w:rsid w:val="008C73C7"/>
    <w:rsid w:val="008D59F5"/>
    <w:rsid w:val="00901842"/>
    <w:rsid w:val="00917F4B"/>
    <w:rsid w:val="00931FB4"/>
    <w:rsid w:val="0094294D"/>
    <w:rsid w:val="009434FC"/>
    <w:rsid w:val="0094690D"/>
    <w:rsid w:val="00951E4D"/>
    <w:rsid w:val="00956807"/>
    <w:rsid w:val="0095774A"/>
    <w:rsid w:val="009607E7"/>
    <w:rsid w:val="00965905"/>
    <w:rsid w:val="009767A7"/>
    <w:rsid w:val="009845EB"/>
    <w:rsid w:val="009867ED"/>
    <w:rsid w:val="009933A5"/>
    <w:rsid w:val="00993CEA"/>
    <w:rsid w:val="009A2B72"/>
    <w:rsid w:val="009B0B9A"/>
    <w:rsid w:val="009B55EE"/>
    <w:rsid w:val="009C201C"/>
    <w:rsid w:val="009D47D6"/>
    <w:rsid w:val="009E0473"/>
    <w:rsid w:val="009E60A3"/>
    <w:rsid w:val="009E6D12"/>
    <w:rsid w:val="009F2EBE"/>
    <w:rsid w:val="009F343D"/>
    <w:rsid w:val="009F5D5B"/>
    <w:rsid w:val="00A02821"/>
    <w:rsid w:val="00A07452"/>
    <w:rsid w:val="00A15967"/>
    <w:rsid w:val="00A22973"/>
    <w:rsid w:val="00A24BDB"/>
    <w:rsid w:val="00A3488D"/>
    <w:rsid w:val="00A34C37"/>
    <w:rsid w:val="00A426A7"/>
    <w:rsid w:val="00A437F9"/>
    <w:rsid w:val="00A44D3F"/>
    <w:rsid w:val="00A54E9C"/>
    <w:rsid w:val="00A611C5"/>
    <w:rsid w:val="00A66BB4"/>
    <w:rsid w:val="00A750A5"/>
    <w:rsid w:val="00A856D3"/>
    <w:rsid w:val="00A85FF7"/>
    <w:rsid w:val="00A87081"/>
    <w:rsid w:val="00A96528"/>
    <w:rsid w:val="00AA00A5"/>
    <w:rsid w:val="00AA1AD9"/>
    <w:rsid w:val="00AB167D"/>
    <w:rsid w:val="00AC5D47"/>
    <w:rsid w:val="00AE0441"/>
    <w:rsid w:val="00AF1D0B"/>
    <w:rsid w:val="00B02E85"/>
    <w:rsid w:val="00B108A3"/>
    <w:rsid w:val="00B14FE6"/>
    <w:rsid w:val="00B26AD0"/>
    <w:rsid w:val="00B3012A"/>
    <w:rsid w:val="00B31080"/>
    <w:rsid w:val="00B3185B"/>
    <w:rsid w:val="00B331F4"/>
    <w:rsid w:val="00B33B99"/>
    <w:rsid w:val="00B35660"/>
    <w:rsid w:val="00B429C6"/>
    <w:rsid w:val="00B439F2"/>
    <w:rsid w:val="00B55CA0"/>
    <w:rsid w:val="00B67341"/>
    <w:rsid w:val="00B71C2A"/>
    <w:rsid w:val="00B7564F"/>
    <w:rsid w:val="00B77FF5"/>
    <w:rsid w:val="00B81BE7"/>
    <w:rsid w:val="00B9589B"/>
    <w:rsid w:val="00BA2E49"/>
    <w:rsid w:val="00BA3308"/>
    <w:rsid w:val="00BA785C"/>
    <w:rsid w:val="00BB4AA3"/>
    <w:rsid w:val="00BD0A71"/>
    <w:rsid w:val="00BD0D82"/>
    <w:rsid w:val="00BD50EA"/>
    <w:rsid w:val="00BD6651"/>
    <w:rsid w:val="00BE4267"/>
    <w:rsid w:val="00BE42C6"/>
    <w:rsid w:val="00BE7DE9"/>
    <w:rsid w:val="00BF2952"/>
    <w:rsid w:val="00BF34AF"/>
    <w:rsid w:val="00BF573B"/>
    <w:rsid w:val="00BF77C5"/>
    <w:rsid w:val="00C01DE5"/>
    <w:rsid w:val="00C03F6C"/>
    <w:rsid w:val="00C0552D"/>
    <w:rsid w:val="00C05636"/>
    <w:rsid w:val="00C273C7"/>
    <w:rsid w:val="00C3375B"/>
    <w:rsid w:val="00C37641"/>
    <w:rsid w:val="00C460D2"/>
    <w:rsid w:val="00C551D7"/>
    <w:rsid w:val="00C611AB"/>
    <w:rsid w:val="00C743B0"/>
    <w:rsid w:val="00C74D3E"/>
    <w:rsid w:val="00C75A66"/>
    <w:rsid w:val="00C82766"/>
    <w:rsid w:val="00C93633"/>
    <w:rsid w:val="00C940BA"/>
    <w:rsid w:val="00C95E62"/>
    <w:rsid w:val="00CB5F37"/>
    <w:rsid w:val="00CB7A8B"/>
    <w:rsid w:val="00CB7C94"/>
    <w:rsid w:val="00CC46F9"/>
    <w:rsid w:val="00CD2C04"/>
    <w:rsid w:val="00CD3EF7"/>
    <w:rsid w:val="00CF5112"/>
    <w:rsid w:val="00D00160"/>
    <w:rsid w:val="00D00244"/>
    <w:rsid w:val="00D0366B"/>
    <w:rsid w:val="00D0445E"/>
    <w:rsid w:val="00D11E7F"/>
    <w:rsid w:val="00D15882"/>
    <w:rsid w:val="00D1615A"/>
    <w:rsid w:val="00D1638A"/>
    <w:rsid w:val="00D213E4"/>
    <w:rsid w:val="00D24333"/>
    <w:rsid w:val="00D24E79"/>
    <w:rsid w:val="00D30752"/>
    <w:rsid w:val="00D3680B"/>
    <w:rsid w:val="00D43CD5"/>
    <w:rsid w:val="00D43DAD"/>
    <w:rsid w:val="00D45918"/>
    <w:rsid w:val="00D536C0"/>
    <w:rsid w:val="00D55D00"/>
    <w:rsid w:val="00D5644A"/>
    <w:rsid w:val="00D565CB"/>
    <w:rsid w:val="00D62697"/>
    <w:rsid w:val="00D65E4C"/>
    <w:rsid w:val="00DA1A39"/>
    <w:rsid w:val="00DA2D6E"/>
    <w:rsid w:val="00DB17C4"/>
    <w:rsid w:val="00DC1F44"/>
    <w:rsid w:val="00DC2EFA"/>
    <w:rsid w:val="00DC4705"/>
    <w:rsid w:val="00DD1C68"/>
    <w:rsid w:val="00DD1ECC"/>
    <w:rsid w:val="00DD3BD8"/>
    <w:rsid w:val="00DD52A5"/>
    <w:rsid w:val="00DD5553"/>
    <w:rsid w:val="00DD585B"/>
    <w:rsid w:val="00DD63DB"/>
    <w:rsid w:val="00DE39AB"/>
    <w:rsid w:val="00DE514C"/>
    <w:rsid w:val="00DE6E04"/>
    <w:rsid w:val="00DF5F62"/>
    <w:rsid w:val="00E06062"/>
    <w:rsid w:val="00E070A1"/>
    <w:rsid w:val="00E12272"/>
    <w:rsid w:val="00E12298"/>
    <w:rsid w:val="00E24332"/>
    <w:rsid w:val="00E25D80"/>
    <w:rsid w:val="00E27439"/>
    <w:rsid w:val="00E437C6"/>
    <w:rsid w:val="00E53D37"/>
    <w:rsid w:val="00E564AD"/>
    <w:rsid w:val="00E63D63"/>
    <w:rsid w:val="00E66CE7"/>
    <w:rsid w:val="00E6739B"/>
    <w:rsid w:val="00E677BA"/>
    <w:rsid w:val="00E7331F"/>
    <w:rsid w:val="00E80574"/>
    <w:rsid w:val="00E87AB5"/>
    <w:rsid w:val="00E900F9"/>
    <w:rsid w:val="00EA11EA"/>
    <w:rsid w:val="00EA7C4C"/>
    <w:rsid w:val="00EB351A"/>
    <w:rsid w:val="00EB369B"/>
    <w:rsid w:val="00EB4318"/>
    <w:rsid w:val="00EB511E"/>
    <w:rsid w:val="00EB6671"/>
    <w:rsid w:val="00EC0669"/>
    <w:rsid w:val="00ED2D03"/>
    <w:rsid w:val="00ED3B54"/>
    <w:rsid w:val="00ED5ACF"/>
    <w:rsid w:val="00ED5B33"/>
    <w:rsid w:val="00EE0A4D"/>
    <w:rsid w:val="00EE1AF2"/>
    <w:rsid w:val="00EE2050"/>
    <w:rsid w:val="00EF2549"/>
    <w:rsid w:val="00F11B7F"/>
    <w:rsid w:val="00F1614F"/>
    <w:rsid w:val="00F16C0B"/>
    <w:rsid w:val="00F16F05"/>
    <w:rsid w:val="00F2113E"/>
    <w:rsid w:val="00F26D0B"/>
    <w:rsid w:val="00F31705"/>
    <w:rsid w:val="00F465BA"/>
    <w:rsid w:val="00F47C96"/>
    <w:rsid w:val="00F50671"/>
    <w:rsid w:val="00F57A62"/>
    <w:rsid w:val="00F57B58"/>
    <w:rsid w:val="00F7272D"/>
    <w:rsid w:val="00F73B18"/>
    <w:rsid w:val="00F764F7"/>
    <w:rsid w:val="00F8313F"/>
    <w:rsid w:val="00F9053D"/>
    <w:rsid w:val="00F96D9D"/>
    <w:rsid w:val="00FA38AF"/>
    <w:rsid w:val="00FA3BC6"/>
    <w:rsid w:val="00FA790F"/>
    <w:rsid w:val="00FB13C1"/>
    <w:rsid w:val="00FB7E85"/>
    <w:rsid w:val="00FC37B4"/>
    <w:rsid w:val="00FD188E"/>
    <w:rsid w:val="00FD3155"/>
    <w:rsid w:val="00FD70B6"/>
    <w:rsid w:val="00FE11CB"/>
    <w:rsid w:val="00FE28DA"/>
    <w:rsid w:val="00FE3421"/>
    <w:rsid w:val="00FE5A4F"/>
    <w:rsid w:val="00FF06DE"/>
    <w:rsid w:val="00FF08FC"/>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9E6D12"/>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C05636"/>
    <w:pPr>
      <w:outlineLvl w:val="0"/>
    </w:pPr>
    <w:rPr>
      <w:b/>
      <w:color w:val="0090AB" w:themeColor="text2"/>
      <w:sz w:val="22"/>
    </w:rPr>
  </w:style>
  <w:style w:type="paragraph" w:styleId="Heading2">
    <w:name w:val="heading 2"/>
    <w:basedOn w:val="BodyText"/>
    <w:next w:val="BodyText"/>
    <w:link w:val="Heading2Char"/>
    <w:uiPriority w:val="1"/>
    <w:semiHidden/>
    <w:rsid w:val="00C05636"/>
    <w:pPr>
      <w:outlineLvl w:val="1"/>
    </w:pPr>
    <w:rPr>
      <w:b/>
    </w:rPr>
  </w:style>
  <w:style w:type="paragraph" w:styleId="Heading3">
    <w:name w:val="heading 3"/>
    <w:basedOn w:val="BodyText"/>
    <w:next w:val="BodyText"/>
    <w:link w:val="Heading3Char"/>
    <w:uiPriority w:val="1"/>
    <w:semiHidden/>
    <w:rsid w:val="00C05636"/>
    <w:pPr>
      <w:outlineLvl w:val="2"/>
    </w:pPr>
  </w:style>
  <w:style w:type="paragraph" w:styleId="Heading4">
    <w:name w:val="heading 4"/>
    <w:basedOn w:val="Normal"/>
    <w:next w:val="Normal"/>
    <w:link w:val="Heading4Char"/>
    <w:uiPriority w:val="9"/>
    <w:semiHidden/>
    <w:rsid w:val="003C6FA2"/>
    <w:pPr>
      <w:tabs>
        <w:tab w:val="num" w:pos="624"/>
      </w:tabs>
      <w:ind w:left="624" w:hanging="624"/>
      <w:outlineLvl w:val="3"/>
    </w:pPr>
  </w:style>
  <w:style w:type="paragraph" w:styleId="Heading5">
    <w:name w:val="heading 5"/>
    <w:basedOn w:val="Heading"/>
    <w:next w:val="Normal"/>
    <w:link w:val="Heading5Char"/>
    <w:uiPriority w:val="9"/>
    <w:semiHidden/>
    <w:rsid w:val="003C6FA2"/>
    <w:pPr>
      <w:outlineLvl w:val="4"/>
    </w:pPr>
  </w:style>
  <w:style w:type="paragraph" w:styleId="Heading6">
    <w:name w:val="heading 6"/>
    <w:basedOn w:val="Normal"/>
    <w:next w:val="Normal"/>
    <w:link w:val="Heading6Char"/>
    <w:uiPriority w:val="9"/>
    <w:semiHidden/>
    <w:rsid w:val="003C6FA2"/>
    <w:pPr>
      <w:keepNext/>
      <w:keepLines/>
      <w:numPr>
        <w:ilvl w:val="5"/>
        <w:numId w:val="5"/>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3C6FA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3C6FA2"/>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3C6FA2"/>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6FA2"/>
    <w:rPr>
      <w:rFonts w:ascii="Tahoma" w:hAnsi="Tahoma" w:cs="Tahoma"/>
      <w:b/>
      <w:color w:val="0090AB" w:themeColor="text2"/>
      <w:szCs w:val="20"/>
    </w:rPr>
  </w:style>
  <w:style w:type="character" w:customStyle="1" w:styleId="Heading2Char">
    <w:name w:val="Heading 2 Char"/>
    <w:basedOn w:val="DefaultParagraphFont"/>
    <w:link w:val="Heading2"/>
    <w:uiPriority w:val="1"/>
    <w:rsid w:val="003C6FA2"/>
    <w:rPr>
      <w:rFonts w:ascii="Tahoma" w:hAnsi="Tahoma" w:cs="Tahoma"/>
      <w:b/>
      <w:color w:val="000000" w:themeColor="text1"/>
      <w:sz w:val="20"/>
      <w:szCs w:val="20"/>
    </w:rPr>
  </w:style>
  <w:style w:type="paragraph" w:styleId="Title">
    <w:name w:val="Title"/>
    <w:basedOn w:val="BodyText"/>
    <w:link w:val="TitleChar"/>
    <w:uiPriority w:val="10"/>
    <w:rsid w:val="003C6FA2"/>
    <w:pPr>
      <w:spacing w:after="0" w:line="240" w:lineRule="auto"/>
    </w:pPr>
    <w:rPr>
      <w:b/>
      <w:caps/>
      <w:color w:val="0090AB" w:themeColor="text2"/>
      <w:sz w:val="32"/>
    </w:rPr>
  </w:style>
  <w:style w:type="character" w:customStyle="1" w:styleId="TitleChar">
    <w:name w:val="Title Char"/>
    <w:basedOn w:val="DefaultParagraphFont"/>
    <w:link w:val="Title"/>
    <w:uiPriority w:val="10"/>
    <w:rsid w:val="003C6FA2"/>
    <w:rPr>
      <w:rFonts w:ascii="Tahoma" w:hAnsi="Tahoma" w:cs="Tahoma"/>
      <w:b/>
      <w:caps/>
      <w:color w:val="0090AB" w:themeColor="text2"/>
      <w:sz w:val="32"/>
      <w:szCs w:val="20"/>
    </w:rPr>
  </w:style>
  <w:style w:type="paragraph" w:styleId="BalloonText">
    <w:name w:val="Balloon Text"/>
    <w:basedOn w:val="Normal"/>
    <w:link w:val="BalloonTextChar"/>
    <w:uiPriority w:val="99"/>
    <w:semiHidden/>
    <w:unhideWhenUsed/>
    <w:rsid w:val="003C6FA2"/>
    <w:pPr>
      <w:spacing w:after="0" w:line="240" w:lineRule="auto"/>
    </w:pPr>
    <w:rPr>
      <w:sz w:val="16"/>
      <w:szCs w:val="16"/>
    </w:rPr>
  </w:style>
  <w:style w:type="paragraph" w:styleId="ListParagraph">
    <w:name w:val="List Paragraph"/>
    <w:basedOn w:val="Normal"/>
    <w:link w:val="ListParagraphChar"/>
    <w:uiPriority w:val="34"/>
    <w:semiHidden/>
    <w:rsid w:val="003C6FA2"/>
    <w:pPr>
      <w:ind w:left="720"/>
    </w:pPr>
  </w:style>
  <w:style w:type="character" w:customStyle="1" w:styleId="Heading3Char">
    <w:name w:val="Heading 3 Char"/>
    <w:basedOn w:val="DefaultParagraphFont"/>
    <w:link w:val="Heading3"/>
    <w:uiPriority w:val="1"/>
    <w:rsid w:val="003C6FA2"/>
    <w:rPr>
      <w:rFonts w:ascii="Tahoma" w:hAnsi="Tahoma" w:cs="Tahoma"/>
      <w:color w:val="000000" w:themeColor="text1"/>
      <w:sz w:val="20"/>
      <w:szCs w:val="20"/>
    </w:rPr>
  </w:style>
  <w:style w:type="paragraph" w:customStyle="1" w:styleId="Tableheading">
    <w:name w:val="Table heading"/>
    <w:basedOn w:val="Tabletext"/>
    <w:link w:val="TableheadingChar"/>
    <w:uiPriority w:val="8"/>
    <w:qFormat/>
    <w:rsid w:val="003C6FA2"/>
    <w:rPr>
      <w:b/>
      <w:color w:val="FFFFFF" w:themeColor="background1"/>
      <w:sz w:val="22"/>
      <w:szCs w:val="22"/>
    </w:rPr>
  </w:style>
  <w:style w:type="paragraph" w:customStyle="1" w:styleId="Tablesubhead">
    <w:name w:val="Table subhead"/>
    <w:basedOn w:val="Tabletext"/>
    <w:next w:val="Tabletext"/>
    <w:link w:val="TablesubheadChar"/>
    <w:uiPriority w:val="8"/>
    <w:qFormat/>
    <w:rsid w:val="003C6FA2"/>
    <w:rPr>
      <w:b/>
      <w:szCs w:val="22"/>
    </w:rPr>
  </w:style>
  <w:style w:type="character" w:customStyle="1" w:styleId="TableheadingChar">
    <w:name w:val="Table heading Char"/>
    <w:basedOn w:val="DefaultParagraphFont"/>
    <w:link w:val="Tableheading"/>
    <w:uiPriority w:val="5"/>
    <w:rsid w:val="003C6FA2"/>
    <w:rPr>
      <w:rFonts w:ascii="Tahoma" w:hAnsi="Tahoma" w:cs="Tahoma"/>
      <w:b/>
      <w:color w:val="FFFFFF" w:themeColor="background1"/>
    </w:rPr>
  </w:style>
  <w:style w:type="character" w:customStyle="1" w:styleId="BalloonTextChar">
    <w:name w:val="Balloon Text Char"/>
    <w:basedOn w:val="DefaultParagraphFont"/>
    <w:link w:val="BalloonText"/>
    <w:uiPriority w:val="99"/>
    <w:semiHidden/>
    <w:rsid w:val="003C6FA2"/>
    <w:rPr>
      <w:rFonts w:ascii="Tahoma" w:hAnsi="Tahoma" w:cs="Tahoma"/>
      <w:color w:val="000000" w:themeColor="text1"/>
      <w:sz w:val="16"/>
      <w:szCs w:val="16"/>
    </w:rPr>
  </w:style>
  <w:style w:type="character" w:customStyle="1" w:styleId="TablesubheadChar">
    <w:name w:val="Table subhead Char"/>
    <w:basedOn w:val="DefaultParagraphFont"/>
    <w:link w:val="Tablesubhead"/>
    <w:uiPriority w:val="5"/>
    <w:rsid w:val="003C6FA2"/>
    <w:rPr>
      <w:rFonts w:ascii="Tahoma" w:hAnsi="Tahoma" w:cs="Tahoma"/>
      <w:b/>
      <w:color w:val="000000" w:themeColor="text1"/>
      <w:sz w:val="20"/>
    </w:rPr>
  </w:style>
  <w:style w:type="paragraph" w:styleId="Footer">
    <w:name w:val="footer"/>
    <w:basedOn w:val="BodyText"/>
    <w:link w:val="FooterChar"/>
    <w:unhideWhenUsed/>
    <w:rsid w:val="003C6FA2"/>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3C6FA2"/>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3C6FA2"/>
    <w:rPr>
      <w:rFonts w:ascii="Tahoma" w:hAnsi="Tahoma" w:cs="Tahoma"/>
      <w:color w:val="000000" w:themeColor="text1"/>
      <w:sz w:val="20"/>
      <w:szCs w:val="20"/>
    </w:rPr>
  </w:style>
  <w:style w:type="numbering" w:customStyle="1" w:styleId="ListBullets">
    <w:name w:val="__List Bullets"/>
    <w:uiPriority w:val="99"/>
    <w:rsid w:val="006670AF"/>
    <w:pPr>
      <w:numPr>
        <w:numId w:val="1"/>
      </w:numPr>
    </w:pPr>
  </w:style>
  <w:style w:type="character" w:customStyle="1" w:styleId="ListParagraphChar">
    <w:name w:val="List Paragraph Char"/>
    <w:basedOn w:val="DefaultParagraphFont"/>
    <w:link w:val="ListParagraph"/>
    <w:uiPriority w:val="34"/>
    <w:semiHidden/>
    <w:rsid w:val="003C6FA2"/>
    <w:rPr>
      <w:rFonts w:ascii="Tahoma" w:hAnsi="Tahoma" w:cs="Tahoma"/>
      <w:color w:val="000000" w:themeColor="text1"/>
      <w:sz w:val="20"/>
      <w:szCs w:val="20"/>
    </w:rPr>
  </w:style>
  <w:style w:type="numbering" w:customStyle="1" w:styleId="ListNumbers">
    <w:name w:val="__List Numbers"/>
    <w:basedOn w:val="NoList"/>
    <w:uiPriority w:val="99"/>
    <w:rsid w:val="006670AF"/>
    <w:pPr>
      <w:numPr>
        <w:numId w:val="3"/>
      </w:numPr>
    </w:pPr>
  </w:style>
  <w:style w:type="paragraph" w:styleId="List2">
    <w:name w:val="List 2"/>
    <w:basedOn w:val="Normal"/>
    <w:next w:val="BodyText"/>
    <w:uiPriority w:val="99"/>
    <w:semiHidden/>
    <w:rsid w:val="003C6FA2"/>
    <w:pPr>
      <w:contextualSpacing/>
    </w:pPr>
  </w:style>
  <w:style w:type="paragraph" w:styleId="ListContinue">
    <w:name w:val="List Continue"/>
    <w:basedOn w:val="Normal"/>
    <w:uiPriority w:val="99"/>
    <w:semiHidden/>
    <w:unhideWhenUsed/>
    <w:rsid w:val="003C6FA2"/>
    <w:pPr>
      <w:ind w:left="283"/>
      <w:contextualSpacing/>
    </w:pPr>
  </w:style>
  <w:style w:type="paragraph" w:customStyle="1" w:styleId="Tabletext">
    <w:name w:val="Table text"/>
    <w:basedOn w:val="BodyText"/>
    <w:link w:val="TabletextChar"/>
    <w:uiPriority w:val="8"/>
    <w:qFormat/>
    <w:rsid w:val="003C6FA2"/>
    <w:pPr>
      <w:spacing w:after="0"/>
      <w:ind w:left="113" w:right="113"/>
    </w:pPr>
  </w:style>
  <w:style w:type="character" w:customStyle="1" w:styleId="Heading5Char">
    <w:name w:val="Heading 5 Char"/>
    <w:basedOn w:val="DefaultParagraphFont"/>
    <w:link w:val="Heading5"/>
    <w:uiPriority w:val="9"/>
    <w:semiHidden/>
    <w:rsid w:val="003C6FA2"/>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3C6FA2"/>
    <w:rPr>
      <w:rFonts w:ascii="Tahoma" w:hAnsi="Tahoma" w:cs="Tahoma"/>
      <w:color w:val="000000" w:themeColor="text1"/>
      <w:sz w:val="20"/>
      <w:szCs w:val="20"/>
    </w:rPr>
  </w:style>
  <w:style w:type="paragraph" w:styleId="List">
    <w:name w:val="List"/>
    <w:basedOn w:val="Normal"/>
    <w:next w:val="BodyText"/>
    <w:uiPriority w:val="99"/>
    <w:semiHidden/>
    <w:rsid w:val="003C6FA2"/>
    <w:pPr>
      <w:contextualSpacing/>
    </w:pPr>
  </w:style>
  <w:style w:type="character" w:customStyle="1" w:styleId="Heading6Char">
    <w:name w:val="Heading 6 Char"/>
    <w:basedOn w:val="DefaultParagraphFont"/>
    <w:link w:val="Heading6"/>
    <w:uiPriority w:val="9"/>
    <w:semiHidden/>
    <w:rsid w:val="003C6FA2"/>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3C6FA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3C6F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FA2"/>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3C6FA2"/>
    <w:rPr>
      <w:color w:val="0000FF"/>
      <w:u w:val="single"/>
    </w:rPr>
  </w:style>
  <w:style w:type="paragraph" w:customStyle="1" w:styleId="1pt">
    <w:name w:val="___1pt"/>
    <w:basedOn w:val="Footer"/>
    <w:uiPriority w:val="1"/>
    <w:semiHidden/>
    <w:rsid w:val="003C6FA2"/>
    <w:pPr>
      <w:spacing w:line="20" w:lineRule="atLeast"/>
    </w:pPr>
    <w:rPr>
      <w:color w:val="auto"/>
      <w:sz w:val="2"/>
    </w:rPr>
  </w:style>
  <w:style w:type="paragraph" w:styleId="FootnoteText">
    <w:name w:val="footnote text"/>
    <w:basedOn w:val="Normal"/>
    <w:link w:val="FootnoteTextChar"/>
    <w:uiPriority w:val="99"/>
    <w:semiHidden/>
    <w:rsid w:val="003C6FA2"/>
    <w:pPr>
      <w:spacing w:after="0" w:line="240" w:lineRule="auto"/>
    </w:pPr>
  </w:style>
  <w:style w:type="character" w:customStyle="1" w:styleId="FootnoteTextChar">
    <w:name w:val="Footnote Text Char"/>
    <w:basedOn w:val="DefaultParagraphFont"/>
    <w:link w:val="FootnoteText"/>
    <w:uiPriority w:val="99"/>
    <w:semiHidden/>
    <w:rsid w:val="003C6FA2"/>
    <w:rPr>
      <w:rFonts w:ascii="Tahoma" w:hAnsi="Tahoma" w:cs="Tahoma"/>
      <w:color w:val="000000" w:themeColor="text1"/>
      <w:sz w:val="20"/>
      <w:szCs w:val="20"/>
    </w:rPr>
  </w:style>
  <w:style w:type="paragraph" w:styleId="BodyText">
    <w:name w:val="Body Text"/>
    <w:aliases w:val="Body"/>
    <w:link w:val="BodyTextChar"/>
    <w:uiPriority w:val="5"/>
    <w:qFormat/>
    <w:rsid w:val="003C6FA2"/>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3C6FA2"/>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3C6FA2"/>
    <w:pPr>
      <w:ind w:left="624"/>
    </w:pPr>
  </w:style>
  <w:style w:type="character" w:customStyle="1" w:styleId="BodyTextIndentChar">
    <w:name w:val="Body Text Indent Char"/>
    <w:aliases w:val="Body indent Char"/>
    <w:basedOn w:val="DefaultParagraphFont"/>
    <w:link w:val="BodyTextIndent"/>
    <w:uiPriority w:val="2"/>
    <w:rsid w:val="003C6FA2"/>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3C6FA2"/>
    <w:pPr>
      <w:ind w:firstLine="360"/>
    </w:pPr>
  </w:style>
  <w:style w:type="character" w:customStyle="1" w:styleId="BodyTextFirstIndentChar">
    <w:name w:val="Body Text First Indent Char"/>
    <w:basedOn w:val="BodyTextChar"/>
    <w:link w:val="BodyTextFirstIndent"/>
    <w:uiPriority w:val="99"/>
    <w:semiHidden/>
    <w:rsid w:val="003C6FA2"/>
    <w:rPr>
      <w:rFonts w:ascii="Tahoma" w:hAnsi="Tahoma" w:cs="Tahoma"/>
      <w:color w:val="000000" w:themeColor="text1"/>
      <w:sz w:val="20"/>
      <w:szCs w:val="20"/>
    </w:rPr>
  </w:style>
  <w:style w:type="paragraph" w:styleId="Date">
    <w:name w:val="Date"/>
    <w:basedOn w:val="BodyText"/>
    <w:link w:val="DateChar"/>
    <w:uiPriority w:val="99"/>
    <w:unhideWhenUsed/>
    <w:rsid w:val="003C6FA2"/>
    <w:pPr>
      <w:spacing w:after="0"/>
    </w:pPr>
    <w:rPr>
      <w:sz w:val="22"/>
      <w:szCs w:val="22"/>
    </w:rPr>
  </w:style>
  <w:style w:type="paragraph" w:customStyle="1" w:styleId="Tablesubheadturquoise">
    <w:name w:val="Table subhead turquoise"/>
    <w:basedOn w:val="Tablesubhead"/>
    <w:uiPriority w:val="8"/>
    <w:qFormat/>
    <w:rsid w:val="003C6FA2"/>
    <w:rPr>
      <w:color w:val="0090AB" w:themeColor="text2"/>
    </w:rPr>
  </w:style>
  <w:style w:type="table" w:customStyle="1" w:styleId="ElexonTable">
    <w:name w:val="_Elexon Table"/>
    <w:basedOn w:val="TableNormal"/>
    <w:uiPriority w:val="99"/>
    <w:rsid w:val="003C6FA2"/>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paragraph" w:customStyle="1" w:styleId="Introtabletextblue">
    <w:name w:val="Intro table text blue"/>
    <w:basedOn w:val="BodyText"/>
    <w:rsid w:val="003C6FA2"/>
    <w:pPr>
      <w:spacing w:after="0" w:line="240" w:lineRule="auto"/>
    </w:pPr>
    <w:rPr>
      <w:b/>
      <w:caps/>
      <w:color w:val="0090AB" w:themeColor="text2"/>
      <w:sz w:val="22"/>
    </w:rPr>
  </w:style>
  <w:style w:type="paragraph" w:customStyle="1" w:styleId="Introtabletextbold">
    <w:name w:val="Intro table text bold"/>
    <w:basedOn w:val="Introtabletext"/>
    <w:rsid w:val="003C6FA2"/>
    <w:rPr>
      <w:b/>
    </w:rPr>
  </w:style>
  <w:style w:type="paragraph" w:customStyle="1" w:styleId="Sectionheading">
    <w:name w:val="Section heading"/>
    <w:basedOn w:val="BodyText"/>
    <w:next w:val="BodyText"/>
    <w:qFormat/>
    <w:rsid w:val="006670AF"/>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6670AF"/>
    <w:pPr>
      <w:numPr>
        <w:numId w:val="30"/>
      </w:numPr>
    </w:pPr>
  </w:style>
  <w:style w:type="paragraph" w:styleId="ListBullet2">
    <w:name w:val="List Bullet 2"/>
    <w:aliases w:val="Bullet 2"/>
    <w:basedOn w:val="ListBullet"/>
    <w:uiPriority w:val="7"/>
    <w:unhideWhenUsed/>
    <w:qFormat/>
    <w:rsid w:val="006670AF"/>
    <w:pPr>
      <w:numPr>
        <w:ilvl w:val="1"/>
      </w:numPr>
    </w:pPr>
  </w:style>
  <w:style w:type="character" w:customStyle="1" w:styleId="DateChar">
    <w:name w:val="Date Char"/>
    <w:basedOn w:val="DefaultParagraphFont"/>
    <w:link w:val="Date"/>
    <w:uiPriority w:val="99"/>
    <w:rsid w:val="003C6FA2"/>
    <w:rPr>
      <w:rFonts w:ascii="Tahoma" w:hAnsi="Tahoma" w:cs="Tahoma"/>
      <w:color w:val="000000" w:themeColor="text1"/>
    </w:rPr>
  </w:style>
  <w:style w:type="paragraph" w:styleId="ListBullet3">
    <w:name w:val="List Bullet 3"/>
    <w:aliases w:val="Bullet 3"/>
    <w:basedOn w:val="ListBullet2"/>
    <w:uiPriority w:val="7"/>
    <w:unhideWhenUsed/>
    <w:qFormat/>
    <w:rsid w:val="006670AF"/>
    <w:pPr>
      <w:numPr>
        <w:ilvl w:val="2"/>
      </w:numPr>
    </w:pPr>
  </w:style>
  <w:style w:type="paragraph" w:styleId="BodyTextIndent2">
    <w:name w:val="Body Text Indent 2"/>
    <w:basedOn w:val="BodyText"/>
    <w:link w:val="BodyTextIndent2Char"/>
    <w:uiPriority w:val="99"/>
    <w:semiHidden/>
    <w:rsid w:val="003C6FA2"/>
    <w:pPr>
      <w:ind w:left="1021"/>
    </w:pPr>
  </w:style>
  <w:style w:type="character" w:customStyle="1" w:styleId="BodyTextIndent2Char">
    <w:name w:val="Body Text Indent 2 Char"/>
    <w:basedOn w:val="DefaultParagraphFont"/>
    <w:link w:val="BodyTextIndent2"/>
    <w:uiPriority w:val="99"/>
    <w:semiHidden/>
    <w:rsid w:val="003C6FA2"/>
    <w:rPr>
      <w:rFonts w:ascii="Tahoma" w:hAnsi="Tahoma" w:cs="Tahoma"/>
      <w:color w:val="000000" w:themeColor="text1"/>
      <w:sz w:val="20"/>
      <w:szCs w:val="20"/>
    </w:rPr>
  </w:style>
  <w:style w:type="paragraph" w:customStyle="1" w:styleId="Heading">
    <w:name w:val="Heading"/>
    <w:basedOn w:val="BodyText"/>
    <w:next w:val="BodyText"/>
    <w:uiPriority w:val="1"/>
    <w:qFormat/>
    <w:rsid w:val="003C6FA2"/>
    <w:pPr>
      <w:spacing w:before="200"/>
    </w:pPr>
    <w:rPr>
      <w:b/>
      <w:color w:val="0090AB" w:themeColor="text2"/>
      <w:sz w:val="22"/>
    </w:rPr>
  </w:style>
  <w:style w:type="paragraph" w:styleId="BodyTextIndent3">
    <w:name w:val="Body Text Indent 3"/>
    <w:basedOn w:val="BodyText"/>
    <w:link w:val="BodyTextIndent3Char"/>
    <w:uiPriority w:val="99"/>
    <w:semiHidden/>
    <w:rsid w:val="003C6FA2"/>
    <w:pPr>
      <w:ind w:left="1418"/>
    </w:pPr>
    <w:rPr>
      <w:szCs w:val="16"/>
    </w:rPr>
  </w:style>
  <w:style w:type="character" w:customStyle="1" w:styleId="BodyTextIndent3Char">
    <w:name w:val="Body Text Indent 3 Char"/>
    <w:basedOn w:val="DefaultParagraphFont"/>
    <w:link w:val="BodyTextIndent3"/>
    <w:uiPriority w:val="99"/>
    <w:semiHidden/>
    <w:rsid w:val="003C6FA2"/>
    <w:rPr>
      <w:rFonts w:ascii="Tahoma" w:hAnsi="Tahoma" w:cs="Tahoma"/>
      <w:color w:val="000000" w:themeColor="text1"/>
      <w:sz w:val="20"/>
      <w:szCs w:val="16"/>
    </w:rPr>
  </w:style>
  <w:style w:type="paragraph" w:styleId="List3">
    <w:name w:val="List 3"/>
    <w:basedOn w:val="Normal"/>
    <w:next w:val="BodyText"/>
    <w:uiPriority w:val="99"/>
    <w:semiHidden/>
    <w:rsid w:val="003C6FA2"/>
    <w:pPr>
      <w:contextualSpacing/>
    </w:pPr>
  </w:style>
  <w:style w:type="paragraph" w:styleId="List4">
    <w:name w:val="List 4"/>
    <w:basedOn w:val="Normal"/>
    <w:uiPriority w:val="99"/>
    <w:semiHidden/>
    <w:rsid w:val="003C6FA2"/>
    <w:pPr>
      <w:ind w:left="1132" w:hanging="283"/>
      <w:contextualSpacing/>
    </w:pPr>
  </w:style>
  <w:style w:type="paragraph" w:styleId="List5">
    <w:name w:val="List 5"/>
    <w:basedOn w:val="Normal"/>
    <w:uiPriority w:val="99"/>
    <w:semiHidden/>
    <w:rsid w:val="003C6FA2"/>
    <w:pPr>
      <w:ind w:left="1415" w:hanging="283"/>
      <w:contextualSpacing/>
    </w:pPr>
  </w:style>
  <w:style w:type="paragraph" w:styleId="ListNumber3">
    <w:name w:val="List Number 3"/>
    <w:basedOn w:val="ListNumber2"/>
    <w:uiPriority w:val="99"/>
    <w:semiHidden/>
    <w:unhideWhenUsed/>
    <w:rsid w:val="003C6FA2"/>
    <w:pPr>
      <w:numPr>
        <w:ilvl w:val="2"/>
      </w:numPr>
    </w:pPr>
  </w:style>
  <w:style w:type="paragraph" w:styleId="ListNumber2">
    <w:name w:val="List Number 2"/>
    <w:aliases w:val="Number list 2"/>
    <w:basedOn w:val="ListNumber"/>
    <w:uiPriority w:val="6"/>
    <w:unhideWhenUsed/>
    <w:qFormat/>
    <w:rsid w:val="003C6FA2"/>
    <w:pPr>
      <w:numPr>
        <w:ilvl w:val="1"/>
      </w:numPr>
    </w:pPr>
  </w:style>
  <w:style w:type="table" w:styleId="LightShading">
    <w:name w:val="Light Shading"/>
    <w:basedOn w:val="TableNormal"/>
    <w:uiPriority w:val="60"/>
    <w:semiHidden/>
    <w:rsid w:val="003C6F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C6FA2"/>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FooterDate">
    <w:name w:val="Footer Date"/>
    <w:basedOn w:val="Footer"/>
    <w:semiHidden/>
    <w:rsid w:val="00CB5F37"/>
    <w:pPr>
      <w:framePr w:hSpace="181" w:wrap="around" w:vAnchor="page" w:hAnchor="margin" w:y="15376"/>
      <w:suppressOverlap/>
    </w:pPr>
  </w:style>
  <w:style w:type="paragraph" w:styleId="ListNumber">
    <w:name w:val="List Number"/>
    <w:aliases w:val="Number list 1"/>
    <w:basedOn w:val="BodyText"/>
    <w:uiPriority w:val="6"/>
    <w:qFormat/>
    <w:rsid w:val="002A4FFD"/>
    <w:pPr>
      <w:numPr>
        <w:numId w:val="22"/>
      </w:numPr>
    </w:pPr>
  </w:style>
  <w:style w:type="paragraph" w:styleId="ListContinue2">
    <w:name w:val="List Continue 2"/>
    <w:basedOn w:val="Normal"/>
    <w:uiPriority w:val="99"/>
    <w:semiHidden/>
    <w:rsid w:val="003C6FA2"/>
    <w:pPr>
      <w:spacing w:after="120"/>
      <w:ind w:left="566"/>
      <w:contextualSpacing/>
    </w:pPr>
  </w:style>
  <w:style w:type="numbering" w:customStyle="1" w:styleId="ListHeadings">
    <w:name w:val="__List Headings"/>
    <w:uiPriority w:val="99"/>
    <w:rsid w:val="006670AF"/>
    <w:pPr>
      <w:numPr>
        <w:numId w:val="2"/>
      </w:numPr>
    </w:pPr>
  </w:style>
  <w:style w:type="paragraph" w:customStyle="1" w:styleId="Introtabletext">
    <w:name w:val="Intro table text"/>
    <w:basedOn w:val="BodyText"/>
    <w:rsid w:val="003C6FA2"/>
    <w:pPr>
      <w:spacing w:after="0"/>
    </w:pPr>
    <w:rPr>
      <w:sz w:val="22"/>
      <w:szCs w:val="22"/>
    </w:rPr>
  </w:style>
  <w:style w:type="paragraph" w:customStyle="1" w:styleId="FooterRef1">
    <w:name w:val="Footer Ref 1"/>
    <w:basedOn w:val="Footer"/>
    <w:semiHidden/>
    <w:rsid w:val="00CB5F37"/>
    <w:pPr>
      <w:framePr w:hSpace="181" w:wrap="around" w:vAnchor="page" w:hAnchor="margin" w:y="15376"/>
      <w:suppressOverlap/>
    </w:pPr>
  </w:style>
  <w:style w:type="paragraph" w:styleId="Header">
    <w:name w:val="header"/>
    <w:basedOn w:val="BodyText"/>
    <w:link w:val="HeaderChar"/>
    <w:uiPriority w:val="99"/>
    <w:unhideWhenUsed/>
    <w:rsid w:val="003C6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FA2"/>
    <w:rPr>
      <w:rFonts w:ascii="Tahoma" w:hAnsi="Tahoma" w:cs="Tahoma"/>
      <w:color w:val="000000" w:themeColor="text1"/>
      <w:sz w:val="20"/>
      <w:szCs w:val="20"/>
    </w:rPr>
  </w:style>
  <w:style w:type="character" w:styleId="PageNumber">
    <w:name w:val="page number"/>
    <w:basedOn w:val="DefaultParagraphFont"/>
    <w:uiPriority w:val="99"/>
    <w:semiHidden/>
    <w:unhideWhenUsed/>
    <w:rsid w:val="003C6FA2"/>
  </w:style>
  <w:style w:type="paragraph" w:styleId="TOC1">
    <w:name w:val="toc 1"/>
    <w:basedOn w:val="BodyText"/>
    <w:uiPriority w:val="39"/>
    <w:semiHidden/>
    <w:unhideWhenUsed/>
    <w:rsid w:val="00E12298"/>
    <w:pPr>
      <w:tabs>
        <w:tab w:val="left" w:pos="624"/>
        <w:tab w:val="right" w:leader="dot" w:pos="10319"/>
      </w:tabs>
      <w:spacing w:after="100"/>
    </w:pPr>
    <w:rPr>
      <w:b/>
    </w:rPr>
  </w:style>
  <w:style w:type="paragraph" w:styleId="TOC2">
    <w:name w:val="toc 2"/>
    <w:basedOn w:val="TOC1"/>
    <w:uiPriority w:val="39"/>
    <w:semiHidden/>
    <w:unhideWhenUsed/>
    <w:rsid w:val="00E12298"/>
    <w:rPr>
      <w:b w:val="0"/>
    </w:rPr>
  </w:style>
  <w:style w:type="paragraph" w:styleId="TOC3">
    <w:name w:val="toc 3"/>
    <w:basedOn w:val="TOC2"/>
    <w:uiPriority w:val="39"/>
    <w:semiHidden/>
    <w:unhideWhenUsed/>
    <w:rsid w:val="00E12298"/>
  </w:style>
  <w:style w:type="paragraph" w:customStyle="1" w:styleId="FooterRef2">
    <w:name w:val="Footer Ref 2"/>
    <w:basedOn w:val="Footer"/>
    <w:semiHidden/>
    <w:rsid w:val="00CB5F37"/>
    <w:pPr>
      <w:framePr w:hSpace="181" w:wrap="around" w:vAnchor="page" w:hAnchor="margin" w:y="15376"/>
      <w:suppressOverlap/>
    </w:pPr>
  </w:style>
  <w:style w:type="paragraph" w:customStyle="1" w:styleId="FooterRef3">
    <w:name w:val="Footer Ref 3"/>
    <w:basedOn w:val="Footer"/>
    <w:semiHidden/>
    <w:rsid w:val="00CB5F37"/>
    <w:pPr>
      <w:framePr w:hSpace="181" w:wrap="around" w:vAnchor="page" w:hAnchor="margin" w:y="15376"/>
      <w:suppressOverlap/>
    </w:pPr>
  </w:style>
  <w:style w:type="character" w:styleId="PlaceholderText">
    <w:name w:val="Placeholder Text"/>
    <w:basedOn w:val="DefaultParagraphFont"/>
    <w:uiPriority w:val="99"/>
    <w:semiHidden/>
    <w:rsid w:val="00EB4318"/>
    <w:rPr>
      <w:color w:val="808080"/>
    </w:rPr>
  </w:style>
  <w:style w:type="paragraph" w:customStyle="1" w:styleId="Boldheading">
    <w:name w:val="Bold heading"/>
    <w:basedOn w:val="BodyText"/>
    <w:next w:val="BodyText"/>
    <w:uiPriority w:val="3"/>
    <w:qFormat/>
    <w:rsid w:val="00465A5E"/>
    <w:rPr>
      <w:b/>
    </w:rPr>
  </w:style>
  <w:style w:type="paragraph" w:customStyle="1" w:styleId="Numberbodytext1">
    <w:name w:val="Number body text 1"/>
    <w:basedOn w:val="BodyText"/>
    <w:uiPriority w:val="3"/>
    <w:unhideWhenUsed/>
    <w:qFormat/>
    <w:rsid w:val="006670AF"/>
    <w:pPr>
      <w:numPr>
        <w:ilvl w:val="1"/>
        <w:numId w:val="26"/>
      </w:numPr>
    </w:pPr>
  </w:style>
  <w:style w:type="paragraph" w:customStyle="1" w:styleId="Numberbodytext2">
    <w:name w:val="Number body text 2"/>
    <w:basedOn w:val="Numberbodytext1"/>
    <w:uiPriority w:val="3"/>
    <w:unhideWhenUsed/>
    <w:qFormat/>
    <w:rsid w:val="006670AF"/>
    <w:pPr>
      <w:numPr>
        <w:ilvl w:val="2"/>
      </w:numPr>
    </w:pPr>
  </w:style>
  <w:style w:type="paragraph" w:customStyle="1" w:styleId="Numberheading">
    <w:name w:val="Number heading"/>
    <w:basedOn w:val="Heading"/>
    <w:next w:val="Numberbodytext1"/>
    <w:uiPriority w:val="2"/>
    <w:qFormat/>
    <w:rsid w:val="006670AF"/>
    <w:pPr>
      <w:numPr>
        <w:numId w:val="26"/>
      </w:numPr>
    </w:pPr>
  </w:style>
  <w:style w:type="table" w:styleId="TableGrid">
    <w:name w:val="Table Grid"/>
    <w:aliases w:val="Elexon Table."/>
    <w:basedOn w:val="TableNormal"/>
    <w:rsid w:val="00202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
    <w:name w:val="__List Table"/>
    <w:uiPriority w:val="99"/>
    <w:rsid w:val="006670AF"/>
    <w:pPr>
      <w:numPr>
        <w:numId w:val="23"/>
      </w:numPr>
    </w:pPr>
  </w:style>
  <w:style w:type="paragraph" w:customStyle="1" w:styleId="Tablenumbered">
    <w:name w:val="Table numbered"/>
    <w:basedOn w:val="Tabletext"/>
    <w:uiPriority w:val="9"/>
    <w:qFormat/>
    <w:rsid w:val="006670AF"/>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9E6D12"/>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C05636"/>
    <w:pPr>
      <w:outlineLvl w:val="0"/>
    </w:pPr>
    <w:rPr>
      <w:b/>
      <w:color w:val="0090AB" w:themeColor="text2"/>
      <w:sz w:val="22"/>
    </w:rPr>
  </w:style>
  <w:style w:type="paragraph" w:styleId="Heading2">
    <w:name w:val="heading 2"/>
    <w:basedOn w:val="BodyText"/>
    <w:next w:val="BodyText"/>
    <w:link w:val="Heading2Char"/>
    <w:uiPriority w:val="1"/>
    <w:semiHidden/>
    <w:rsid w:val="00C05636"/>
    <w:pPr>
      <w:outlineLvl w:val="1"/>
    </w:pPr>
    <w:rPr>
      <w:b/>
    </w:rPr>
  </w:style>
  <w:style w:type="paragraph" w:styleId="Heading3">
    <w:name w:val="heading 3"/>
    <w:basedOn w:val="BodyText"/>
    <w:next w:val="BodyText"/>
    <w:link w:val="Heading3Char"/>
    <w:uiPriority w:val="1"/>
    <w:semiHidden/>
    <w:rsid w:val="00C05636"/>
    <w:pPr>
      <w:outlineLvl w:val="2"/>
    </w:pPr>
  </w:style>
  <w:style w:type="paragraph" w:styleId="Heading4">
    <w:name w:val="heading 4"/>
    <w:basedOn w:val="Normal"/>
    <w:next w:val="Normal"/>
    <w:link w:val="Heading4Char"/>
    <w:uiPriority w:val="9"/>
    <w:semiHidden/>
    <w:rsid w:val="003C6FA2"/>
    <w:pPr>
      <w:tabs>
        <w:tab w:val="num" w:pos="624"/>
      </w:tabs>
      <w:ind w:left="624" w:hanging="624"/>
      <w:outlineLvl w:val="3"/>
    </w:pPr>
  </w:style>
  <w:style w:type="paragraph" w:styleId="Heading5">
    <w:name w:val="heading 5"/>
    <w:basedOn w:val="Heading"/>
    <w:next w:val="Normal"/>
    <w:link w:val="Heading5Char"/>
    <w:uiPriority w:val="9"/>
    <w:semiHidden/>
    <w:rsid w:val="003C6FA2"/>
    <w:pPr>
      <w:outlineLvl w:val="4"/>
    </w:pPr>
  </w:style>
  <w:style w:type="paragraph" w:styleId="Heading6">
    <w:name w:val="heading 6"/>
    <w:basedOn w:val="Normal"/>
    <w:next w:val="Normal"/>
    <w:link w:val="Heading6Char"/>
    <w:uiPriority w:val="9"/>
    <w:semiHidden/>
    <w:rsid w:val="003C6FA2"/>
    <w:pPr>
      <w:keepNext/>
      <w:keepLines/>
      <w:numPr>
        <w:ilvl w:val="5"/>
        <w:numId w:val="5"/>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3C6FA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3C6FA2"/>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3C6FA2"/>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6FA2"/>
    <w:rPr>
      <w:rFonts w:ascii="Tahoma" w:hAnsi="Tahoma" w:cs="Tahoma"/>
      <w:b/>
      <w:color w:val="0090AB" w:themeColor="text2"/>
      <w:szCs w:val="20"/>
    </w:rPr>
  </w:style>
  <w:style w:type="character" w:customStyle="1" w:styleId="Heading2Char">
    <w:name w:val="Heading 2 Char"/>
    <w:basedOn w:val="DefaultParagraphFont"/>
    <w:link w:val="Heading2"/>
    <w:uiPriority w:val="1"/>
    <w:rsid w:val="003C6FA2"/>
    <w:rPr>
      <w:rFonts w:ascii="Tahoma" w:hAnsi="Tahoma" w:cs="Tahoma"/>
      <w:b/>
      <w:color w:val="000000" w:themeColor="text1"/>
      <w:sz w:val="20"/>
      <w:szCs w:val="20"/>
    </w:rPr>
  </w:style>
  <w:style w:type="paragraph" w:styleId="Title">
    <w:name w:val="Title"/>
    <w:basedOn w:val="BodyText"/>
    <w:link w:val="TitleChar"/>
    <w:uiPriority w:val="10"/>
    <w:rsid w:val="003C6FA2"/>
    <w:pPr>
      <w:spacing w:after="0" w:line="240" w:lineRule="auto"/>
    </w:pPr>
    <w:rPr>
      <w:b/>
      <w:caps/>
      <w:color w:val="0090AB" w:themeColor="text2"/>
      <w:sz w:val="32"/>
    </w:rPr>
  </w:style>
  <w:style w:type="character" w:customStyle="1" w:styleId="TitleChar">
    <w:name w:val="Title Char"/>
    <w:basedOn w:val="DefaultParagraphFont"/>
    <w:link w:val="Title"/>
    <w:uiPriority w:val="10"/>
    <w:rsid w:val="003C6FA2"/>
    <w:rPr>
      <w:rFonts w:ascii="Tahoma" w:hAnsi="Tahoma" w:cs="Tahoma"/>
      <w:b/>
      <w:caps/>
      <w:color w:val="0090AB" w:themeColor="text2"/>
      <w:sz w:val="32"/>
      <w:szCs w:val="20"/>
    </w:rPr>
  </w:style>
  <w:style w:type="paragraph" w:styleId="BalloonText">
    <w:name w:val="Balloon Text"/>
    <w:basedOn w:val="Normal"/>
    <w:link w:val="BalloonTextChar"/>
    <w:uiPriority w:val="99"/>
    <w:semiHidden/>
    <w:unhideWhenUsed/>
    <w:rsid w:val="003C6FA2"/>
    <w:pPr>
      <w:spacing w:after="0" w:line="240" w:lineRule="auto"/>
    </w:pPr>
    <w:rPr>
      <w:sz w:val="16"/>
      <w:szCs w:val="16"/>
    </w:rPr>
  </w:style>
  <w:style w:type="paragraph" w:styleId="ListParagraph">
    <w:name w:val="List Paragraph"/>
    <w:basedOn w:val="Normal"/>
    <w:link w:val="ListParagraphChar"/>
    <w:uiPriority w:val="34"/>
    <w:semiHidden/>
    <w:rsid w:val="003C6FA2"/>
    <w:pPr>
      <w:ind w:left="720"/>
    </w:pPr>
  </w:style>
  <w:style w:type="character" w:customStyle="1" w:styleId="Heading3Char">
    <w:name w:val="Heading 3 Char"/>
    <w:basedOn w:val="DefaultParagraphFont"/>
    <w:link w:val="Heading3"/>
    <w:uiPriority w:val="1"/>
    <w:rsid w:val="003C6FA2"/>
    <w:rPr>
      <w:rFonts w:ascii="Tahoma" w:hAnsi="Tahoma" w:cs="Tahoma"/>
      <w:color w:val="000000" w:themeColor="text1"/>
      <w:sz w:val="20"/>
      <w:szCs w:val="20"/>
    </w:rPr>
  </w:style>
  <w:style w:type="paragraph" w:customStyle="1" w:styleId="Tableheading">
    <w:name w:val="Table heading"/>
    <w:basedOn w:val="Tabletext"/>
    <w:link w:val="TableheadingChar"/>
    <w:uiPriority w:val="8"/>
    <w:qFormat/>
    <w:rsid w:val="003C6FA2"/>
    <w:rPr>
      <w:b/>
      <w:color w:val="FFFFFF" w:themeColor="background1"/>
      <w:sz w:val="22"/>
      <w:szCs w:val="22"/>
    </w:rPr>
  </w:style>
  <w:style w:type="paragraph" w:customStyle="1" w:styleId="Tablesubhead">
    <w:name w:val="Table subhead"/>
    <w:basedOn w:val="Tabletext"/>
    <w:next w:val="Tabletext"/>
    <w:link w:val="TablesubheadChar"/>
    <w:uiPriority w:val="8"/>
    <w:qFormat/>
    <w:rsid w:val="003C6FA2"/>
    <w:rPr>
      <w:b/>
      <w:szCs w:val="22"/>
    </w:rPr>
  </w:style>
  <w:style w:type="character" w:customStyle="1" w:styleId="TableheadingChar">
    <w:name w:val="Table heading Char"/>
    <w:basedOn w:val="DefaultParagraphFont"/>
    <w:link w:val="Tableheading"/>
    <w:uiPriority w:val="5"/>
    <w:rsid w:val="003C6FA2"/>
    <w:rPr>
      <w:rFonts w:ascii="Tahoma" w:hAnsi="Tahoma" w:cs="Tahoma"/>
      <w:b/>
      <w:color w:val="FFFFFF" w:themeColor="background1"/>
    </w:rPr>
  </w:style>
  <w:style w:type="character" w:customStyle="1" w:styleId="BalloonTextChar">
    <w:name w:val="Balloon Text Char"/>
    <w:basedOn w:val="DefaultParagraphFont"/>
    <w:link w:val="BalloonText"/>
    <w:uiPriority w:val="99"/>
    <w:semiHidden/>
    <w:rsid w:val="003C6FA2"/>
    <w:rPr>
      <w:rFonts w:ascii="Tahoma" w:hAnsi="Tahoma" w:cs="Tahoma"/>
      <w:color w:val="000000" w:themeColor="text1"/>
      <w:sz w:val="16"/>
      <w:szCs w:val="16"/>
    </w:rPr>
  </w:style>
  <w:style w:type="character" w:customStyle="1" w:styleId="TablesubheadChar">
    <w:name w:val="Table subhead Char"/>
    <w:basedOn w:val="DefaultParagraphFont"/>
    <w:link w:val="Tablesubhead"/>
    <w:uiPriority w:val="5"/>
    <w:rsid w:val="003C6FA2"/>
    <w:rPr>
      <w:rFonts w:ascii="Tahoma" w:hAnsi="Tahoma" w:cs="Tahoma"/>
      <w:b/>
      <w:color w:val="000000" w:themeColor="text1"/>
      <w:sz w:val="20"/>
    </w:rPr>
  </w:style>
  <w:style w:type="paragraph" w:styleId="Footer">
    <w:name w:val="footer"/>
    <w:basedOn w:val="BodyText"/>
    <w:link w:val="FooterChar"/>
    <w:unhideWhenUsed/>
    <w:rsid w:val="003C6FA2"/>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3C6FA2"/>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3C6FA2"/>
    <w:rPr>
      <w:rFonts w:ascii="Tahoma" w:hAnsi="Tahoma" w:cs="Tahoma"/>
      <w:color w:val="000000" w:themeColor="text1"/>
      <w:sz w:val="20"/>
      <w:szCs w:val="20"/>
    </w:rPr>
  </w:style>
  <w:style w:type="numbering" w:customStyle="1" w:styleId="ListBullets">
    <w:name w:val="__List Bullets"/>
    <w:uiPriority w:val="99"/>
    <w:rsid w:val="006670AF"/>
    <w:pPr>
      <w:numPr>
        <w:numId w:val="1"/>
      </w:numPr>
    </w:pPr>
  </w:style>
  <w:style w:type="character" w:customStyle="1" w:styleId="ListParagraphChar">
    <w:name w:val="List Paragraph Char"/>
    <w:basedOn w:val="DefaultParagraphFont"/>
    <w:link w:val="ListParagraph"/>
    <w:uiPriority w:val="34"/>
    <w:semiHidden/>
    <w:rsid w:val="003C6FA2"/>
    <w:rPr>
      <w:rFonts w:ascii="Tahoma" w:hAnsi="Tahoma" w:cs="Tahoma"/>
      <w:color w:val="000000" w:themeColor="text1"/>
      <w:sz w:val="20"/>
      <w:szCs w:val="20"/>
    </w:rPr>
  </w:style>
  <w:style w:type="numbering" w:customStyle="1" w:styleId="ListNumbers">
    <w:name w:val="__List Numbers"/>
    <w:basedOn w:val="NoList"/>
    <w:uiPriority w:val="99"/>
    <w:rsid w:val="006670AF"/>
    <w:pPr>
      <w:numPr>
        <w:numId w:val="3"/>
      </w:numPr>
    </w:pPr>
  </w:style>
  <w:style w:type="paragraph" w:styleId="List2">
    <w:name w:val="List 2"/>
    <w:basedOn w:val="Normal"/>
    <w:next w:val="BodyText"/>
    <w:uiPriority w:val="99"/>
    <w:semiHidden/>
    <w:rsid w:val="003C6FA2"/>
    <w:pPr>
      <w:contextualSpacing/>
    </w:pPr>
  </w:style>
  <w:style w:type="paragraph" w:styleId="ListContinue">
    <w:name w:val="List Continue"/>
    <w:basedOn w:val="Normal"/>
    <w:uiPriority w:val="99"/>
    <w:semiHidden/>
    <w:unhideWhenUsed/>
    <w:rsid w:val="003C6FA2"/>
    <w:pPr>
      <w:ind w:left="283"/>
      <w:contextualSpacing/>
    </w:pPr>
  </w:style>
  <w:style w:type="paragraph" w:customStyle="1" w:styleId="Tabletext">
    <w:name w:val="Table text"/>
    <w:basedOn w:val="BodyText"/>
    <w:link w:val="TabletextChar"/>
    <w:uiPriority w:val="8"/>
    <w:qFormat/>
    <w:rsid w:val="003C6FA2"/>
    <w:pPr>
      <w:spacing w:after="0"/>
      <w:ind w:left="113" w:right="113"/>
    </w:pPr>
  </w:style>
  <w:style w:type="character" w:customStyle="1" w:styleId="Heading5Char">
    <w:name w:val="Heading 5 Char"/>
    <w:basedOn w:val="DefaultParagraphFont"/>
    <w:link w:val="Heading5"/>
    <w:uiPriority w:val="9"/>
    <w:semiHidden/>
    <w:rsid w:val="003C6FA2"/>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3C6FA2"/>
    <w:rPr>
      <w:rFonts w:ascii="Tahoma" w:hAnsi="Tahoma" w:cs="Tahoma"/>
      <w:color w:val="000000" w:themeColor="text1"/>
      <w:sz w:val="20"/>
      <w:szCs w:val="20"/>
    </w:rPr>
  </w:style>
  <w:style w:type="paragraph" w:styleId="List">
    <w:name w:val="List"/>
    <w:basedOn w:val="Normal"/>
    <w:next w:val="BodyText"/>
    <w:uiPriority w:val="99"/>
    <w:semiHidden/>
    <w:rsid w:val="003C6FA2"/>
    <w:pPr>
      <w:contextualSpacing/>
    </w:pPr>
  </w:style>
  <w:style w:type="character" w:customStyle="1" w:styleId="Heading6Char">
    <w:name w:val="Heading 6 Char"/>
    <w:basedOn w:val="DefaultParagraphFont"/>
    <w:link w:val="Heading6"/>
    <w:uiPriority w:val="9"/>
    <w:semiHidden/>
    <w:rsid w:val="003C6FA2"/>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3C6FA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3C6F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FA2"/>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3C6FA2"/>
    <w:rPr>
      <w:color w:val="0000FF"/>
      <w:u w:val="single"/>
    </w:rPr>
  </w:style>
  <w:style w:type="paragraph" w:customStyle="1" w:styleId="1pt">
    <w:name w:val="___1pt"/>
    <w:basedOn w:val="Footer"/>
    <w:uiPriority w:val="1"/>
    <w:semiHidden/>
    <w:rsid w:val="003C6FA2"/>
    <w:pPr>
      <w:spacing w:line="20" w:lineRule="atLeast"/>
    </w:pPr>
    <w:rPr>
      <w:color w:val="auto"/>
      <w:sz w:val="2"/>
    </w:rPr>
  </w:style>
  <w:style w:type="paragraph" w:styleId="FootnoteText">
    <w:name w:val="footnote text"/>
    <w:basedOn w:val="Normal"/>
    <w:link w:val="FootnoteTextChar"/>
    <w:uiPriority w:val="99"/>
    <w:semiHidden/>
    <w:rsid w:val="003C6FA2"/>
    <w:pPr>
      <w:spacing w:after="0" w:line="240" w:lineRule="auto"/>
    </w:pPr>
  </w:style>
  <w:style w:type="character" w:customStyle="1" w:styleId="FootnoteTextChar">
    <w:name w:val="Footnote Text Char"/>
    <w:basedOn w:val="DefaultParagraphFont"/>
    <w:link w:val="FootnoteText"/>
    <w:uiPriority w:val="99"/>
    <w:semiHidden/>
    <w:rsid w:val="003C6FA2"/>
    <w:rPr>
      <w:rFonts w:ascii="Tahoma" w:hAnsi="Tahoma" w:cs="Tahoma"/>
      <w:color w:val="000000" w:themeColor="text1"/>
      <w:sz w:val="20"/>
      <w:szCs w:val="20"/>
    </w:rPr>
  </w:style>
  <w:style w:type="paragraph" w:styleId="BodyText">
    <w:name w:val="Body Text"/>
    <w:aliases w:val="Body"/>
    <w:link w:val="BodyTextChar"/>
    <w:uiPriority w:val="5"/>
    <w:qFormat/>
    <w:rsid w:val="003C6FA2"/>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3C6FA2"/>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3C6FA2"/>
    <w:pPr>
      <w:ind w:left="624"/>
    </w:pPr>
  </w:style>
  <w:style w:type="character" w:customStyle="1" w:styleId="BodyTextIndentChar">
    <w:name w:val="Body Text Indent Char"/>
    <w:aliases w:val="Body indent Char"/>
    <w:basedOn w:val="DefaultParagraphFont"/>
    <w:link w:val="BodyTextIndent"/>
    <w:uiPriority w:val="2"/>
    <w:rsid w:val="003C6FA2"/>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3C6FA2"/>
    <w:pPr>
      <w:ind w:firstLine="360"/>
    </w:pPr>
  </w:style>
  <w:style w:type="character" w:customStyle="1" w:styleId="BodyTextFirstIndentChar">
    <w:name w:val="Body Text First Indent Char"/>
    <w:basedOn w:val="BodyTextChar"/>
    <w:link w:val="BodyTextFirstIndent"/>
    <w:uiPriority w:val="99"/>
    <w:semiHidden/>
    <w:rsid w:val="003C6FA2"/>
    <w:rPr>
      <w:rFonts w:ascii="Tahoma" w:hAnsi="Tahoma" w:cs="Tahoma"/>
      <w:color w:val="000000" w:themeColor="text1"/>
      <w:sz w:val="20"/>
      <w:szCs w:val="20"/>
    </w:rPr>
  </w:style>
  <w:style w:type="paragraph" w:styleId="Date">
    <w:name w:val="Date"/>
    <w:basedOn w:val="BodyText"/>
    <w:link w:val="DateChar"/>
    <w:uiPriority w:val="99"/>
    <w:unhideWhenUsed/>
    <w:rsid w:val="003C6FA2"/>
    <w:pPr>
      <w:spacing w:after="0"/>
    </w:pPr>
    <w:rPr>
      <w:sz w:val="22"/>
      <w:szCs w:val="22"/>
    </w:rPr>
  </w:style>
  <w:style w:type="paragraph" w:customStyle="1" w:styleId="Tablesubheadturquoise">
    <w:name w:val="Table subhead turquoise"/>
    <w:basedOn w:val="Tablesubhead"/>
    <w:uiPriority w:val="8"/>
    <w:qFormat/>
    <w:rsid w:val="003C6FA2"/>
    <w:rPr>
      <w:color w:val="0090AB" w:themeColor="text2"/>
    </w:rPr>
  </w:style>
  <w:style w:type="table" w:customStyle="1" w:styleId="ElexonTable">
    <w:name w:val="_Elexon Table"/>
    <w:basedOn w:val="TableNormal"/>
    <w:uiPriority w:val="99"/>
    <w:rsid w:val="003C6FA2"/>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paragraph" w:customStyle="1" w:styleId="Introtabletextblue">
    <w:name w:val="Intro table text blue"/>
    <w:basedOn w:val="BodyText"/>
    <w:rsid w:val="003C6FA2"/>
    <w:pPr>
      <w:spacing w:after="0" w:line="240" w:lineRule="auto"/>
    </w:pPr>
    <w:rPr>
      <w:b/>
      <w:caps/>
      <w:color w:val="0090AB" w:themeColor="text2"/>
      <w:sz w:val="22"/>
    </w:rPr>
  </w:style>
  <w:style w:type="paragraph" w:customStyle="1" w:styleId="Introtabletextbold">
    <w:name w:val="Intro table text bold"/>
    <w:basedOn w:val="Introtabletext"/>
    <w:rsid w:val="003C6FA2"/>
    <w:rPr>
      <w:b/>
    </w:rPr>
  </w:style>
  <w:style w:type="paragraph" w:customStyle="1" w:styleId="Sectionheading">
    <w:name w:val="Section heading"/>
    <w:basedOn w:val="BodyText"/>
    <w:next w:val="BodyText"/>
    <w:qFormat/>
    <w:rsid w:val="006670AF"/>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6670AF"/>
    <w:pPr>
      <w:numPr>
        <w:numId w:val="30"/>
      </w:numPr>
    </w:pPr>
  </w:style>
  <w:style w:type="paragraph" w:styleId="ListBullet2">
    <w:name w:val="List Bullet 2"/>
    <w:aliases w:val="Bullet 2"/>
    <w:basedOn w:val="ListBullet"/>
    <w:uiPriority w:val="7"/>
    <w:unhideWhenUsed/>
    <w:qFormat/>
    <w:rsid w:val="006670AF"/>
    <w:pPr>
      <w:numPr>
        <w:ilvl w:val="1"/>
      </w:numPr>
    </w:pPr>
  </w:style>
  <w:style w:type="character" w:customStyle="1" w:styleId="DateChar">
    <w:name w:val="Date Char"/>
    <w:basedOn w:val="DefaultParagraphFont"/>
    <w:link w:val="Date"/>
    <w:uiPriority w:val="99"/>
    <w:rsid w:val="003C6FA2"/>
    <w:rPr>
      <w:rFonts w:ascii="Tahoma" w:hAnsi="Tahoma" w:cs="Tahoma"/>
      <w:color w:val="000000" w:themeColor="text1"/>
    </w:rPr>
  </w:style>
  <w:style w:type="paragraph" w:styleId="ListBullet3">
    <w:name w:val="List Bullet 3"/>
    <w:aliases w:val="Bullet 3"/>
    <w:basedOn w:val="ListBullet2"/>
    <w:uiPriority w:val="7"/>
    <w:unhideWhenUsed/>
    <w:qFormat/>
    <w:rsid w:val="006670AF"/>
    <w:pPr>
      <w:numPr>
        <w:ilvl w:val="2"/>
      </w:numPr>
    </w:pPr>
  </w:style>
  <w:style w:type="paragraph" w:styleId="BodyTextIndent2">
    <w:name w:val="Body Text Indent 2"/>
    <w:basedOn w:val="BodyText"/>
    <w:link w:val="BodyTextIndent2Char"/>
    <w:uiPriority w:val="99"/>
    <w:semiHidden/>
    <w:rsid w:val="003C6FA2"/>
    <w:pPr>
      <w:ind w:left="1021"/>
    </w:pPr>
  </w:style>
  <w:style w:type="character" w:customStyle="1" w:styleId="BodyTextIndent2Char">
    <w:name w:val="Body Text Indent 2 Char"/>
    <w:basedOn w:val="DefaultParagraphFont"/>
    <w:link w:val="BodyTextIndent2"/>
    <w:uiPriority w:val="99"/>
    <w:semiHidden/>
    <w:rsid w:val="003C6FA2"/>
    <w:rPr>
      <w:rFonts w:ascii="Tahoma" w:hAnsi="Tahoma" w:cs="Tahoma"/>
      <w:color w:val="000000" w:themeColor="text1"/>
      <w:sz w:val="20"/>
      <w:szCs w:val="20"/>
    </w:rPr>
  </w:style>
  <w:style w:type="paragraph" w:customStyle="1" w:styleId="Heading">
    <w:name w:val="Heading"/>
    <w:basedOn w:val="BodyText"/>
    <w:next w:val="BodyText"/>
    <w:uiPriority w:val="1"/>
    <w:qFormat/>
    <w:rsid w:val="003C6FA2"/>
    <w:pPr>
      <w:spacing w:before="200"/>
    </w:pPr>
    <w:rPr>
      <w:b/>
      <w:color w:val="0090AB" w:themeColor="text2"/>
      <w:sz w:val="22"/>
    </w:rPr>
  </w:style>
  <w:style w:type="paragraph" w:styleId="BodyTextIndent3">
    <w:name w:val="Body Text Indent 3"/>
    <w:basedOn w:val="BodyText"/>
    <w:link w:val="BodyTextIndent3Char"/>
    <w:uiPriority w:val="99"/>
    <w:semiHidden/>
    <w:rsid w:val="003C6FA2"/>
    <w:pPr>
      <w:ind w:left="1418"/>
    </w:pPr>
    <w:rPr>
      <w:szCs w:val="16"/>
    </w:rPr>
  </w:style>
  <w:style w:type="character" w:customStyle="1" w:styleId="BodyTextIndent3Char">
    <w:name w:val="Body Text Indent 3 Char"/>
    <w:basedOn w:val="DefaultParagraphFont"/>
    <w:link w:val="BodyTextIndent3"/>
    <w:uiPriority w:val="99"/>
    <w:semiHidden/>
    <w:rsid w:val="003C6FA2"/>
    <w:rPr>
      <w:rFonts w:ascii="Tahoma" w:hAnsi="Tahoma" w:cs="Tahoma"/>
      <w:color w:val="000000" w:themeColor="text1"/>
      <w:sz w:val="20"/>
      <w:szCs w:val="16"/>
    </w:rPr>
  </w:style>
  <w:style w:type="paragraph" w:styleId="List3">
    <w:name w:val="List 3"/>
    <w:basedOn w:val="Normal"/>
    <w:next w:val="BodyText"/>
    <w:uiPriority w:val="99"/>
    <w:semiHidden/>
    <w:rsid w:val="003C6FA2"/>
    <w:pPr>
      <w:contextualSpacing/>
    </w:pPr>
  </w:style>
  <w:style w:type="paragraph" w:styleId="List4">
    <w:name w:val="List 4"/>
    <w:basedOn w:val="Normal"/>
    <w:uiPriority w:val="99"/>
    <w:semiHidden/>
    <w:rsid w:val="003C6FA2"/>
    <w:pPr>
      <w:ind w:left="1132" w:hanging="283"/>
      <w:contextualSpacing/>
    </w:pPr>
  </w:style>
  <w:style w:type="paragraph" w:styleId="List5">
    <w:name w:val="List 5"/>
    <w:basedOn w:val="Normal"/>
    <w:uiPriority w:val="99"/>
    <w:semiHidden/>
    <w:rsid w:val="003C6FA2"/>
    <w:pPr>
      <w:ind w:left="1415" w:hanging="283"/>
      <w:contextualSpacing/>
    </w:pPr>
  </w:style>
  <w:style w:type="paragraph" w:styleId="ListNumber3">
    <w:name w:val="List Number 3"/>
    <w:basedOn w:val="ListNumber2"/>
    <w:uiPriority w:val="99"/>
    <w:semiHidden/>
    <w:unhideWhenUsed/>
    <w:rsid w:val="003C6FA2"/>
    <w:pPr>
      <w:numPr>
        <w:ilvl w:val="2"/>
      </w:numPr>
    </w:pPr>
  </w:style>
  <w:style w:type="paragraph" w:styleId="ListNumber2">
    <w:name w:val="List Number 2"/>
    <w:aliases w:val="Number list 2"/>
    <w:basedOn w:val="ListNumber"/>
    <w:uiPriority w:val="6"/>
    <w:unhideWhenUsed/>
    <w:qFormat/>
    <w:rsid w:val="003C6FA2"/>
    <w:pPr>
      <w:numPr>
        <w:ilvl w:val="1"/>
      </w:numPr>
    </w:pPr>
  </w:style>
  <w:style w:type="table" w:styleId="LightShading">
    <w:name w:val="Light Shading"/>
    <w:basedOn w:val="TableNormal"/>
    <w:uiPriority w:val="60"/>
    <w:semiHidden/>
    <w:rsid w:val="003C6F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C6FA2"/>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FooterDate">
    <w:name w:val="Footer Date"/>
    <w:basedOn w:val="Footer"/>
    <w:semiHidden/>
    <w:rsid w:val="00CB5F37"/>
    <w:pPr>
      <w:framePr w:hSpace="181" w:wrap="around" w:vAnchor="page" w:hAnchor="margin" w:y="15376"/>
      <w:suppressOverlap/>
    </w:pPr>
  </w:style>
  <w:style w:type="paragraph" w:styleId="ListNumber">
    <w:name w:val="List Number"/>
    <w:aliases w:val="Number list 1"/>
    <w:basedOn w:val="BodyText"/>
    <w:uiPriority w:val="6"/>
    <w:qFormat/>
    <w:rsid w:val="002A4FFD"/>
    <w:pPr>
      <w:numPr>
        <w:numId w:val="22"/>
      </w:numPr>
    </w:pPr>
  </w:style>
  <w:style w:type="paragraph" w:styleId="ListContinue2">
    <w:name w:val="List Continue 2"/>
    <w:basedOn w:val="Normal"/>
    <w:uiPriority w:val="99"/>
    <w:semiHidden/>
    <w:rsid w:val="003C6FA2"/>
    <w:pPr>
      <w:spacing w:after="120"/>
      <w:ind w:left="566"/>
      <w:contextualSpacing/>
    </w:pPr>
  </w:style>
  <w:style w:type="numbering" w:customStyle="1" w:styleId="ListHeadings">
    <w:name w:val="__List Headings"/>
    <w:uiPriority w:val="99"/>
    <w:rsid w:val="006670AF"/>
    <w:pPr>
      <w:numPr>
        <w:numId w:val="2"/>
      </w:numPr>
    </w:pPr>
  </w:style>
  <w:style w:type="paragraph" w:customStyle="1" w:styleId="Introtabletext">
    <w:name w:val="Intro table text"/>
    <w:basedOn w:val="BodyText"/>
    <w:rsid w:val="003C6FA2"/>
    <w:pPr>
      <w:spacing w:after="0"/>
    </w:pPr>
    <w:rPr>
      <w:sz w:val="22"/>
      <w:szCs w:val="22"/>
    </w:rPr>
  </w:style>
  <w:style w:type="paragraph" w:customStyle="1" w:styleId="FooterRef1">
    <w:name w:val="Footer Ref 1"/>
    <w:basedOn w:val="Footer"/>
    <w:semiHidden/>
    <w:rsid w:val="00CB5F37"/>
    <w:pPr>
      <w:framePr w:hSpace="181" w:wrap="around" w:vAnchor="page" w:hAnchor="margin" w:y="15376"/>
      <w:suppressOverlap/>
    </w:pPr>
  </w:style>
  <w:style w:type="paragraph" w:styleId="Header">
    <w:name w:val="header"/>
    <w:basedOn w:val="BodyText"/>
    <w:link w:val="HeaderChar"/>
    <w:uiPriority w:val="99"/>
    <w:unhideWhenUsed/>
    <w:rsid w:val="003C6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FA2"/>
    <w:rPr>
      <w:rFonts w:ascii="Tahoma" w:hAnsi="Tahoma" w:cs="Tahoma"/>
      <w:color w:val="000000" w:themeColor="text1"/>
      <w:sz w:val="20"/>
      <w:szCs w:val="20"/>
    </w:rPr>
  </w:style>
  <w:style w:type="character" w:styleId="PageNumber">
    <w:name w:val="page number"/>
    <w:basedOn w:val="DefaultParagraphFont"/>
    <w:uiPriority w:val="99"/>
    <w:semiHidden/>
    <w:unhideWhenUsed/>
    <w:rsid w:val="003C6FA2"/>
  </w:style>
  <w:style w:type="paragraph" w:styleId="TOC1">
    <w:name w:val="toc 1"/>
    <w:basedOn w:val="BodyText"/>
    <w:uiPriority w:val="39"/>
    <w:semiHidden/>
    <w:unhideWhenUsed/>
    <w:rsid w:val="00E12298"/>
    <w:pPr>
      <w:tabs>
        <w:tab w:val="left" w:pos="624"/>
        <w:tab w:val="right" w:leader="dot" w:pos="10319"/>
      </w:tabs>
      <w:spacing w:after="100"/>
    </w:pPr>
    <w:rPr>
      <w:b/>
    </w:rPr>
  </w:style>
  <w:style w:type="paragraph" w:styleId="TOC2">
    <w:name w:val="toc 2"/>
    <w:basedOn w:val="TOC1"/>
    <w:uiPriority w:val="39"/>
    <w:semiHidden/>
    <w:unhideWhenUsed/>
    <w:rsid w:val="00E12298"/>
    <w:rPr>
      <w:b w:val="0"/>
    </w:rPr>
  </w:style>
  <w:style w:type="paragraph" w:styleId="TOC3">
    <w:name w:val="toc 3"/>
    <w:basedOn w:val="TOC2"/>
    <w:uiPriority w:val="39"/>
    <w:semiHidden/>
    <w:unhideWhenUsed/>
    <w:rsid w:val="00E12298"/>
  </w:style>
  <w:style w:type="paragraph" w:customStyle="1" w:styleId="FooterRef2">
    <w:name w:val="Footer Ref 2"/>
    <w:basedOn w:val="Footer"/>
    <w:semiHidden/>
    <w:rsid w:val="00CB5F37"/>
    <w:pPr>
      <w:framePr w:hSpace="181" w:wrap="around" w:vAnchor="page" w:hAnchor="margin" w:y="15376"/>
      <w:suppressOverlap/>
    </w:pPr>
  </w:style>
  <w:style w:type="paragraph" w:customStyle="1" w:styleId="FooterRef3">
    <w:name w:val="Footer Ref 3"/>
    <w:basedOn w:val="Footer"/>
    <w:semiHidden/>
    <w:rsid w:val="00CB5F37"/>
    <w:pPr>
      <w:framePr w:hSpace="181" w:wrap="around" w:vAnchor="page" w:hAnchor="margin" w:y="15376"/>
      <w:suppressOverlap/>
    </w:pPr>
  </w:style>
  <w:style w:type="character" w:styleId="PlaceholderText">
    <w:name w:val="Placeholder Text"/>
    <w:basedOn w:val="DefaultParagraphFont"/>
    <w:uiPriority w:val="99"/>
    <w:semiHidden/>
    <w:rsid w:val="00EB4318"/>
    <w:rPr>
      <w:color w:val="808080"/>
    </w:rPr>
  </w:style>
  <w:style w:type="paragraph" w:customStyle="1" w:styleId="Boldheading">
    <w:name w:val="Bold heading"/>
    <w:basedOn w:val="BodyText"/>
    <w:next w:val="BodyText"/>
    <w:uiPriority w:val="3"/>
    <w:qFormat/>
    <w:rsid w:val="00465A5E"/>
    <w:rPr>
      <w:b/>
    </w:rPr>
  </w:style>
  <w:style w:type="paragraph" w:customStyle="1" w:styleId="Numberbodytext1">
    <w:name w:val="Number body text 1"/>
    <w:basedOn w:val="BodyText"/>
    <w:uiPriority w:val="3"/>
    <w:unhideWhenUsed/>
    <w:qFormat/>
    <w:rsid w:val="006670AF"/>
    <w:pPr>
      <w:numPr>
        <w:ilvl w:val="1"/>
        <w:numId w:val="26"/>
      </w:numPr>
    </w:pPr>
  </w:style>
  <w:style w:type="paragraph" w:customStyle="1" w:styleId="Numberbodytext2">
    <w:name w:val="Number body text 2"/>
    <w:basedOn w:val="Numberbodytext1"/>
    <w:uiPriority w:val="3"/>
    <w:unhideWhenUsed/>
    <w:qFormat/>
    <w:rsid w:val="006670AF"/>
    <w:pPr>
      <w:numPr>
        <w:ilvl w:val="2"/>
      </w:numPr>
    </w:pPr>
  </w:style>
  <w:style w:type="paragraph" w:customStyle="1" w:styleId="Numberheading">
    <w:name w:val="Number heading"/>
    <w:basedOn w:val="Heading"/>
    <w:next w:val="Numberbodytext1"/>
    <w:uiPriority w:val="2"/>
    <w:qFormat/>
    <w:rsid w:val="006670AF"/>
    <w:pPr>
      <w:numPr>
        <w:numId w:val="26"/>
      </w:numPr>
    </w:pPr>
  </w:style>
  <w:style w:type="table" w:styleId="TableGrid">
    <w:name w:val="Table Grid"/>
    <w:aliases w:val="Elexon Table."/>
    <w:basedOn w:val="TableNormal"/>
    <w:rsid w:val="00202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
    <w:name w:val="__List Table"/>
    <w:uiPriority w:val="99"/>
    <w:rsid w:val="006670AF"/>
    <w:pPr>
      <w:numPr>
        <w:numId w:val="23"/>
      </w:numPr>
    </w:pPr>
  </w:style>
  <w:style w:type="paragraph" w:customStyle="1" w:styleId="Tablenumbered">
    <w:name w:val="Table numbered"/>
    <w:basedOn w:val="Tabletext"/>
    <w:uiPriority w:val="9"/>
    <w:qFormat/>
    <w:rsid w:val="006670AF"/>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hn.lucas@elexon.co.uk"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esign.Authority@elexon.co.u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ELEXON%20Templates\Generic%20portrait.dotm"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9E0F4-A042-42D6-8D23-649FA3C0D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portrait.dotm</Template>
  <TotalTime>1</TotalTime>
  <Pages>4</Pages>
  <Words>845</Words>
  <Characters>4819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ELEXON consultation response form: reporting of Gross Demand Data to EMR - 15 October 2018</vt:lpstr>
    </vt:vector>
  </TitlesOfParts>
  <Company>Elexon</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ELEXON consultation response form: reporting of Gross Demand Data to EMR - 15 October 2018</dc:title>
  <dc:subject>This consultation response form relates to the consultation on aligning BSC reporting with EMR Regulations (in relation to Imports to Licensed Generation, and Exempt Supply across the Distribution Network).</dc:subject>
  <dc:creator>ELEXON;Design Authority Team;john.lucas@elexon.co.uk</dc:creator>
  <cp:keywords>EMR, Licensed Generation, Exempt Supply</cp:keywords>
  <cp:lastModifiedBy>Alex Fuller</cp:lastModifiedBy>
  <cp:revision>2</cp:revision>
  <cp:lastPrinted>2018-10-15T08:31:00Z</cp:lastPrinted>
  <dcterms:created xsi:type="dcterms:W3CDTF">2018-10-15T10:08:00Z</dcterms:created>
  <dcterms:modified xsi:type="dcterms:W3CDTF">2018-10-15T10:08:00Z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