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540817" w14:paraId="0B0B7BC4" w14:textId="77777777" w:rsidTr="001B2F7F">
        <w:trPr>
          <w:trHeight w:val="680"/>
          <w:jc w:val="center"/>
        </w:trPr>
        <w:tc>
          <w:tcPr>
            <w:tcW w:w="1701" w:type="dxa"/>
            <w:tcBorders>
              <w:left w:val="nil"/>
              <w:right w:val="nil"/>
            </w:tcBorders>
            <w:shd w:val="clear" w:color="auto" w:fill="auto"/>
          </w:tcPr>
          <w:bookmarkEnd w:id="0"/>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5F8D3597" w:rsidR="000117E1" w:rsidRPr="008345BA" w:rsidRDefault="002A02AC" w:rsidP="002A02AC">
            <w:pPr>
              <w:pStyle w:val="ElexonTableTextLarge"/>
              <w:rPr>
                <w:rStyle w:val="Strong"/>
              </w:rPr>
            </w:pPr>
            <w:r>
              <w:rPr>
                <w:rStyle w:val="Strong"/>
              </w:rPr>
              <w:t>04</w:t>
            </w:r>
            <w:r w:rsidR="001D3715">
              <w:rPr>
                <w:rStyle w:val="Strong"/>
              </w:rPr>
              <w:t xml:space="preserve"> </w:t>
            </w:r>
            <w:r>
              <w:rPr>
                <w:rStyle w:val="Strong"/>
              </w:rPr>
              <w:t>October</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7C3DE2"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540817"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7753042D" w:rsidR="00517177" w:rsidRDefault="00517177" w:rsidP="002A02AC">
      <w:pPr>
        <w:spacing w:after="120" w:line="260" w:lineRule="atLeast"/>
      </w:pPr>
      <w:r>
        <w:t xml:space="preserve">Please send your responses by </w:t>
      </w:r>
      <w:r w:rsidR="0065654E">
        <w:rPr>
          <w:b/>
        </w:rPr>
        <w:t xml:space="preserve">17:00 on </w:t>
      </w:r>
      <w:r w:rsidR="002A02AC">
        <w:rPr>
          <w:b/>
        </w:rPr>
        <w:t>Tuesday</w:t>
      </w:r>
      <w:r w:rsidR="0065654E">
        <w:rPr>
          <w:b/>
        </w:rPr>
        <w:t xml:space="preserve"> </w:t>
      </w:r>
      <w:r w:rsidR="002A02AC">
        <w:rPr>
          <w:b/>
        </w:rPr>
        <w:t>12</w:t>
      </w:r>
      <w:r w:rsidR="0065654E">
        <w:rPr>
          <w:b/>
        </w:rPr>
        <w:t xml:space="preserve"> </w:t>
      </w:r>
      <w:r w:rsidR="002A02AC">
        <w:rPr>
          <w:b/>
        </w:rPr>
        <w:t>October</w:t>
      </w:r>
      <w:r w:rsidR="0065654E">
        <w:rPr>
          <w:b/>
        </w:rPr>
        <w:t xml:space="preserve"> 2021</w:t>
      </w:r>
      <w:r>
        <w:t xml:space="preserve"> to </w:t>
      </w:r>
      <w:hyperlink r:id="rId7" w:history="1">
        <w:r w:rsidR="0065654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0B8C2B2F" w:rsidR="00517177" w:rsidRDefault="00517177" w:rsidP="00F6451A">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F6451A"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6183C5FD" w:rsidR="00517177" w:rsidRDefault="00AC4A21" w:rsidP="002A02AC">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B05D89">
              <w:t>£</w:t>
            </w:r>
            <w:r w:rsidR="002A02AC">
              <w:t>259</w:t>
            </w:r>
            <w:r w:rsidR="00B05D89">
              <w:t>/MWh</w:t>
            </w:r>
            <w:r w:rsidR="00517177" w:rsidRPr="001B2F7F">
              <w:t>?</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0EF78673" w:rsidR="00AC33B2" w:rsidRPr="00B36DAC" w:rsidRDefault="00F25B23" w:rsidP="00B36DAC">
            <w:pPr>
              <w:pStyle w:val="Footer"/>
              <w:tabs>
                <w:tab w:val="clear" w:pos="9360"/>
                <w:tab w:val="right" w:pos="10490"/>
              </w:tabs>
            </w:pPr>
            <w:r>
              <w:t>© Elexon 2021</w:t>
            </w:r>
            <w:r w:rsidR="00B36DAC">
              <w:ptab w:relativeTo="margin" w:alignment="center" w:leader="none"/>
            </w:r>
            <w:fldSimple w:instr=" STYLEREF  Title  \* MERGEFORMAT ">
              <w:r w:rsidR="0031586F" w:rsidRPr="0031586F">
                <w:rPr>
                  <w:b/>
                  <w:bCs/>
                  <w:noProof/>
                  <w:lang w:val="en-US"/>
                </w:rPr>
                <w:t>Credit</w:t>
              </w:r>
              <w:r w:rsidR="0031586F">
                <w:rPr>
                  <w:noProof/>
                </w:rPr>
                <w:t xml:space="preserve"> Assessment Price (CAP)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31586F">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31586F">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7575AB61" w:rsidR="008345BA" w:rsidRPr="008345BA" w:rsidRDefault="00C2523C" w:rsidP="008345BA">
            <w:pPr>
              <w:pStyle w:val="Footer"/>
              <w:tabs>
                <w:tab w:val="clear" w:pos="9360"/>
                <w:tab w:val="right" w:pos="10490"/>
              </w:tabs>
            </w:pPr>
            <w:r>
              <w:t>© Elexon 2021</w:t>
            </w:r>
            <w:r w:rsidR="002857C6">
              <w:ptab w:relativeTo="margin" w:alignment="center" w:leader="none"/>
            </w:r>
            <w:r w:rsidR="007C3DE2">
              <w:fldChar w:fldCharType="begin"/>
            </w:r>
            <w:r w:rsidR="007C3DE2">
              <w:instrText xml:space="preserve"> STYLEREF  Title  \* MERGEFORMAT </w:instrText>
            </w:r>
            <w:r w:rsidR="007C3DE2">
              <w:fldChar w:fldCharType="separate"/>
            </w:r>
            <w:r w:rsidR="007C3DE2">
              <w:rPr>
                <w:noProof/>
              </w:rPr>
              <w:t>Credit Assessment Price (CAP) Consultation Proforma</w:t>
            </w:r>
            <w:r w:rsidR="007C3DE2">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7C3DE2">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7C3DE2">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91136"/>
    <w:rsid w:val="001A128F"/>
    <w:rsid w:val="001B2F7F"/>
    <w:rsid w:val="001C5B31"/>
    <w:rsid w:val="001C7C76"/>
    <w:rsid w:val="001D3715"/>
    <w:rsid w:val="001D41F4"/>
    <w:rsid w:val="001D58BD"/>
    <w:rsid w:val="002226BD"/>
    <w:rsid w:val="00282F53"/>
    <w:rsid w:val="002857C6"/>
    <w:rsid w:val="002867F8"/>
    <w:rsid w:val="002A02AC"/>
    <w:rsid w:val="002E7B27"/>
    <w:rsid w:val="002F6C5F"/>
    <w:rsid w:val="00312245"/>
    <w:rsid w:val="0031586F"/>
    <w:rsid w:val="003216F4"/>
    <w:rsid w:val="003411EC"/>
    <w:rsid w:val="0036112A"/>
    <w:rsid w:val="003703B0"/>
    <w:rsid w:val="003A54DE"/>
    <w:rsid w:val="0042021B"/>
    <w:rsid w:val="00442332"/>
    <w:rsid w:val="00500C8E"/>
    <w:rsid w:val="00513191"/>
    <w:rsid w:val="00517177"/>
    <w:rsid w:val="00531ADF"/>
    <w:rsid w:val="00535B5A"/>
    <w:rsid w:val="00537BD5"/>
    <w:rsid w:val="00540817"/>
    <w:rsid w:val="00541178"/>
    <w:rsid w:val="00555FA4"/>
    <w:rsid w:val="00563A56"/>
    <w:rsid w:val="005870A5"/>
    <w:rsid w:val="00593705"/>
    <w:rsid w:val="005A65FE"/>
    <w:rsid w:val="005A7D30"/>
    <w:rsid w:val="00644A7C"/>
    <w:rsid w:val="0065654E"/>
    <w:rsid w:val="006C72A2"/>
    <w:rsid w:val="007351BE"/>
    <w:rsid w:val="00773BE9"/>
    <w:rsid w:val="00774E14"/>
    <w:rsid w:val="007752B8"/>
    <w:rsid w:val="007B21B5"/>
    <w:rsid w:val="007C3DE2"/>
    <w:rsid w:val="007D29B9"/>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05D89"/>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2F3D"/>
    <w:rsid w:val="00E44750"/>
    <w:rsid w:val="00E460FE"/>
    <w:rsid w:val="00EB3C36"/>
    <w:rsid w:val="00EC5CE1"/>
    <w:rsid w:val="00EF199D"/>
    <w:rsid w:val="00EF3967"/>
    <w:rsid w:val="00F14B16"/>
    <w:rsid w:val="00F25B23"/>
    <w:rsid w:val="00F346D7"/>
    <w:rsid w:val="00F6451A"/>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4%20October%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4%20October%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Consultation Proforma 04 Oct 2021</dc:title>
  <dc:subject>BSC Parties (“Parties”) are invited to respond to this consultation on changing the Credit Assessment Price (CAP), expressing their views or providing further evidence on any of the matters contained within the consultation document.</dc:subject>
  <dc:creator>Kevin Spencer</dc:creator>
  <cp:keywords/>
  <dc:description/>
  <cp:lastModifiedBy>Alex Fuller</cp:lastModifiedBy>
  <cp:revision>3</cp:revision>
  <dcterms:created xsi:type="dcterms:W3CDTF">2021-10-04T15:26:00Z</dcterms:created>
  <dcterms:modified xsi:type="dcterms:W3CDTF">2021-10-04T15:27:00Z</dcterms:modified>
</cp:coreProperties>
</file>