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2297DF77" w:rsidR="001A74CA" w:rsidRPr="009A0CD6" w:rsidRDefault="00A62C09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00715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687AAF4" w:rsidR="00103DE9" w:rsidRPr="009A0CD6" w:rsidRDefault="00A62C09" w:rsidP="00A62C09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14 October </w:t>
            </w:r>
            <w:r w:rsidR="007B52C2" w:rsidRPr="009A0CD6">
              <w:rPr>
                <w:rStyle w:val="Strong"/>
                <w:rFonts w:cstheme="minorHAnsi"/>
              </w:rPr>
              <w:t>2020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3DB4DBAF" w:rsidR="00A677F5" w:rsidRPr="009A0CD6" w:rsidRDefault="007B52C2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</w:p>
    <w:p w14:paraId="47B5CD28" w14:textId="079E9D90" w:rsidR="007B52C2" w:rsidRPr="009A0CD6" w:rsidRDefault="007B52C2" w:rsidP="009A0CD6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bookmarkStart w:id="0" w:name="_Hlk39571051"/>
      <w:bookmarkStart w:id="1" w:name="_Hlk39571874"/>
      <w:bookmarkStart w:id="2" w:name="_Hlk39235962"/>
      <w:r w:rsidRPr="009A0CD6">
        <w:rPr>
          <w:rFonts w:asciiTheme="minorHAnsi" w:hAnsiTheme="minorHAnsi" w:cstheme="minorHAnsi"/>
          <w:sz w:val="18"/>
        </w:rPr>
        <w:t>Ple</w:t>
      </w:r>
      <w:r w:rsidR="009A0CD6" w:rsidRPr="009A0CD6">
        <w:rPr>
          <w:rFonts w:asciiTheme="minorHAnsi" w:hAnsiTheme="minorHAnsi" w:cstheme="minorHAnsi"/>
          <w:sz w:val="18"/>
        </w:rPr>
        <w:t xml:space="preserve">ase find attached the following MDD </w:t>
      </w:r>
      <w:r w:rsidRPr="009A0CD6">
        <w:rPr>
          <w:rFonts w:asciiTheme="minorHAnsi" w:hAnsiTheme="minorHAnsi" w:cstheme="minorHAnsi"/>
          <w:sz w:val="18"/>
        </w:rPr>
        <w:t>change requests that requi</w:t>
      </w:r>
      <w:r w:rsidR="009A0CD6" w:rsidRPr="009A0CD6">
        <w:rPr>
          <w:rFonts w:asciiTheme="minorHAnsi" w:hAnsiTheme="minorHAnsi" w:cstheme="minorHAnsi"/>
          <w:sz w:val="18"/>
        </w:rPr>
        <w:t xml:space="preserve">re an impact assessment by your </w:t>
      </w:r>
      <w:r w:rsidRPr="009A0CD6">
        <w:rPr>
          <w:rFonts w:asciiTheme="minorHAnsi" w:hAnsiTheme="minorHAnsi" w:cstheme="minorHAnsi"/>
          <w:sz w:val="18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7B52C2" w:rsidRPr="007B52C2" w14:paraId="41C939D2" w14:textId="77777777" w:rsidTr="00A62C09">
        <w:trPr>
          <w:trHeight w:val="586"/>
        </w:trPr>
        <w:tc>
          <w:tcPr>
            <w:tcW w:w="0" w:type="auto"/>
          </w:tcPr>
          <w:p w14:paraId="773C22DC" w14:textId="18953995" w:rsidR="007B52C2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color w:val="000000"/>
                <w:szCs w:val="20"/>
                <w:lang w:val="en-US"/>
              </w:rPr>
              <w:t>M3651</w:t>
            </w:r>
          </w:p>
        </w:tc>
        <w:tc>
          <w:tcPr>
            <w:tcW w:w="0" w:type="auto"/>
          </w:tcPr>
          <w:p w14:paraId="591241B7" w14:textId="55E2664B" w:rsidR="007B52C2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HYDE</w:t>
            </w:r>
          </w:p>
        </w:tc>
        <w:tc>
          <w:tcPr>
            <w:tcW w:w="5559" w:type="dxa"/>
            <w:hideMark/>
          </w:tcPr>
          <w:p w14:paraId="2C6FE39F" w14:textId="6275555C" w:rsidR="007B52C2" w:rsidRPr="004906D3" w:rsidRDefault="007B52C2" w:rsidP="007B52C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906D3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408FE59D" w14:textId="77777777" w:rsidR="007B52C2" w:rsidRPr="004906D3" w:rsidRDefault="004906D3" w:rsidP="004906D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4906D3"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5B7C11F1" w14:textId="608132E6" w:rsidR="004906D3" w:rsidRPr="004906D3" w:rsidRDefault="004906D3" w:rsidP="004906D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4906D3">
              <w:rPr>
                <w:i/>
              </w:rPr>
              <w:t>-These changes will b</w:t>
            </w:r>
            <w:r w:rsidRPr="004906D3">
              <w:rPr>
                <w:i/>
              </w:rPr>
              <w:t>e implemented in MDD Version 304</w:t>
            </w:r>
            <w:r w:rsidRPr="004906D3">
              <w:rPr>
                <w:i/>
              </w:rPr>
              <w:t xml:space="preserve"> with a Go-Live Date of</w:t>
            </w:r>
            <w:r w:rsidRPr="004906D3">
              <w:rPr>
                <w:i/>
              </w:rPr>
              <w:t xml:space="preserve"> 18/11</w:t>
            </w:r>
            <w:r w:rsidRPr="004906D3">
              <w:rPr>
                <w:i/>
              </w:rPr>
              <w:t>/2020</w:t>
            </w:r>
          </w:p>
        </w:tc>
      </w:tr>
      <w:tr w:rsidR="007B52C2" w:rsidRPr="007B52C2" w14:paraId="7D82D4D2" w14:textId="77777777" w:rsidTr="00A62C09">
        <w:trPr>
          <w:trHeight w:val="586"/>
        </w:trPr>
        <w:tc>
          <w:tcPr>
            <w:tcW w:w="0" w:type="auto"/>
          </w:tcPr>
          <w:p w14:paraId="5FBBFD03" w14:textId="07B0457E" w:rsidR="007B52C2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color w:val="000000"/>
                <w:szCs w:val="20"/>
                <w:lang w:val="en-US"/>
              </w:rPr>
              <w:t>M3652</w:t>
            </w:r>
          </w:p>
        </w:tc>
        <w:tc>
          <w:tcPr>
            <w:tcW w:w="0" w:type="auto"/>
          </w:tcPr>
          <w:p w14:paraId="49E6401E" w14:textId="4215BC5B" w:rsidR="007B52C2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INDI</w:t>
            </w:r>
          </w:p>
        </w:tc>
        <w:tc>
          <w:tcPr>
            <w:tcW w:w="5559" w:type="dxa"/>
            <w:hideMark/>
          </w:tcPr>
          <w:p w14:paraId="4C1163EF" w14:textId="77777777" w:rsidR="004906D3" w:rsidRPr="004906D3" w:rsidRDefault="004906D3" w:rsidP="004906D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906D3">
              <w:rPr>
                <w:rFonts w:eastAsia="Tahoma" w:cstheme="minorHAnsi"/>
                <w:szCs w:val="20"/>
                <w:lang w:val="en-US"/>
              </w:rPr>
              <w:t xml:space="preserve">End-dating of </w:t>
            </w:r>
            <w:r w:rsidRPr="004906D3">
              <w:rPr>
                <w:rFonts w:eastAsia="Tahoma" w:cstheme="minorHAnsi"/>
                <w:szCs w:val="20"/>
                <w:lang w:val="en-US"/>
              </w:rPr>
              <w:t>N</w:t>
            </w:r>
            <w:r w:rsidRPr="004906D3">
              <w:rPr>
                <w:rFonts w:eastAsia="Tahoma" w:cstheme="minorHAnsi"/>
                <w:szCs w:val="20"/>
                <w:lang w:val="en-US"/>
              </w:rPr>
              <w:t>HH Combination</w:t>
            </w:r>
            <w:r w:rsidRPr="004906D3">
              <w:rPr>
                <w:rFonts w:eastAsia="Tahoma" w:cstheme="minorHAnsi"/>
                <w:szCs w:val="20"/>
                <w:lang w:val="en-US"/>
              </w:rPr>
              <w:t>s</w:t>
            </w:r>
            <w:r w:rsidRPr="004906D3"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  <w:p w14:paraId="495FDBDF" w14:textId="348DF5C7" w:rsidR="007B52C2" w:rsidRPr="00555B5C" w:rsidRDefault="004906D3" w:rsidP="004906D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555B5C">
              <w:rPr>
                <w:rFonts w:eastAsia="Tahoma" w:cstheme="minorHAnsi"/>
                <w:i/>
                <w:szCs w:val="20"/>
                <w:lang w:val="en-US"/>
              </w:rPr>
              <w:t>Effective To Date:</w:t>
            </w:r>
            <w:r w:rsidRPr="00555B5C">
              <w:rPr>
                <w:i/>
              </w:rPr>
              <w:t xml:space="preserve"> </w:t>
            </w:r>
            <w:r w:rsidRPr="00555B5C">
              <w:rPr>
                <w:i/>
              </w:rPr>
              <w:t>1</w:t>
            </w:r>
            <w:r w:rsidRPr="00555B5C">
              <w:rPr>
                <w:i/>
              </w:rPr>
              <w:t>8/11</w:t>
            </w:r>
            <w:r w:rsidRPr="00555B5C">
              <w:rPr>
                <w:i/>
              </w:rPr>
              <w:t>/2020</w:t>
            </w:r>
          </w:p>
        </w:tc>
      </w:tr>
      <w:tr w:rsidR="007B52C2" w:rsidRPr="007B52C2" w14:paraId="2BB7E3E3" w14:textId="77777777" w:rsidTr="009A0CD6">
        <w:trPr>
          <w:trHeight w:val="586"/>
        </w:trPr>
        <w:tc>
          <w:tcPr>
            <w:tcW w:w="0" w:type="auto"/>
          </w:tcPr>
          <w:p w14:paraId="1F2B8230" w14:textId="72479A63" w:rsidR="007B52C2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color w:val="000000"/>
                <w:szCs w:val="20"/>
                <w:lang w:val="en-US"/>
              </w:rPr>
              <w:t>M3653</w:t>
            </w:r>
          </w:p>
        </w:tc>
        <w:tc>
          <w:tcPr>
            <w:tcW w:w="0" w:type="auto"/>
          </w:tcPr>
          <w:p w14:paraId="632E35B1" w14:textId="750AC30A" w:rsidR="007B52C2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MPDL</w:t>
            </w:r>
          </w:p>
        </w:tc>
        <w:tc>
          <w:tcPr>
            <w:tcW w:w="5559" w:type="dxa"/>
            <w:hideMark/>
          </w:tcPr>
          <w:p w14:paraId="426FFCDC" w14:textId="5802A155" w:rsidR="007B52C2" w:rsidRPr="00555B5C" w:rsidRDefault="00555B5C" w:rsidP="007B52C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555B5C">
              <w:rPr>
                <w:rFonts w:eastAsia="Tahoma" w:cstheme="minorHAnsi"/>
                <w:szCs w:val="20"/>
                <w:lang w:val="en-US"/>
              </w:rPr>
              <w:t>Creation of NHH</w:t>
            </w:r>
            <w:r w:rsidR="00DB2AFD" w:rsidRPr="00555B5C">
              <w:rPr>
                <w:rFonts w:eastAsia="Tahoma" w:cstheme="minorHAnsi"/>
                <w:szCs w:val="20"/>
                <w:lang w:val="en-US"/>
              </w:rPr>
              <w:t xml:space="preserve"> Combination</w:t>
            </w:r>
            <w:r w:rsidRPr="00555B5C">
              <w:rPr>
                <w:rFonts w:eastAsia="Tahoma" w:cstheme="minorHAnsi"/>
                <w:szCs w:val="20"/>
                <w:lang w:val="en-US"/>
              </w:rPr>
              <w:t>s</w:t>
            </w:r>
          </w:p>
          <w:p w14:paraId="5811535C" w14:textId="67209E4B" w:rsidR="00DB2AFD" w:rsidRPr="00A62C09" w:rsidRDefault="00DB2AFD" w:rsidP="00DB2AFD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555B5C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 w:rsidR="00555B5C" w:rsidRPr="00555B5C">
              <w:rPr>
                <w:rFonts w:eastAsia="Tahoma" w:cstheme="minorHAnsi"/>
                <w:i/>
                <w:szCs w:val="20"/>
                <w:lang w:val="en-US"/>
              </w:rPr>
              <w:t>From</w:t>
            </w:r>
            <w:r w:rsidRPr="00555B5C">
              <w:rPr>
                <w:rFonts w:eastAsia="Tahoma" w:cstheme="minorHAnsi"/>
                <w:i/>
                <w:szCs w:val="20"/>
                <w:lang w:val="en-US"/>
              </w:rPr>
              <w:t xml:space="preserve"> Date: </w:t>
            </w:r>
            <w:r w:rsidR="00555B5C" w:rsidRPr="00555B5C">
              <w:rPr>
                <w:rFonts w:eastAsia="Tahoma" w:cstheme="minorHAnsi"/>
                <w:i/>
                <w:szCs w:val="20"/>
                <w:lang w:val="en-US"/>
              </w:rPr>
              <w:t>18/11</w:t>
            </w:r>
            <w:r w:rsidRPr="00555B5C">
              <w:rPr>
                <w:rFonts w:eastAsia="Tahoma" w:cstheme="minorHAnsi"/>
                <w:i/>
                <w:szCs w:val="20"/>
                <w:lang w:val="en-US"/>
              </w:rPr>
              <w:t>/2020</w:t>
            </w:r>
          </w:p>
        </w:tc>
      </w:tr>
      <w:tr w:rsidR="007B52C2" w:rsidRPr="007B52C2" w14:paraId="0432CB0A" w14:textId="77777777" w:rsidTr="009A0CD6">
        <w:trPr>
          <w:trHeight w:val="586"/>
        </w:trPr>
        <w:tc>
          <w:tcPr>
            <w:tcW w:w="0" w:type="auto"/>
          </w:tcPr>
          <w:p w14:paraId="48AE51C8" w14:textId="46739D53" w:rsidR="007B52C2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color w:val="000000"/>
                <w:szCs w:val="20"/>
                <w:lang w:val="en-US"/>
              </w:rPr>
              <w:t>M3654</w:t>
            </w:r>
          </w:p>
        </w:tc>
        <w:tc>
          <w:tcPr>
            <w:tcW w:w="0" w:type="auto"/>
          </w:tcPr>
          <w:p w14:paraId="62844916" w14:textId="27F5D836" w:rsidR="007B52C2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  <w:hideMark/>
          </w:tcPr>
          <w:p w14:paraId="7AE1A689" w14:textId="77777777" w:rsidR="00555B5C" w:rsidRPr="004906D3" w:rsidRDefault="00555B5C" w:rsidP="00555B5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906D3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50811C98" w14:textId="175A3CDF" w:rsidR="007B52C2" w:rsidRPr="00A62C09" w:rsidRDefault="00555B5C" w:rsidP="00555B5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555B5C">
              <w:rPr>
                <w:rFonts w:eastAsia="Tahoma" w:cstheme="minorHAnsi"/>
                <w:i/>
                <w:szCs w:val="20"/>
                <w:lang w:val="en-US"/>
              </w:rPr>
              <w:t>Effective From Date: 18/11/2020</w:t>
            </w:r>
          </w:p>
        </w:tc>
      </w:tr>
      <w:tr w:rsidR="004906D3" w:rsidRPr="007B52C2" w14:paraId="4B5BB11B" w14:textId="77777777" w:rsidTr="009A0CD6">
        <w:trPr>
          <w:trHeight w:val="586"/>
        </w:trPr>
        <w:tc>
          <w:tcPr>
            <w:tcW w:w="0" w:type="auto"/>
          </w:tcPr>
          <w:p w14:paraId="17D9FD30" w14:textId="48A3802D" w:rsidR="004906D3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color w:val="000000"/>
                <w:szCs w:val="20"/>
                <w:lang w:val="en-US"/>
              </w:rPr>
              <w:t>M3655</w:t>
            </w:r>
          </w:p>
        </w:tc>
        <w:tc>
          <w:tcPr>
            <w:tcW w:w="0" w:type="auto"/>
          </w:tcPr>
          <w:p w14:paraId="20D2D51C" w14:textId="235FF1F1" w:rsidR="004906D3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SOUT (1)</w:t>
            </w:r>
          </w:p>
        </w:tc>
        <w:tc>
          <w:tcPr>
            <w:tcW w:w="5559" w:type="dxa"/>
          </w:tcPr>
          <w:p w14:paraId="5FFCCA49" w14:textId="77777777" w:rsidR="00555B5C" w:rsidRPr="004906D3" w:rsidRDefault="00555B5C" w:rsidP="00555B5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906D3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7FE948D4" w14:textId="77777777" w:rsidR="00555B5C" w:rsidRPr="004906D3" w:rsidRDefault="00555B5C" w:rsidP="00555B5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4906D3"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53464F43" w14:textId="339BE5F3" w:rsidR="004906D3" w:rsidRPr="00A62C09" w:rsidRDefault="00555B5C" w:rsidP="00555B5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4906D3">
              <w:rPr>
                <w:i/>
              </w:rPr>
              <w:t>-These changes will be implemented in MDD Version 304 with a Go-Live Date of 18/11/2020</w:t>
            </w:r>
          </w:p>
        </w:tc>
      </w:tr>
      <w:tr w:rsidR="004906D3" w:rsidRPr="007B52C2" w14:paraId="2D57F434" w14:textId="77777777" w:rsidTr="009A0CD6">
        <w:trPr>
          <w:trHeight w:val="586"/>
        </w:trPr>
        <w:tc>
          <w:tcPr>
            <w:tcW w:w="0" w:type="auto"/>
          </w:tcPr>
          <w:p w14:paraId="33C42724" w14:textId="321CA709" w:rsidR="004906D3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color w:val="000000"/>
                <w:szCs w:val="20"/>
                <w:lang w:val="en-US"/>
              </w:rPr>
              <w:t>M3656</w:t>
            </w:r>
          </w:p>
        </w:tc>
        <w:tc>
          <w:tcPr>
            <w:tcW w:w="0" w:type="auto"/>
          </w:tcPr>
          <w:p w14:paraId="071E7037" w14:textId="7176056B" w:rsidR="004906D3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SOUT (2)</w:t>
            </w:r>
          </w:p>
        </w:tc>
        <w:tc>
          <w:tcPr>
            <w:tcW w:w="5559" w:type="dxa"/>
          </w:tcPr>
          <w:p w14:paraId="34608796" w14:textId="77777777" w:rsidR="00555B5C" w:rsidRPr="004906D3" w:rsidRDefault="00555B5C" w:rsidP="00555B5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906D3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763E4328" w14:textId="77777777" w:rsidR="00555B5C" w:rsidRPr="004906D3" w:rsidRDefault="00555B5C" w:rsidP="00555B5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4906D3"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35C3A32E" w14:textId="4DA3422D" w:rsidR="004906D3" w:rsidRPr="00A62C09" w:rsidRDefault="00555B5C" w:rsidP="00555B5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4906D3">
              <w:rPr>
                <w:i/>
              </w:rPr>
              <w:t>-These changes will be implemented in MDD Version 304 with a Go-Live Date of 18/11/2020</w:t>
            </w:r>
          </w:p>
        </w:tc>
      </w:tr>
      <w:tr w:rsidR="004906D3" w:rsidRPr="007B52C2" w14:paraId="45305601" w14:textId="77777777" w:rsidTr="009A0CD6">
        <w:trPr>
          <w:trHeight w:val="586"/>
        </w:trPr>
        <w:tc>
          <w:tcPr>
            <w:tcW w:w="0" w:type="auto"/>
          </w:tcPr>
          <w:p w14:paraId="00ACE44A" w14:textId="78224331" w:rsidR="004906D3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color w:val="000000"/>
                <w:szCs w:val="20"/>
                <w:lang w:val="en-US"/>
              </w:rPr>
              <w:t>M3657</w:t>
            </w:r>
          </w:p>
        </w:tc>
        <w:tc>
          <w:tcPr>
            <w:tcW w:w="0" w:type="auto"/>
          </w:tcPr>
          <w:p w14:paraId="03BE8E54" w14:textId="4BDF41BD" w:rsidR="004906D3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UDNL</w:t>
            </w:r>
          </w:p>
        </w:tc>
        <w:tc>
          <w:tcPr>
            <w:tcW w:w="5559" w:type="dxa"/>
          </w:tcPr>
          <w:p w14:paraId="06113810" w14:textId="77777777" w:rsidR="00555B5C" w:rsidRPr="004906D3" w:rsidRDefault="00555B5C" w:rsidP="00555B5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906D3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4066DCC5" w14:textId="5DA06B25" w:rsidR="004906D3" w:rsidRPr="00A62C09" w:rsidRDefault="00555B5C" w:rsidP="00555B5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555B5C">
              <w:rPr>
                <w:rFonts w:eastAsia="Tahoma" w:cstheme="minorHAnsi"/>
                <w:i/>
                <w:szCs w:val="20"/>
                <w:lang w:val="en-US"/>
              </w:rPr>
              <w:t>Effective From Date: 18/11/2020</w:t>
            </w:r>
          </w:p>
        </w:tc>
      </w:tr>
      <w:tr w:rsidR="004906D3" w:rsidRPr="007B52C2" w14:paraId="3CD06DB2" w14:textId="77777777" w:rsidTr="009A0CD6">
        <w:trPr>
          <w:trHeight w:val="586"/>
        </w:trPr>
        <w:tc>
          <w:tcPr>
            <w:tcW w:w="0" w:type="auto"/>
          </w:tcPr>
          <w:p w14:paraId="352F8C8F" w14:textId="76CA355B" w:rsidR="004906D3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color w:val="000000"/>
                <w:szCs w:val="20"/>
                <w:lang w:val="en-US"/>
              </w:rPr>
              <w:t>M3658</w:t>
            </w:r>
          </w:p>
        </w:tc>
        <w:tc>
          <w:tcPr>
            <w:tcW w:w="0" w:type="auto"/>
          </w:tcPr>
          <w:p w14:paraId="7C30286E" w14:textId="31F897AD" w:rsidR="004906D3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UKPD</w:t>
            </w:r>
          </w:p>
        </w:tc>
        <w:tc>
          <w:tcPr>
            <w:tcW w:w="5559" w:type="dxa"/>
          </w:tcPr>
          <w:p w14:paraId="12870395" w14:textId="4DDCE1D7" w:rsidR="00555B5C" w:rsidRPr="004906D3" w:rsidRDefault="00555B5C" w:rsidP="00555B5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906D3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4906D3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5E8C0609" w14:textId="60A13502" w:rsidR="004906D3" w:rsidRPr="00A62C09" w:rsidRDefault="00555B5C" w:rsidP="00555B5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555B5C">
              <w:rPr>
                <w:rFonts w:eastAsia="Tahoma" w:cstheme="minorHAnsi"/>
                <w:i/>
                <w:szCs w:val="20"/>
                <w:lang w:val="en-US"/>
              </w:rPr>
              <w:t>Effective From Date: 18/11/2020</w:t>
            </w:r>
          </w:p>
        </w:tc>
      </w:tr>
      <w:tr w:rsidR="007B52C2" w:rsidRPr="007B52C2" w14:paraId="1B63C16C" w14:textId="77777777" w:rsidTr="00297E3D">
        <w:trPr>
          <w:trHeight w:val="586"/>
        </w:trPr>
        <w:tc>
          <w:tcPr>
            <w:tcW w:w="0" w:type="auto"/>
          </w:tcPr>
          <w:p w14:paraId="2BA3ED9D" w14:textId="297AE21C" w:rsidR="007B52C2" w:rsidRPr="007B52C2" w:rsidRDefault="004906D3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color w:val="000000"/>
                <w:szCs w:val="20"/>
                <w:lang w:val="en-US"/>
              </w:rPr>
              <w:t>M3659</w:t>
            </w:r>
          </w:p>
        </w:tc>
        <w:tc>
          <w:tcPr>
            <w:tcW w:w="0" w:type="auto"/>
          </w:tcPr>
          <w:p w14:paraId="4ADF759A" w14:textId="478F66CA" w:rsidR="007B52C2" w:rsidRPr="007B52C2" w:rsidRDefault="00A62C09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  <w:hideMark/>
          </w:tcPr>
          <w:p w14:paraId="4BD63091" w14:textId="77777777" w:rsidR="00A62C09" w:rsidRPr="007B52C2" w:rsidRDefault="00A62C09" w:rsidP="00A62C0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5CB809FB" w14:textId="31904F16" w:rsidR="00297E3D" w:rsidRPr="007B52C2" w:rsidRDefault="00A62C09" w:rsidP="00A62C09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18/11</w:t>
            </w:r>
            <w:r w:rsidRPr="007B52C2">
              <w:rPr>
                <w:rFonts w:eastAsia="Tahoma" w:cstheme="minorHAnsi"/>
                <w:i/>
                <w:szCs w:val="20"/>
                <w:lang w:val="en-US"/>
              </w:rPr>
              <w:t>/2020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75405674" w14:textId="7A996592" w:rsidR="00F401FD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69DA808E" w14:textId="77777777" w:rsidR="009E6407" w:rsidRPr="002D2F49" w:rsidRDefault="009E6407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4DF121C4" w14:textId="180ADD1D" w:rsidR="009A0CD6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A62C09">
        <w:rPr>
          <w:rFonts w:asciiTheme="minorHAnsi" w:hAnsiTheme="minorHAnsi" w:cstheme="minorHAnsi"/>
          <w:color w:val="auto"/>
        </w:rPr>
        <w:t>location Group (SVG) meeting 237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A62C09">
        <w:rPr>
          <w:rFonts w:asciiTheme="minorHAnsi" w:hAnsiTheme="minorHAnsi" w:cstheme="minorHAnsi"/>
          <w:color w:val="auto"/>
        </w:rPr>
        <w:t xml:space="preserve">03 November </w:t>
      </w:r>
      <w:r w:rsidRPr="002D2F49">
        <w:rPr>
          <w:rFonts w:asciiTheme="minorHAnsi" w:hAnsiTheme="minorHAnsi" w:cstheme="minorHAnsi"/>
          <w:color w:val="auto"/>
        </w:rPr>
        <w:t xml:space="preserve">2020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A62C09">
        <w:rPr>
          <w:rFonts w:asciiTheme="minorHAnsi" w:hAnsiTheme="minorHAnsi" w:cstheme="minorHAnsi"/>
          <w:b/>
          <w:color w:val="auto"/>
        </w:rPr>
        <w:t>21</w:t>
      </w:r>
      <w:r w:rsidR="002F1F2F" w:rsidRPr="002D2F49">
        <w:rPr>
          <w:rFonts w:asciiTheme="minorHAnsi" w:hAnsiTheme="minorHAnsi" w:cstheme="minorHAnsi"/>
          <w:b/>
          <w:color w:val="auto"/>
        </w:rPr>
        <w:t xml:space="preserve"> </w:t>
      </w:r>
      <w:r w:rsidR="00A62C09">
        <w:rPr>
          <w:rFonts w:asciiTheme="minorHAnsi" w:hAnsiTheme="minorHAnsi" w:cstheme="minorHAnsi"/>
          <w:b/>
          <w:color w:val="auto"/>
        </w:rPr>
        <w:t xml:space="preserve">October </w:t>
      </w:r>
      <w:r w:rsidR="009A0CD6" w:rsidRPr="002D2F49">
        <w:rPr>
          <w:rFonts w:asciiTheme="minorHAnsi" w:hAnsiTheme="minorHAnsi" w:cstheme="minorHAnsi"/>
          <w:b/>
          <w:color w:val="auto"/>
        </w:rPr>
        <w:t>2020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73D14F04" w14:textId="77777777" w:rsidR="009E6407" w:rsidRPr="002D2F49" w:rsidRDefault="009E6407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36A93AFD" w14:textId="4F976B63" w:rsidR="009A0CD6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A62C09">
        <w:rPr>
          <w:rFonts w:asciiTheme="minorHAnsi" w:hAnsiTheme="minorHAnsi" w:cstheme="minorHAnsi"/>
          <w:color w:val="auto"/>
        </w:rPr>
        <w:t>these changes</w:t>
      </w:r>
      <w:r>
        <w:rPr>
          <w:rFonts w:asciiTheme="minorHAnsi" w:hAnsiTheme="minorHAnsi" w:cstheme="minorHAnsi"/>
          <w:color w:val="auto"/>
        </w:rPr>
        <w:t xml:space="preserve"> will be published in MDD version 304</w:t>
      </w:r>
      <w:r w:rsidR="009A0CD6" w:rsidRPr="002D2F49">
        <w:rPr>
          <w:rFonts w:asciiTheme="minorHAnsi" w:hAnsiTheme="minorHAnsi" w:cstheme="minorHAnsi"/>
          <w:color w:val="auto"/>
        </w:rPr>
        <w:t xml:space="preserve">. You will be advised formally of this publication by another MDD Circular, </w:t>
      </w:r>
      <w:r w:rsidR="002F1F2F" w:rsidRPr="002D2F49">
        <w:rPr>
          <w:rFonts w:asciiTheme="minorHAnsi" w:hAnsiTheme="minorHAnsi" w:cstheme="minorHAnsi"/>
          <w:color w:val="auto"/>
        </w:rPr>
        <w:t>after the SVG meeting.</w:t>
      </w:r>
      <w:bookmarkStart w:id="3" w:name="_GoBack"/>
      <w:bookmarkEnd w:id="3"/>
    </w:p>
    <w:p w14:paraId="7EFFA7D4" w14:textId="77777777" w:rsidR="00FE7008" w:rsidRPr="002D2F49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4C575CEE" w14:textId="77777777" w:rsidR="00D74F96" w:rsidRPr="009A0CD6" w:rsidRDefault="00D74F96" w:rsidP="00D74F96">
      <w:pPr>
        <w:pStyle w:val="ElexonBody"/>
        <w:rPr>
          <w:rStyle w:val="Strong"/>
          <w:rFonts w:cstheme="minorHAnsi"/>
          <w:b w:val="0"/>
          <w:bCs w:val="0"/>
          <w:color w:val="auto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6E27959E" w14:textId="77777777" w:rsidR="00951DD1" w:rsidRDefault="00951DD1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4F2674C" w14:textId="25594E8F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2EE978E1" w14:textId="3558EBA2" w:rsidR="00612E35" w:rsidRPr="009A0CD6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598F6108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bCs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>Attachment A – Change Requests</w:t>
      </w:r>
    </w:p>
    <w:p w14:paraId="1152E085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9A0CD6">
        <w:rPr>
          <w:rFonts w:asciiTheme="minorHAnsi" w:hAnsiTheme="minorHAnsi" w:cstheme="minorHAnsi"/>
          <w:color w:val="auto"/>
          <w:lang w:val="fr-FR"/>
        </w:rPr>
        <w:t>Attachment</w:t>
      </w:r>
      <w:proofErr w:type="spellEnd"/>
      <w:r w:rsidRPr="009A0CD6">
        <w:rPr>
          <w:rFonts w:asciiTheme="minorHAnsi" w:hAnsiTheme="minorHAnsi" w:cstheme="minorHAnsi"/>
          <w:color w:val="auto"/>
          <w:lang w:val="fr-FR"/>
        </w:rPr>
        <w:t xml:space="preserve"> B – UMS Charge Code Documentation 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50286176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62C09">
        <w:rPr>
          <w:rFonts w:asciiTheme="minorHAnsi" w:hAnsiTheme="minorHAnsi" w:cstheme="minorHAnsi"/>
          <w:b/>
        </w:rPr>
        <w:t>21</w:t>
      </w:r>
      <w:r w:rsidRPr="009A0CD6">
        <w:rPr>
          <w:rFonts w:asciiTheme="minorHAnsi" w:hAnsiTheme="minorHAnsi" w:cstheme="minorHAnsi"/>
          <w:b/>
        </w:rPr>
        <w:t xml:space="preserve"> </w:t>
      </w:r>
      <w:r w:rsidR="00A62C09">
        <w:rPr>
          <w:rFonts w:asciiTheme="minorHAnsi" w:hAnsiTheme="minorHAnsi" w:cstheme="minorHAnsi"/>
          <w:b/>
        </w:rPr>
        <w:t>October</w:t>
      </w:r>
      <w:r w:rsidRPr="009A0CD6">
        <w:rPr>
          <w:rFonts w:asciiTheme="minorHAnsi" w:hAnsiTheme="minorHAnsi" w:cstheme="minorHAnsi"/>
          <w:b/>
        </w:rPr>
        <w:t xml:space="preserve"> 2020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6E96BF70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ab/>
        <w:t>4th Floor, 350 Euston Road, London NW1 3AW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8CF1F82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1CF890BA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30323D52" w14:textId="5A908689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9E6407">
        <w:rPr>
          <w:rFonts w:cstheme="minorHAnsi"/>
        </w:rPr>
        <w:t>651</w:t>
      </w:r>
    </w:p>
    <w:p w14:paraId="5700610D" w14:textId="3A2D397C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9E6407">
        <w:rPr>
          <w:rFonts w:cstheme="minorHAnsi"/>
        </w:rPr>
        <w:t>652</w:t>
      </w:r>
    </w:p>
    <w:p w14:paraId="31713312" w14:textId="1439C39F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9E6407">
        <w:rPr>
          <w:rFonts w:cstheme="minorHAnsi"/>
        </w:rPr>
        <w:t>653</w:t>
      </w:r>
    </w:p>
    <w:p w14:paraId="655C56F4" w14:textId="0CA4BB6C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9E6407">
        <w:rPr>
          <w:rFonts w:cstheme="minorHAnsi"/>
        </w:rPr>
        <w:t>654</w:t>
      </w:r>
    </w:p>
    <w:p w14:paraId="5B6AF389" w14:textId="1DC78C0B" w:rsidR="009A0CD6" w:rsidRPr="009E640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951DD1">
        <w:rPr>
          <w:rFonts w:cstheme="minorHAnsi"/>
        </w:rPr>
        <w:t xml:space="preserve">th the </w:t>
      </w:r>
      <w:r w:rsidR="00A62C09">
        <w:rPr>
          <w:rFonts w:cstheme="minorHAnsi"/>
        </w:rPr>
        <w:t>changes proposed in M3</w:t>
      </w:r>
      <w:r w:rsidR="009E6407">
        <w:rPr>
          <w:rFonts w:cstheme="minorHAnsi"/>
        </w:rPr>
        <w:t>655</w:t>
      </w:r>
    </w:p>
    <w:p w14:paraId="1BFF0A63" w14:textId="47CE642D" w:rsidR="009E6407" w:rsidRPr="009A0CD6" w:rsidRDefault="009E6407" w:rsidP="009E64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656</w:t>
      </w:r>
    </w:p>
    <w:p w14:paraId="2F50F236" w14:textId="7760D0F3" w:rsidR="009E6407" w:rsidRPr="009A0CD6" w:rsidRDefault="009E6407" w:rsidP="009E64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657</w:t>
      </w:r>
    </w:p>
    <w:p w14:paraId="3B0D8F47" w14:textId="3624D07C" w:rsidR="009E6407" w:rsidRDefault="009E6407" w:rsidP="009E64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658</w:t>
      </w:r>
    </w:p>
    <w:p w14:paraId="3D5F009C" w14:textId="310F0378" w:rsidR="009E6407" w:rsidRPr="009E6407" w:rsidRDefault="009E6407" w:rsidP="009E64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659</w:t>
      </w:r>
    </w:p>
    <w:p w14:paraId="4D2DA7C5" w14:textId="77777777" w:rsidR="009A0CD6" w:rsidRPr="009A0CD6" w:rsidRDefault="009A0CD6" w:rsidP="009A0CD6">
      <w:pPr>
        <w:pStyle w:val="ListBullet"/>
        <w:numPr>
          <w:ilvl w:val="0"/>
          <w:numId w:val="0"/>
        </w:numPr>
        <w:spacing w:after="113" w:line="260" w:lineRule="atLeast"/>
        <w:ind w:left="1344"/>
        <w:contextualSpacing w:val="0"/>
        <w:rPr>
          <w:rFonts w:cstheme="minorHAnsi"/>
          <w:color w:val="00008B" w:themeColor="text1"/>
        </w:rPr>
      </w:pPr>
    </w:p>
    <w:p w14:paraId="3D5ECBC8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 xml:space="preserve">* </w:t>
      </w:r>
      <w:r w:rsidRPr="009A0CD6">
        <w:rPr>
          <w:rFonts w:asciiTheme="minorHAnsi" w:hAnsiTheme="minorHAnsi" w:cstheme="minorHAnsi"/>
          <w:i/>
          <w:color w:val="auto"/>
        </w:rPr>
        <w:t>Please delete as appropriate</w:t>
      </w:r>
      <w:r w:rsidRPr="009A0CD6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72E1E0EE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>Name…………………………………………….…</w:t>
      </w:r>
    </w:p>
    <w:p w14:paraId="5E7EFEAC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proofErr w:type="spellStart"/>
      <w:r w:rsidRPr="009A0CD6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9A0CD6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03230771" w:rsidR="00AC33B2" w:rsidRPr="00AC33B2" w:rsidRDefault="00AC33B2" w:rsidP="00AC33B2">
    <w:pPr>
      <w:pStyle w:val="Footer"/>
      <w:tabs>
        <w:tab w:val="clear" w:pos="9360"/>
        <w:tab w:val="right" w:pos="10490"/>
      </w:tabs>
    </w:pPr>
    <w:r w:rsidRPr="00AC33B2">
      <w:t>@ Elexon 2020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9E6407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9E6407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8C47317"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9E6407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9E6407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3B5BB3A1" w:rsidR="00A342D0" w:rsidRDefault="009E6407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F23F9"/>
    <w:rsid w:val="00102D06"/>
    <w:rsid w:val="00103DE9"/>
    <w:rsid w:val="00121AD6"/>
    <w:rsid w:val="001A74CA"/>
    <w:rsid w:val="001D58BD"/>
    <w:rsid w:val="00221E16"/>
    <w:rsid w:val="002226BD"/>
    <w:rsid w:val="00232F58"/>
    <w:rsid w:val="00297E3D"/>
    <w:rsid w:val="002D2F49"/>
    <w:rsid w:val="002E02DF"/>
    <w:rsid w:val="002E66C9"/>
    <w:rsid w:val="002E7F86"/>
    <w:rsid w:val="002F1F2F"/>
    <w:rsid w:val="002F6C5F"/>
    <w:rsid w:val="003411EC"/>
    <w:rsid w:val="0036112A"/>
    <w:rsid w:val="003D5005"/>
    <w:rsid w:val="00456B64"/>
    <w:rsid w:val="004906D3"/>
    <w:rsid w:val="004D3E32"/>
    <w:rsid w:val="00531ADF"/>
    <w:rsid w:val="00535B5A"/>
    <w:rsid w:val="00555B5C"/>
    <w:rsid w:val="00585BA3"/>
    <w:rsid w:val="005A7D30"/>
    <w:rsid w:val="00612E35"/>
    <w:rsid w:val="006C1B40"/>
    <w:rsid w:val="006F65BA"/>
    <w:rsid w:val="00722E9A"/>
    <w:rsid w:val="007351BE"/>
    <w:rsid w:val="007B21B5"/>
    <w:rsid w:val="007B52C2"/>
    <w:rsid w:val="007F1A2A"/>
    <w:rsid w:val="008345BA"/>
    <w:rsid w:val="008946DB"/>
    <w:rsid w:val="00904932"/>
    <w:rsid w:val="00944D73"/>
    <w:rsid w:val="00951DD1"/>
    <w:rsid w:val="00960D2B"/>
    <w:rsid w:val="009A0CD6"/>
    <w:rsid w:val="009E6407"/>
    <w:rsid w:val="00A10A25"/>
    <w:rsid w:val="00A22268"/>
    <w:rsid w:val="00A31A99"/>
    <w:rsid w:val="00A342D0"/>
    <w:rsid w:val="00A62C09"/>
    <w:rsid w:val="00A677F5"/>
    <w:rsid w:val="00A845BA"/>
    <w:rsid w:val="00AC33B2"/>
    <w:rsid w:val="00AD50AF"/>
    <w:rsid w:val="00B63954"/>
    <w:rsid w:val="00BA06BC"/>
    <w:rsid w:val="00BA0E67"/>
    <w:rsid w:val="00BF226E"/>
    <w:rsid w:val="00C22ED1"/>
    <w:rsid w:val="00CE2CB3"/>
    <w:rsid w:val="00D20688"/>
    <w:rsid w:val="00D74F96"/>
    <w:rsid w:val="00DB2AFD"/>
    <w:rsid w:val="00E73AD6"/>
    <w:rsid w:val="00E968BC"/>
    <w:rsid w:val="00F14B16"/>
    <w:rsid w:val="00F346D7"/>
    <w:rsid w:val="00F401FD"/>
    <w:rsid w:val="00F41243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16</cp:revision>
  <dcterms:created xsi:type="dcterms:W3CDTF">2020-09-08T23:17:00Z</dcterms:created>
  <dcterms:modified xsi:type="dcterms:W3CDTF">2020-10-14T11:47:00Z</dcterms:modified>
</cp:coreProperties>
</file>