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4B18C1" w:rsidP="004B18C1">
            <w:pPr>
              <w:pStyle w:val="Title"/>
            </w:pPr>
            <w:bookmarkStart w:id="0" w:name="_GoBack"/>
            <w:bookmarkEnd w:id="0"/>
            <w:r>
              <w:t>draft reference network mapping statement</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Style w:val="TableGrid"/>
        <w:tblpPr w:leftFromText="181" w:rightFromText="181" w:bottomFromText="567" w:vertAnchor="page" w:horzAnchor="margin" w:tblpY="10436"/>
        <w:tblW w:w="15252" w:type="dxa"/>
        <w:tblLayout w:type="fixed"/>
        <w:tblLook w:val="04A0" w:firstRow="1" w:lastRow="0" w:firstColumn="1" w:lastColumn="0" w:noHBand="0" w:noVBand="1"/>
      </w:tblPr>
      <w:tblGrid>
        <w:gridCol w:w="2297"/>
        <w:gridCol w:w="284"/>
        <w:gridCol w:w="2714"/>
        <w:gridCol w:w="7287"/>
        <w:gridCol w:w="2670"/>
      </w:tblGrid>
      <w:tr w:rsidR="00E35428" w:rsidTr="00165202">
        <w:trPr>
          <w:trHeight w:val="159"/>
        </w:trPr>
        <w:tc>
          <w:tcPr>
            <w:tcW w:w="2297" w:type="dxa"/>
            <w:tcBorders>
              <w:top w:val="nil"/>
              <w:left w:val="nil"/>
              <w:bottom w:val="nil"/>
              <w:right w:val="nil"/>
            </w:tcBorders>
          </w:tcPr>
          <w:p w:rsidR="00E35428" w:rsidRDefault="00E35428" w:rsidP="009B7B08">
            <w:pPr>
              <w:pStyle w:val="1pt"/>
            </w:pPr>
          </w:p>
        </w:tc>
        <w:tc>
          <w:tcPr>
            <w:tcW w:w="284" w:type="dxa"/>
            <w:tcBorders>
              <w:top w:val="nil"/>
              <w:left w:val="nil"/>
              <w:bottom w:val="nil"/>
              <w:right w:val="nil"/>
            </w:tcBorders>
          </w:tcPr>
          <w:p w:rsidR="00E35428" w:rsidRDefault="00E35428" w:rsidP="009B7B08">
            <w:pPr>
              <w:pStyle w:val="1pt"/>
            </w:pPr>
          </w:p>
        </w:tc>
        <w:tc>
          <w:tcPr>
            <w:tcW w:w="2714" w:type="dxa"/>
            <w:tcBorders>
              <w:top w:val="nil"/>
              <w:left w:val="nil"/>
              <w:bottom w:val="nil"/>
              <w:right w:val="nil"/>
            </w:tcBorders>
          </w:tcPr>
          <w:p w:rsidR="00E35428" w:rsidRDefault="00E35428" w:rsidP="009B7B08">
            <w:pPr>
              <w:pStyle w:val="1pt"/>
            </w:pPr>
          </w:p>
        </w:tc>
        <w:tc>
          <w:tcPr>
            <w:tcW w:w="7287" w:type="dxa"/>
            <w:tcBorders>
              <w:top w:val="nil"/>
              <w:left w:val="nil"/>
              <w:bottom w:val="nil"/>
              <w:right w:val="nil"/>
            </w:tcBorders>
          </w:tcPr>
          <w:p w:rsidR="00E35428" w:rsidRDefault="00E35428" w:rsidP="009B7B08">
            <w:pPr>
              <w:pStyle w:val="1pt"/>
            </w:pPr>
          </w:p>
        </w:tc>
        <w:tc>
          <w:tcPr>
            <w:tcW w:w="2670" w:type="dxa"/>
            <w:tcBorders>
              <w:top w:val="nil"/>
              <w:left w:val="nil"/>
              <w:bottom w:val="nil"/>
              <w:right w:val="nil"/>
            </w:tcBorders>
          </w:tcPr>
          <w:p w:rsidR="00E35428" w:rsidRPr="009845EB" w:rsidRDefault="00E35428" w:rsidP="009B7B08">
            <w:pPr>
              <w:pStyle w:val="1pt"/>
            </w:pPr>
          </w:p>
        </w:tc>
      </w:tr>
      <w:tr w:rsidR="006D3B0C" w:rsidTr="00165202">
        <w:trPr>
          <w:trHeight w:val="357"/>
        </w:trPr>
        <w:tc>
          <w:tcPr>
            <w:tcW w:w="12582" w:type="dxa"/>
            <w:gridSpan w:val="4"/>
            <w:tcBorders>
              <w:top w:val="nil"/>
              <w:left w:val="nil"/>
              <w:bottom w:val="nil"/>
              <w:right w:val="nil"/>
            </w:tcBorders>
          </w:tcPr>
          <w:p w:rsidR="006D3B0C" w:rsidRPr="00B120C5" w:rsidRDefault="006D3B0C" w:rsidP="004B18C1">
            <w:pPr>
              <w:pStyle w:val="FooterRef3"/>
              <w:framePr w:hSpace="0" w:wrap="auto" w:vAnchor="margin" w:hAnchor="text" w:yAlign="inline"/>
              <w:suppressOverlap w:val="0"/>
            </w:pPr>
            <w:r>
              <w:t xml:space="preserve">P350: </w:t>
            </w:r>
            <w:r w:rsidR="004B18C1">
              <w:t>Draft Reference Network Mapping Statement</w:t>
            </w:r>
          </w:p>
        </w:tc>
        <w:tc>
          <w:tcPr>
            <w:tcW w:w="2670" w:type="dxa"/>
            <w:vMerge w:val="restart"/>
            <w:tcBorders>
              <w:top w:val="nil"/>
              <w:left w:val="nil"/>
              <w:bottom w:val="nil"/>
              <w:right w:val="nil"/>
            </w:tcBorders>
          </w:tcPr>
          <w:p w:rsidR="006D3B0C" w:rsidRDefault="006D3B0C" w:rsidP="009B7B08">
            <w:pPr>
              <w:pStyle w:val="Footer"/>
            </w:pPr>
            <w:r>
              <w:rPr>
                <w:rFonts w:hint="eastAsia"/>
                <w:noProof/>
                <w:lang w:eastAsia="en-GB"/>
              </w:rPr>
              <w:drawing>
                <wp:inline distT="0" distB="0" distL="0" distR="0" wp14:anchorId="3B502898" wp14:editId="0D322F0E">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165202">
        <w:trPr>
          <w:trHeight w:val="295"/>
        </w:trPr>
        <w:tc>
          <w:tcPr>
            <w:tcW w:w="2297" w:type="dxa"/>
            <w:tcBorders>
              <w:top w:val="nil"/>
              <w:left w:val="nil"/>
              <w:bottom w:val="nil"/>
              <w:right w:val="nil"/>
            </w:tcBorders>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sidR="00C76D55">
              <w:rPr>
                <w:noProof/>
              </w:rPr>
              <w:t>1</w:t>
            </w:r>
            <w:r>
              <w:rPr>
                <w:noProof/>
              </w:rPr>
              <w:fldChar w:fldCharType="end"/>
            </w:r>
            <w:r w:rsidRPr="004873F8">
              <w:t xml:space="preserve"> of </w:t>
            </w:r>
            <w:r w:rsidR="00FE6DF4">
              <w:fldChar w:fldCharType="begin"/>
            </w:r>
            <w:r w:rsidR="00FE6DF4">
              <w:instrText xml:space="preserve"> NUMPAGES  \* Arabic  \* MERGEFORMAT </w:instrText>
            </w:r>
            <w:r w:rsidR="00FE6DF4">
              <w:fldChar w:fldCharType="separate"/>
            </w:r>
            <w:r w:rsidR="00C76D55">
              <w:rPr>
                <w:noProof/>
              </w:rPr>
              <w:t>2</w:t>
            </w:r>
            <w:r w:rsidR="00FE6DF4">
              <w:rPr>
                <w:noProof/>
              </w:rPr>
              <w:fldChar w:fldCharType="end"/>
            </w:r>
          </w:p>
        </w:tc>
        <w:tc>
          <w:tcPr>
            <w:tcW w:w="284" w:type="dxa"/>
            <w:tcBorders>
              <w:top w:val="nil"/>
              <w:left w:val="nil"/>
              <w:bottom w:val="nil"/>
              <w:right w:val="nil"/>
            </w:tcBorders>
          </w:tcPr>
          <w:p w:rsidR="00E35428" w:rsidRDefault="00E35428" w:rsidP="009B7B08">
            <w:pPr>
              <w:pStyle w:val="Footer"/>
            </w:pPr>
          </w:p>
        </w:tc>
        <w:tc>
          <w:tcPr>
            <w:tcW w:w="2714" w:type="dxa"/>
            <w:tcBorders>
              <w:top w:val="nil"/>
              <w:left w:val="nil"/>
              <w:bottom w:val="nil"/>
              <w:right w:val="nil"/>
            </w:tcBorders>
          </w:tcPr>
          <w:p w:rsidR="00E35428" w:rsidRDefault="0059216A" w:rsidP="0059216A">
            <w:pPr>
              <w:pStyle w:val="FooterDate"/>
              <w:framePr w:hSpace="0" w:wrap="auto" w:vAnchor="margin" w:hAnchor="text" w:yAlign="inline"/>
              <w:suppressOverlap w:val="0"/>
            </w:pPr>
            <w:r>
              <w:t>28</w:t>
            </w:r>
            <w:r w:rsidR="00EB4614">
              <w:t xml:space="preserve"> </w:t>
            </w:r>
            <w:r w:rsidR="004B18C1">
              <w:t>August</w:t>
            </w:r>
            <w:r w:rsidR="00EB4614">
              <w:t xml:space="preserve"> 20</w:t>
            </w:r>
            <w:r>
              <w:t>20</w:t>
            </w:r>
          </w:p>
        </w:tc>
        <w:tc>
          <w:tcPr>
            <w:tcW w:w="7287" w:type="dxa"/>
            <w:tcBorders>
              <w:top w:val="nil"/>
              <w:left w:val="nil"/>
              <w:bottom w:val="nil"/>
              <w:right w:val="nil"/>
            </w:tcBorders>
          </w:tcPr>
          <w:p w:rsidR="00E35428" w:rsidRDefault="00E35428" w:rsidP="009B7B08">
            <w:pPr>
              <w:pStyle w:val="Footer"/>
            </w:pPr>
            <w:r>
              <w:t xml:space="preserve">© ELEXON </w:t>
            </w:r>
            <w:r>
              <w:fldChar w:fldCharType="begin"/>
            </w:r>
            <w:r>
              <w:instrText xml:space="preserve"> DATE  \@ "yyyy" </w:instrText>
            </w:r>
            <w:r>
              <w:fldChar w:fldCharType="separate"/>
            </w:r>
            <w:r w:rsidR="00FE6DF4">
              <w:rPr>
                <w:noProof/>
              </w:rPr>
              <w:t>2020</w:t>
            </w:r>
            <w:r>
              <w:fldChar w:fldCharType="end"/>
            </w:r>
          </w:p>
        </w:tc>
        <w:tc>
          <w:tcPr>
            <w:tcW w:w="2670" w:type="dxa"/>
            <w:vMerge/>
            <w:tcBorders>
              <w:top w:val="nil"/>
              <w:left w:val="nil"/>
              <w:bottom w:val="nil"/>
              <w:right w:val="nil"/>
            </w:tcBorders>
          </w:tcPr>
          <w:p w:rsidR="00E35428" w:rsidRDefault="00E35428" w:rsidP="009B7B08">
            <w:pPr>
              <w:pStyle w:val="Footer"/>
            </w:pPr>
          </w:p>
        </w:tc>
      </w:tr>
    </w:tbl>
    <w:p w:rsidR="005C1D19" w:rsidRDefault="005C1D19" w:rsidP="005C1D19">
      <w:pPr>
        <w:pStyle w:val="BodyText"/>
      </w:pPr>
      <w:r>
        <w:t>Trading Parties (</w:t>
      </w:r>
      <w:r w:rsidR="005C3145">
        <w:t>‘</w:t>
      </w:r>
      <w:r>
        <w:t>Parties</w:t>
      </w:r>
      <w:r w:rsidR="005C3145">
        <w:t>’</w:t>
      </w:r>
      <w:r>
        <w:t>)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59216A" w:rsidRPr="0059216A">
        <w:rPr>
          <w:b/>
        </w:rPr>
        <w:t>Monda</w:t>
      </w:r>
      <w:r w:rsidR="006763A3" w:rsidRPr="0059216A">
        <w:rPr>
          <w:b/>
        </w:rPr>
        <w:t>y 1</w:t>
      </w:r>
      <w:r w:rsidR="0059216A" w:rsidRPr="0059216A">
        <w:rPr>
          <w:b/>
        </w:rPr>
        <w:t>4</w:t>
      </w:r>
      <w:r w:rsidR="006763A3">
        <w:rPr>
          <w:b/>
        </w:rPr>
        <w:t xml:space="preserve"> </w:t>
      </w:r>
      <w:r w:rsidR="004B18C1">
        <w:rPr>
          <w:b/>
        </w:rPr>
        <w:t>September</w:t>
      </w:r>
      <w:r w:rsidR="00067BAC">
        <w:rPr>
          <w:b/>
        </w:rPr>
        <w:t xml:space="preserve"> 20</w:t>
      </w:r>
      <w:r w:rsidR="0059216A">
        <w:rPr>
          <w:b/>
        </w:rPr>
        <w:t>20</w:t>
      </w:r>
      <w:r>
        <w:t xml:space="preserve"> to </w:t>
      </w:r>
      <w:hyperlink r:id="rId9" w:history="1">
        <w:r w:rsidR="006763A3" w:rsidRPr="007C6671">
          <w:rPr>
            <w:rStyle w:val="Hyperlink"/>
          </w:rPr>
          <w:t>bm.unit@elexon.co.uk</w:t>
        </w:r>
      </w:hyperlink>
      <w:r w:rsidR="006763A3">
        <w:t xml:space="preserve"> </w:t>
      </w:r>
      <w:r w:rsidR="00632A1B">
        <w:t>and please title your email ‘</w:t>
      </w:r>
      <w:r w:rsidR="004B18C1">
        <w:t>Draft Reference Network Mapping Statement</w:t>
      </w:r>
      <w:r>
        <w:t xml:space="preserve">’. Please note that any responses received after the deadline may not receive due consideration. </w:t>
      </w:r>
    </w:p>
    <w:p w:rsidR="000B40C3" w:rsidRPr="006763A3" w:rsidRDefault="005C1D19" w:rsidP="005C1D19">
      <w:pPr>
        <w:pStyle w:val="BodyText"/>
        <w:rPr>
          <w:color w:val="auto"/>
        </w:rPr>
      </w:pPr>
      <w:r w:rsidRPr="006763A3">
        <w:rPr>
          <w:color w:val="auto"/>
        </w:rPr>
        <w:t xml:space="preserve">Any queries on the content of the consultation pro-forma should be addressed to </w:t>
      </w:r>
      <w:r w:rsidR="00FB7744" w:rsidRPr="006763A3">
        <w:rPr>
          <w:color w:val="auto"/>
        </w:rPr>
        <w:t xml:space="preserve">BSC </w:t>
      </w:r>
      <w:r w:rsidR="009D6D8D" w:rsidRPr="006763A3">
        <w:rPr>
          <w:color w:val="auto"/>
        </w:rPr>
        <w:t>Service Desk</w:t>
      </w:r>
      <w:r w:rsidR="00FB7744" w:rsidRPr="006763A3">
        <w:rPr>
          <w:color w:val="auto"/>
        </w:rPr>
        <w:t xml:space="preserve"> on </w:t>
      </w:r>
      <w:r w:rsidR="006763A3">
        <w:rPr>
          <w:color w:val="auto"/>
        </w:rPr>
        <w:t>03</w:t>
      </w:r>
      <w:r w:rsidR="00FB7744" w:rsidRPr="006763A3">
        <w:rPr>
          <w:color w:val="auto"/>
        </w:rPr>
        <w:t>70 010 6950</w:t>
      </w:r>
      <w:r w:rsidRPr="006763A3">
        <w:rPr>
          <w:color w:val="auto"/>
        </w:rPr>
        <w:t xml:space="preserve">, </w:t>
      </w:r>
      <w:r w:rsidR="00FB7744" w:rsidRPr="006763A3">
        <w:rPr>
          <w:color w:val="auto"/>
        </w:rPr>
        <w:t>or to</w:t>
      </w:r>
      <w:r w:rsidRPr="006763A3">
        <w:rPr>
          <w:color w:val="auto"/>
        </w:rPr>
        <w:t xml:space="preserve"> </w:t>
      </w:r>
      <w:hyperlink r:id="rId10" w:history="1">
        <w:r w:rsidR="006763A3" w:rsidRPr="007C6671">
          <w:rPr>
            <w:rStyle w:val="Hyperlink"/>
          </w:rPr>
          <w:t>bm.unit@elexon.co.uk</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A3279E" w:rsidP="00B25BAB">
            <w:pPr>
              <w:pStyle w:val="ELEXONBody"/>
              <w:spacing w:after="0"/>
              <w:jc w:val="center"/>
              <w:rPr>
                <w:b/>
              </w:rPr>
            </w:pPr>
            <w:r>
              <w:rPr>
                <w:b/>
              </w:rPr>
              <w:t>Response</w:t>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Pr="00A3279E" w:rsidRDefault="009A28EB" w:rsidP="009A28EB">
            <w:pPr>
              <w:pStyle w:val="ELEXONBody"/>
              <w:numPr>
                <w:ilvl w:val="0"/>
                <w:numId w:val="9"/>
              </w:numPr>
              <w:spacing w:after="0"/>
            </w:pPr>
          </w:p>
        </w:tc>
        <w:tc>
          <w:tcPr>
            <w:tcW w:w="5244" w:type="dxa"/>
            <w:gridSpan w:val="2"/>
          </w:tcPr>
          <w:p w:rsidR="00EA599E" w:rsidRPr="00A3279E" w:rsidRDefault="007E644C" w:rsidP="005E6E0A">
            <w:pPr>
              <w:spacing w:after="120"/>
              <w:rPr>
                <w:color w:val="auto"/>
              </w:rPr>
            </w:pPr>
            <w:r w:rsidRPr="00A3279E">
              <w:rPr>
                <w:color w:val="auto"/>
              </w:rPr>
              <w:t xml:space="preserve">Do </w:t>
            </w:r>
            <w:r w:rsidR="00632A1B" w:rsidRPr="00A3279E">
              <w:rPr>
                <w:color w:val="auto"/>
              </w:rPr>
              <w:t>you agree with the</w:t>
            </w:r>
            <w:r w:rsidR="00B535DC" w:rsidRPr="00A3279E">
              <w:rPr>
                <w:color w:val="auto"/>
              </w:rPr>
              <w:t>:</w:t>
            </w:r>
          </w:p>
          <w:p w:rsidR="00EA599E" w:rsidRPr="00A3279E" w:rsidRDefault="00EA599E" w:rsidP="00EA599E">
            <w:pPr>
              <w:pStyle w:val="ListParagraph"/>
              <w:numPr>
                <w:ilvl w:val="0"/>
                <w:numId w:val="13"/>
              </w:numPr>
              <w:spacing w:after="120"/>
              <w:rPr>
                <w:color w:val="auto"/>
              </w:rPr>
            </w:pPr>
            <w:r w:rsidRPr="00A3279E">
              <w:rPr>
                <w:color w:val="auto"/>
              </w:rPr>
              <w:t>Volume Allocation Unit to Node Mapping</w:t>
            </w:r>
          </w:p>
          <w:p w:rsidR="00EA599E" w:rsidRPr="00A3279E" w:rsidRDefault="00EA599E" w:rsidP="00EA599E">
            <w:pPr>
              <w:pStyle w:val="ListParagraph"/>
              <w:numPr>
                <w:ilvl w:val="0"/>
                <w:numId w:val="13"/>
              </w:numPr>
              <w:spacing w:after="120"/>
              <w:rPr>
                <w:color w:val="auto"/>
              </w:rPr>
            </w:pPr>
            <w:r w:rsidRPr="00A3279E">
              <w:rPr>
                <w:color w:val="auto"/>
              </w:rPr>
              <w:t>Node to Zone Mapping</w:t>
            </w:r>
          </w:p>
          <w:p w:rsidR="00EA599E" w:rsidRPr="00A3279E" w:rsidRDefault="00EA599E" w:rsidP="00EA599E">
            <w:pPr>
              <w:pStyle w:val="ListParagraph"/>
              <w:numPr>
                <w:ilvl w:val="0"/>
                <w:numId w:val="13"/>
              </w:numPr>
              <w:spacing w:after="120"/>
              <w:rPr>
                <w:color w:val="auto"/>
              </w:rPr>
            </w:pPr>
            <w:r w:rsidRPr="00A3279E">
              <w:rPr>
                <w:color w:val="auto"/>
              </w:rPr>
              <w:t>BM Unit to Zone Mapping</w:t>
            </w:r>
          </w:p>
          <w:p w:rsidR="00524A3E" w:rsidRPr="00A3279E" w:rsidRDefault="00A3279E" w:rsidP="00A3279E">
            <w:pPr>
              <w:spacing w:after="120"/>
              <w:rPr>
                <w:color w:val="auto"/>
              </w:rPr>
            </w:pPr>
            <w:r>
              <w:rPr>
                <w:color w:val="auto"/>
              </w:rPr>
              <w:t>Also d</w:t>
            </w:r>
            <w:r w:rsidR="00EA599E" w:rsidRPr="00A3279E">
              <w:rPr>
                <w:color w:val="auto"/>
              </w:rPr>
              <w:t xml:space="preserve">escribed in the </w:t>
            </w:r>
            <w:r>
              <w:t>accompanying</w:t>
            </w:r>
            <w:r w:rsidRPr="00A3279E">
              <w:rPr>
                <w:color w:val="auto"/>
              </w:rPr>
              <w:t xml:space="preserve"> guidance note </w:t>
            </w:r>
            <w:r>
              <w:rPr>
                <w:color w:val="auto"/>
              </w:rPr>
              <w:t xml:space="preserve">to </w:t>
            </w:r>
            <w:r w:rsidRPr="00A3279E">
              <w:rPr>
                <w:color w:val="auto"/>
              </w:rPr>
              <w:t xml:space="preserve">the draft reference </w:t>
            </w:r>
            <w:r>
              <w:rPr>
                <w:color w:val="auto"/>
              </w:rPr>
              <w:t>network m</w:t>
            </w:r>
            <w:r w:rsidRPr="00A3279E">
              <w:rPr>
                <w:color w:val="auto"/>
              </w:rPr>
              <w:t>a</w:t>
            </w:r>
            <w:r>
              <w:rPr>
                <w:color w:val="auto"/>
              </w:rPr>
              <w:t>pping s</w:t>
            </w:r>
            <w:r w:rsidRPr="00A3279E">
              <w:rPr>
                <w:color w:val="auto"/>
              </w:rPr>
              <w:t>tatement.</w:t>
            </w:r>
          </w:p>
        </w:tc>
        <w:tc>
          <w:tcPr>
            <w:tcW w:w="1560" w:type="dxa"/>
          </w:tcPr>
          <w:p w:rsidR="009A28EB" w:rsidRPr="00A3279E" w:rsidRDefault="009A28EB" w:rsidP="00B25BAB">
            <w:pPr>
              <w:pStyle w:val="ELEXONBody"/>
              <w:spacing w:after="0"/>
              <w:jc w:val="center"/>
            </w:pPr>
            <w:r w:rsidRPr="00A3279E">
              <w:t>Yes / No</w:t>
            </w:r>
          </w:p>
        </w:tc>
        <w:tc>
          <w:tcPr>
            <w:tcW w:w="7371" w:type="dxa"/>
          </w:tcPr>
          <w:p w:rsidR="009A28EB" w:rsidRPr="00A3279E" w:rsidRDefault="009A28EB" w:rsidP="00B25BAB">
            <w:pPr>
              <w:pStyle w:val="ELEXONBody"/>
              <w:spacing w:after="0"/>
            </w:pPr>
          </w:p>
        </w:tc>
      </w:tr>
      <w:tr w:rsidR="00F5153D" w:rsidTr="00165202">
        <w:tblPrEx>
          <w:tblBorders>
            <w:insideH w:val="single" w:sz="6" w:space="0" w:color="auto"/>
            <w:insideV w:val="single" w:sz="6" w:space="0" w:color="auto"/>
          </w:tblBorders>
        </w:tblPrEx>
        <w:trPr>
          <w:cantSplit/>
          <w:trHeight w:val="849"/>
        </w:trPr>
        <w:tc>
          <w:tcPr>
            <w:tcW w:w="426" w:type="dxa"/>
          </w:tcPr>
          <w:p w:rsidR="00F5153D" w:rsidRDefault="00F5153D" w:rsidP="00896358">
            <w:pPr>
              <w:pStyle w:val="ELEXONBody"/>
              <w:numPr>
                <w:ilvl w:val="0"/>
                <w:numId w:val="9"/>
              </w:numPr>
              <w:spacing w:after="0"/>
            </w:pPr>
          </w:p>
        </w:tc>
        <w:tc>
          <w:tcPr>
            <w:tcW w:w="5244" w:type="dxa"/>
            <w:gridSpan w:val="2"/>
          </w:tcPr>
          <w:p w:rsidR="00524A3E" w:rsidRDefault="00F5153D" w:rsidP="00A3279E">
            <w:pPr>
              <w:spacing w:after="120"/>
            </w:pPr>
            <w:r>
              <w:t xml:space="preserve">Do you agree that the </w:t>
            </w:r>
            <w:r w:rsidR="00A3279E">
              <w:t>draft reference network mapping statement</w:t>
            </w:r>
            <w:r>
              <w:t xml:space="preserve"> achieves the </w:t>
            </w:r>
            <w:r w:rsidR="00524A3E">
              <w:t>requirements</w:t>
            </w:r>
            <w:r>
              <w:t xml:space="preserve"> </w:t>
            </w:r>
            <w:r w:rsidR="004B18C1">
              <w:t xml:space="preserve">detailed in the P350 legal text </w:t>
            </w:r>
            <w:r w:rsidR="0087261C">
              <w:t>(paragraph 4</w:t>
            </w:r>
            <w:r w:rsidR="00EA599E">
              <w:t>.3</w:t>
            </w:r>
            <w:r w:rsidR="00524A3E">
              <w:t xml:space="preserve"> of Annex T-2)? </w:t>
            </w:r>
          </w:p>
        </w:tc>
        <w:tc>
          <w:tcPr>
            <w:tcW w:w="1560" w:type="dxa"/>
          </w:tcPr>
          <w:p w:rsidR="00F5153D" w:rsidRDefault="00F5153D" w:rsidP="00896358">
            <w:pPr>
              <w:pStyle w:val="ELEXONBody"/>
              <w:spacing w:after="0"/>
              <w:jc w:val="center"/>
            </w:pPr>
            <w:r>
              <w:t>Yes / No</w:t>
            </w:r>
          </w:p>
        </w:tc>
        <w:tc>
          <w:tcPr>
            <w:tcW w:w="7371" w:type="dxa"/>
          </w:tcPr>
          <w:p w:rsidR="00F5153D" w:rsidRDefault="00F5153D" w:rsidP="00896358">
            <w:pPr>
              <w:pStyle w:val="ELEXONBody"/>
              <w:spacing w:after="0"/>
            </w:pPr>
          </w:p>
        </w:tc>
      </w:tr>
      <w:tr w:rsidR="00E36169" w:rsidTr="00165202">
        <w:tblPrEx>
          <w:tblBorders>
            <w:insideH w:val="single" w:sz="6" w:space="0" w:color="auto"/>
            <w:insideV w:val="single" w:sz="6" w:space="0" w:color="auto"/>
          </w:tblBorders>
        </w:tblPrEx>
        <w:trPr>
          <w:cantSplit/>
          <w:trHeight w:val="730"/>
        </w:trPr>
        <w:tc>
          <w:tcPr>
            <w:tcW w:w="426" w:type="dxa"/>
            <w:tcBorders>
              <w:top w:val="single" w:sz="6" w:space="0" w:color="auto"/>
              <w:left w:val="single" w:sz="4" w:space="0" w:color="auto"/>
              <w:bottom w:val="single" w:sz="4" w:space="0" w:color="auto"/>
              <w:right w:val="single" w:sz="6" w:space="0" w:color="auto"/>
            </w:tcBorders>
          </w:tcPr>
          <w:p w:rsidR="00E36169" w:rsidRDefault="00E36169" w:rsidP="00F44D80">
            <w:pPr>
              <w:pStyle w:val="ELEXONBody"/>
              <w:numPr>
                <w:ilvl w:val="0"/>
                <w:numId w:val="9"/>
              </w:numPr>
              <w:spacing w:after="0"/>
            </w:pPr>
          </w:p>
        </w:tc>
        <w:tc>
          <w:tcPr>
            <w:tcW w:w="5244" w:type="dxa"/>
            <w:gridSpan w:val="2"/>
            <w:tcBorders>
              <w:top w:val="single" w:sz="6" w:space="0" w:color="auto"/>
              <w:left w:val="single" w:sz="6" w:space="0" w:color="auto"/>
              <w:bottom w:val="single" w:sz="4" w:space="0" w:color="auto"/>
              <w:right w:val="single" w:sz="6" w:space="0" w:color="auto"/>
            </w:tcBorders>
          </w:tcPr>
          <w:p w:rsidR="00E36169" w:rsidRDefault="00E36169" w:rsidP="0087261C">
            <w:pPr>
              <w:spacing w:after="120"/>
            </w:pPr>
            <w:r>
              <w:t>Do you have any other comments you wish to raise concerning th</w:t>
            </w:r>
            <w:r w:rsidR="0087261C">
              <w:t>e</w:t>
            </w:r>
            <w:r w:rsidR="00A3279E">
              <w:t xml:space="preserve"> draft reference network mapping s</w:t>
            </w:r>
            <w:r w:rsidR="0087261C">
              <w:t>tatement or accompanying guidance note</w:t>
            </w:r>
            <w:r>
              <w:t>?</w:t>
            </w:r>
          </w:p>
        </w:tc>
        <w:tc>
          <w:tcPr>
            <w:tcW w:w="1560" w:type="dxa"/>
            <w:tcBorders>
              <w:top w:val="single" w:sz="6" w:space="0" w:color="auto"/>
              <w:left w:val="single" w:sz="6" w:space="0" w:color="auto"/>
              <w:bottom w:val="single" w:sz="4" w:space="0" w:color="auto"/>
              <w:right w:val="single" w:sz="6" w:space="0" w:color="auto"/>
            </w:tcBorders>
          </w:tcPr>
          <w:p w:rsidR="00E36169" w:rsidRDefault="00E36169" w:rsidP="00F44D80">
            <w:pPr>
              <w:pStyle w:val="ELEXONBody"/>
              <w:spacing w:after="0"/>
              <w:jc w:val="center"/>
            </w:pPr>
            <w:r>
              <w:t>Yes / No</w:t>
            </w:r>
          </w:p>
        </w:tc>
        <w:tc>
          <w:tcPr>
            <w:tcW w:w="7371" w:type="dxa"/>
            <w:tcBorders>
              <w:top w:val="single" w:sz="6" w:space="0" w:color="auto"/>
              <w:left w:val="single" w:sz="6" w:space="0" w:color="auto"/>
              <w:bottom w:val="single" w:sz="4" w:space="0" w:color="auto"/>
              <w:right w:val="single" w:sz="4" w:space="0" w:color="auto"/>
            </w:tcBorders>
          </w:tcPr>
          <w:p w:rsidR="00E36169" w:rsidRDefault="00E36169" w:rsidP="00F44D80">
            <w:pPr>
              <w:pStyle w:val="ELEXONBody"/>
              <w:spacing w:after="0"/>
            </w:pPr>
          </w:p>
        </w:tc>
      </w:tr>
    </w:tbl>
    <w:p w:rsidR="0028797D" w:rsidRDefault="0028797D" w:rsidP="00CB3269">
      <w:pPr>
        <w:pStyle w:val="BodyText"/>
      </w:pPr>
    </w:p>
    <w:sectPr w:rsidR="0028797D" w:rsidSect="00C21568">
      <w:headerReference w:type="default" r:id="rId11"/>
      <w:footerReference w:type="default" r:id="rId12"/>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38112B" w:rsidTr="00281A5E">
      <w:trPr>
        <w:trHeight w:val="357"/>
      </w:trPr>
      <w:tc>
        <w:tcPr>
          <w:tcW w:w="12951" w:type="dxa"/>
          <w:gridSpan w:val="4"/>
          <w:shd w:val="clear" w:color="auto" w:fill="FFFFFF" w:themeFill="background1"/>
        </w:tcPr>
        <w:p w:rsidR="0038112B" w:rsidRPr="00B120C5" w:rsidRDefault="0038112B" w:rsidP="00FD6587">
          <w:pPr>
            <w:pStyle w:val="FooterRef3"/>
            <w:framePr w:hSpace="0" w:wrap="auto" w:vAnchor="margin" w:hAnchor="text" w:yAlign="inline"/>
            <w:suppressOverlap w:val="0"/>
          </w:pPr>
          <w:r>
            <w:t xml:space="preserve">P350: </w:t>
          </w:r>
          <w:r w:rsidR="00EA599E">
            <w:t xml:space="preserve"> Draft Reference Network Mapping Statement</w:t>
          </w:r>
        </w:p>
      </w:tc>
      <w:tc>
        <w:tcPr>
          <w:tcW w:w="2301" w:type="dxa"/>
          <w:vMerge w:val="restart"/>
          <w:shd w:val="clear" w:color="auto" w:fill="FFFFFF" w:themeFill="background1"/>
          <w:vAlign w:val="bottom"/>
        </w:tcPr>
        <w:p w:rsidR="0038112B" w:rsidRDefault="0038112B" w:rsidP="00FD6587">
          <w:pPr>
            <w:pStyle w:val="Footer"/>
          </w:pPr>
          <w:r>
            <w:rPr>
              <w:rFonts w:hint="eastAsia"/>
              <w:noProof/>
              <w:lang w:eastAsia="en-GB"/>
            </w:rPr>
            <w:drawing>
              <wp:inline distT="0" distB="0" distL="0" distR="0" wp14:anchorId="69C6842F" wp14:editId="7FC9EE6A">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FE6DF4">
            <w:rPr>
              <w:noProof/>
            </w:rPr>
            <w:t>2</w:t>
          </w:r>
          <w:r>
            <w:rPr>
              <w:noProof/>
            </w:rPr>
            <w:fldChar w:fldCharType="end"/>
          </w:r>
          <w:r w:rsidRPr="004873F8">
            <w:t xml:space="preserve"> of </w:t>
          </w:r>
          <w:r w:rsidR="00FE6DF4">
            <w:fldChar w:fldCharType="begin"/>
          </w:r>
          <w:r w:rsidR="00FE6DF4">
            <w:instrText xml:space="preserve"> NUMPAGES  \* Arabic  \* MERGEFORMAT </w:instrText>
          </w:r>
          <w:r w:rsidR="00FE6DF4">
            <w:fldChar w:fldCharType="separate"/>
          </w:r>
          <w:r w:rsidR="00FE6DF4">
            <w:rPr>
              <w:noProof/>
            </w:rPr>
            <w:t>2</w:t>
          </w:r>
          <w:r w:rsidR="00FE6DF4">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FE6DF4" w:rsidP="002566A7">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28 August 2020</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FE6DF4">
            <w:rPr>
              <w:noProof/>
            </w:rPr>
            <w:t>2020</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FE6DF4" w:rsidP="009D47D6">
          <w:pPr>
            <w:pStyle w:val="Title"/>
          </w:pPr>
          <w:r>
            <w:fldChar w:fldCharType="begin"/>
          </w:r>
          <w:r>
            <w:instrText xml:space="preserve"> STYLEREF  Title  \* MERGEFORMAT </w:instrText>
          </w:r>
          <w:r>
            <w:fldChar w:fldCharType="separate"/>
          </w:r>
          <w:r>
            <w:rPr>
              <w:noProof/>
            </w:rPr>
            <w:t>draft reference network mapping statement</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487D2F81"/>
    <w:multiLevelType w:val="hybridMultilevel"/>
    <w:tmpl w:val="4CD0557C"/>
    <w:lvl w:ilvl="0" w:tplc="846EF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F4F49"/>
    <w:multiLevelType w:val="hybridMultilevel"/>
    <w:tmpl w:val="F5B0ED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24A80"/>
    <w:multiLevelType w:val="hybridMultilevel"/>
    <w:tmpl w:val="B7082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D63850"/>
    <w:multiLevelType w:val="multilevel"/>
    <w:tmpl w:val="269C7F9C"/>
    <w:numStyleLink w:val="ListTable"/>
  </w:abstractNum>
  <w:abstractNum w:abstractNumId="11"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0"/>
  </w:num>
  <w:num w:numId="8">
    <w:abstractNumId w:val="11"/>
  </w:num>
  <w:num w:numId="9">
    <w:abstractNumId w:val="1"/>
  </w:num>
  <w:num w:numId="10">
    <w:abstractNumId w:val="9"/>
  </w:num>
  <w:num w:numId="11">
    <w:abstractNumId w:val="9"/>
    <w:lvlOverride w:ilvl="0">
      <w:lvl w:ilvl="0" w:tplc="08090017">
        <w:start w:val="1"/>
        <w:numFmt w:val="lowerLetter"/>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abstractNumId w:val="7"/>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4505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96131"/>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4D55"/>
    <w:rsid w:val="00146CBB"/>
    <w:rsid w:val="00151EA9"/>
    <w:rsid w:val="001549D4"/>
    <w:rsid w:val="00155174"/>
    <w:rsid w:val="0016442A"/>
    <w:rsid w:val="00164C03"/>
    <w:rsid w:val="00165202"/>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66A7"/>
    <w:rsid w:val="0025704F"/>
    <w:rsid w:val="002718D8"/>
    <w:rsid w:val="00272B0C"/>
    <w:rsid w:val="002811FE"/>
    <w:rsid w:val="002836E6"/>
    <w:rsid w:val="002850A8"/>
    <w:rsid w:val="0028797D"/>
    <w:rsid w:val="00287A11"/>
    <w:rsid w:val="00290EEC"/>
    <w:rsid w:val="00293848"/>
    <w:rsid w:val="0029732A"/>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57BF"/>
    <w:rsid w:val="002F6971"/>
    <w:rsid w:val="00306E69"/>
    <w:rsid w:val="003105A3"/>
    <w:rsid w:val="00350F5E"/>
    <w:rsid w:val="00351A33"/>
    <w:rsid w:val="0035504E"/>
    <w:rsid w:val="00356E74"/>
    <w:rsid w:val="00360453"/>
    <w:rsid w:val="00370AB7"/>
    <w:rsid w:val="00375464"/>
    <w:rsid w:val="00375CC5"/>
    <w:rsid w:val="00376F57"/>
    <w:rsid w:val="0038112B"/>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14684"/>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18C1"/>
    <w:rsid w:val="004B4F5D"/>
    <w:rsid w:val="004B51B6"/>
    <w:rsid w:val="004C143F"/>
    <w:rsid w:val="004C753B"/>
    <w:rsid w:val="004D4201"/>
    <w:rsid w:val="004D4C4F"/>
    <w:rsid w:val="004E3651"/>
    <w:rsid w:val="004F1B24"/>
    <w:rsid w:val="004F7328"/>
    <w:rsid w:val="005013E0"/>
    <w:rsid w:val="005058AE"/>
    <w:rsid w:val="00510487"/>
    <w:rsid w:val="00511557"/>
    <w:rsid w:val="00524A3E"/>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216A"/>
    <w:rsid w:val="00593D67"/>
    <w:rsid w:val="00595CAF"/>
    <w:rsid w:val="00596B83"/>
    <w:rsid w:val="005A3992"/>
    <w:rsid w:val="005A3FBE"/>
    <w:rsid w:val="005A5015"/>
    <w:rsid w:val="005A6EAC"/>
    <w:rsid w:val="005C1D19"/>
    <w:rsid w:val="005C3145"/>
    <w:rsid w:val="005C63AE"/>
    <w:rsid w:val="005D267A"/>
    <w:rsid w:val="005D33EB"/>
    <w:rsid w:val="005D6CAB"/>
    <w:rsid w:val="005E1A46"/>
    <w:rsid w:val="005E2F8F"/>
    <w:rsid w:val="005E6E0A"/>
    <w:rsid w:val="005F444B"/>
    <w:rsid w:val="005F4F9F"/>
    <w:rsid w:val="005F6761"/>
    <w:rsid w:val="005F7F4E"/>
    <w:rsid w:val="00600E75"/>
    <w:rsid w:val="00603C7D"/>
    <w:rsid w:val="00604929"/>
    <w:rsid w:val="006119C2"/>
    <w:rsid w:val="00613761"/>
    <w:rsid w:val="00617BEE"/>
    <w:rsid w:val="00627B7E"/>
    <w:rsid w:val="00632A1B"/>
    <w:rsid w:val="00633C8E"/>
    <w:rsid w:val="00643BDB"/>
    <w:rsid w:val="00643DB1"/>
    <w:rsid w:val="00656C25"/>
    <w:rsid w:val="00660CB1"/>
    <w:rsid w:val="006713C4"/>
    <w:rsid w:val="00671888"/>
    <w:rsid w:val="00674C3C"/>
    <w:rsid w:val="006763A3"/>
    <w:rsid w:val="006807CF"/>
    <w:rsid w:val="00691A37"/>
    <w:rsid w:val="00693B09"/>
    <w:rsid w:val="0069564B"/>
    <w:rsid w:val="00696C07"/>
    <w:rsid w:val="006A051B"/>
    <w:rsid w:val="006A3242"/>
    <w:rsid w:val="006B66E4"/>
    <w:rsid w:val="006C020D"/>
    <w:rsid w:val="006C0DD4"/>
    <w:rsid w:val="006C2D4C"/>
    <w:rsid w:val="006D188B"/>
    <w:rsid w:val="006D32F7"/>
    <w:rsid w:val="006D3B0C"/>
    <w:rsid w:val="006E1377"/>
    <w:rsid w:val="006E2E24"/>
    <w:rsid w:val="006F2B4C"/>
    <w:rsid w:val="00700125"/>
    <w:rsid w:val="00701B7D"/>
    <w:rsid w:val="00705107"/>
    <w:rsid w:val="0070566B"/>
    <w:rsid w:val="00711FAD"/>
    <w:rsid w:val="00713AA5"/>
    <w:rsid w:val="00714E30"/>
    <w:rsid w:val="0072343F"/>
    <w:rsid w:val="00724C0F"/>
    <w:rsid w:val="00724E12"/>
    <w:rsid w:val="0073692C"/>
    <w:rsid w:val="00740CE6"/>
    <w:rsid w:val="00740D57"/>
    <w:rsid w:val="0074339D"/>
    <w:rsid w:val="007455F6"/>
    <w:rsid w:val="00751685"/>
    <w:rsid w:val="0075650A"/>
    <w:rsid w:val="00761A7E"/>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261C"/>
    <w:rsid w:val="0087420B"/>
    <w:rsid w:val="00874A5B"/>
    <w:rsid w:val="00882677"/>
    <w:rsid w:val="00886BFD"/>
    <w:rsid w:val="008902C0"/>
    <w:rsid w:val="00891EE6"/>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5442"/>
    <w:rsid w:val="009767A7"/>
    <w:rsid w:val="0098107D"/>
    <w:rsid w:val="009845EB"/>
    <w:rsid w:val="009933A5"/>
    <w:rsid w:val="009A28EB"/>
    <w:rsid w:val="009A2B72"/>
    <w:rsid w:val="009B0B9A"/>
    <w:rsid w:val="009B3F96"/>
    <w:rsid w:val="009B55EE"/>
    <w:rsid w:val="009C201C"/>
    <w:rsid w:val="009C60D0"/>
    <w:rsid w:val="009D47D6"/>
    <w:rsid w:val="009D6D8D"/>
    <w:rsid w:val="009E355B"/>
    <w:rsid w:val="009E60A3"/>
    <w:rsid w:val="009F343D"/>
    <w:rsid w:val="009F5D5B"/>
    <w:rsid w:val="00A02821"/>
    <w:rsid w:val="00A05F18"/>
    <w:rsid w:val="00A07452"/>
    <w:rsid w:val="00A154D6"/>
    <w:rsid w:val="00A22973"/>
    <w:rsid w:val="00A24BDB"/>
    <w:rsid w:val="00A3279E"/>
    <w:rsid w:val="00A32F4E"/>
    <w:rsid w:val="00A34C37"/>
    <w:rsid w:val="00A35CDF"/>
    <w:rsid w:val="00A41518"/>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35DC"/>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3375"/>
    <w:rsid w:val="00C16B8E"/>
    <w:rsid w:val="00C21568"/>
    <w:rsid w:val="00C273C7"/>
    <w:rsid w:val="00C37641"/>
    <w:rsid w:val="00C460D2"/>
    <w:rsid w:val="00C50470"/>
    <w:rsid w:val="00C7161A"/>
    <w:rsid w:val="00C71A75"/>
    <w:rsid w:val="00C72A9B"/>
    <w:rsid w:val="00C75A66"/>
    <w:rsid w:val="00C76D37"/>
    <w:rsid w:val="00C76D55"/>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45D8A"/>
    <w:rsid w:val="00D55D00"/>
    <w:rsid w:val="00D5644A"/>
    <w:rsid w:val="00D565CB"/>
    <w:rsid w:val="00D63714"/>
    <w:rsid w:val="00D65E4C"/>
    <w:rsid w:val="00D65F95"/>
    <w:rsid w:val="00D65FC9"/>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36169"/>
    <w:rsid w:val="00E437C6"/>
    <w:rsid w:val="00E53D37"/>
    <w:rsid w:val="00E564AD"/>
    <w:rsid w:val="00E63D63"/>
    <w:rsid w:val="00E66CE7"/>
    <w:rsid w:val="00E677BA"/>
    <w:rsid w:val="00E7331F"/>
    <w:rsid w:val="00E8303E"/>
    <w:rsid w:val="00E87AB5"/>
    <w:rsid w:val="00E93C56"/>
    <w:rsid w:val="00EA599E"/>
    <w:rsid w:val="00EB351A"/>
    <w:rsid w:val="00EB369B"/>
    <w:rsid w:val="00EB4614"/>
    <w:rsid w:val="00EB511E"/>
    <w:rsid w:val="00EC0669"/>
    <w:rsid w:val="00EC0A6D"/>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153D"/>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E6DF4"/>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fillcolor="none [3214]" strokecolor="none [3215]">
      <v:fill color="none [3214]"/>
      <v:stroke color="none [3215]" weight="1pt"/>
    </o:shapedefaults>
    <o:shapelayout v:ext="edit">
      <o:idmap v:ext="edit" data="1"/>
    </o:shapelayout>
  </w:shapeDefaults>
  <w:decimalSymbol w:val="."/>
  <w:listSeparator w:val=","/>
  <w15:docId w15:val="{C87B5D5E-B2F6-44C1-AEDB-C92DD71B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6D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A3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m.unit@elexon.co.uk" TargetMode="External"/><Relationship Id="rId4" Type="http://schemas.openxmlformats.org/officeDocument/2006/relationships/settings" Target="settings.xml"/><Relationship Id="rId9" Type="http://schemas.openxmlformats.org/officeDocument/2006/relationships/hyperlink" Target="mailto:bm.unit@elexo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034E-5AC9-48AD-B83C-33DE4B3F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Jessica Porter</cp:lastModifiedBy>
  <cp:revision>2</cp:revision>
  <cp:lastPrinted>2017-05-03T11:26:00Z</cp:lastPrinted>
  <dcterms:created xsi:type="dcterms:W3CDTF">2020-08-28T10:40:00Z</dcterms:created>
  <dcterms:modified xsi:type="dcterms:W3CDTF">2020-08-28T10:40:00Z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