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E9" w:rsidRDefault="006F1BE9">
      <w:bookmarkStart w:id="0" w:name="_GoBack"/>
      <w:bookmarkEnd w:id="0"/>
    </w:p>
    <w:p w:rsidR="006F1BE9" w:rsidRDefault="00D42CD2">
      <w:pPr>
        <w:pStyle w:val="Heading1"/>
        <w:keepNext w:val="0"/>
        <w:keepLines w:val="0"/>
        <w:spacing w:before="0" w:after="480" w:line="240" w:lineRule="auto"/>
        <w:rPr>
          <w:color w:val="auto"/>
        </w:rPr>
      </w:pPr>
      <w:r>
        <w:rPr>
          <w:color w:val="auto"/>
        </w:rPr>
        <w:t>BSC ACCESSION AGREEMENT</w:t>
      </w:r>
    </w:p>
    <w:p w:rsidR="006F1BE9" w:rsidRDefault="006F1BE9">
      <w:pPr>
        <w:pStyle w:val="BodyText"/>
        <w:pBdr>
          <w:bottom w:val="single" w:sz="18" w:space="1" w:color="auto"/>
        </w:pBdr>
        <w:rPr>
          <w:color w:val="auto"/>
        </w:rPr>
      </w:pPr>
    </w:p>
    <w:p w:rsidR="006F1BE9" w:rsidRDefault="006F1BE9">
      <w:pPr>
        <w:pStyle w:val="BodyText"/>
        <w:spacing w:after="240" w:line="240" w:lineRule="auto"/>
        <w:rPr>
          <w:color w:val="auto"/>
        </w:rPr>
      </w:pPr>
    </w:p>
    <w:p w:rsidR="006F1BE9" w:rsidRDefault="006F1BE9">
      <w:pPr>
        <w:pStyle w:val="BodyText"/>
        <w:spacing w:after="240" w:line="240" w:lineRule="auto"/>
        <w:rPr>
          <w:color w:val="auto"/>
        </w:rPr>
      </w:pPr>
    </w:p>
    <w:p w:rsidR="006F1BE9" w:rsidRDefault="006F1BE9">
      <w:pPr>
        <w:pStyle w:val="BodyText"/>
        <w:spacing w:after="240" w:line="240" w:lineRule="auto"/>
        <w:rPr>
          <w:color w:val="auto"/>
        </w:rPr>
      </w:pPr>
    </w:p>
    <w:p w:rsidR="006F1BE9" w:rsidRDefault="00D42CD2">
      <w:pPr>
        <w:pStyle w:val="BodyText"/>
        <w:spacing w:after="240" w:line="240" w:lineRule="auto"/>
        <w:jc w:val="center"/>
        <w:rPr>
          <w:b/>
          <w:color w:val="auto"/>
          <w:sz w:val="28"/>
          <w:szCs w:val="28"/>
        </w:rPr>
      </w:pPr>
      <w:r>
        <w:rPr>
          <w:b/>
          <w:color w:val="auto"/>
          <w:sz w:val="28"/>
          <w:szCs w:val="28"/>
        </w:rPr>
        <w:t>ELEXON LIMITED</w:t>
      </w:r>
    </w:p>
    <w:p w:rsidR="006F1BE9" w:rsidRDefault="006F1BE9">
      <w:pPr>
        <w:pStyle w:val="BodyText"/>
        <w:spacing w:after="240" w:line="240" w:lineRule="auto"/>
        <w:jc w:val="center"/>
        <w:rPr>
          <w:b/>
          <w:color w:val="auto"/>
          <w:sz w:val="28"/>
          <w:szCs w:val="28"/>
        </w:rPr>
      </w:pPr>
    </w:p>
    <w:p w:rsidR="006F1BE9" w:rsidRDefault="00D42CD2">
      <w:pPr>
        <w:pStyle w:val="BodyText"/>
        <w:spacing w:after="240" w:line="240" w:lineRule="auto"/>
        <w:jc w:val="center"/>
        <w:rPr>
          <w:b/>
          <w:color w:val="auto"/>
          <w:sz w:val="28"/>
          <w:szCs w:val="28"/>
        </w:rPr>
      </w:pPr>
      <w:r>
        <w:rPr>
          <w:b/>
          <w:color w:val="auto"/>
          <w:sz w:val="28"/>
          <w:szCs w:val="28"/>
        </w:rPr>
        <w:t>-and-</w:t>
      </w:r>
    </w:p>
    <w:p w:rsidR="006F1BE9" w:rsidRDefault="006F1BE9">
      <w:pPr>
        <w:pStyle w:val="BodyText"/>
        <w:spacing w:after="240" w:line="240" w:lineRule="auto"/>
        <w:jc w:val="center"/>
        <w:rPr>
          <w:b/>
          <w:color w:val="auto"/>
          <w:sz w:val="28"/>
          <w:szCs w:val="28"/>
        </w:rPr>
      </w:pPr>
    </w:p>
    <w:p w:rsidR="006F1BE9" w:rsidRDefault="00D42CD2">
      <w:pPr>
        <w:pStyle w:val="BodyText"/>
        <w:spacing w:after="240" w:line="240" w:lineRule="auto"/>
        <w:jc w:val="center"/>
        <w:rPr>
          <w:b/>
          <w:color w:val="auto"/>
          <w:sz w:val="28"/>
          <w:szCs w:val="28"/>
        </w:rPr>
      </w:pPr>
      <w:r>
        <w:rPr>
          <w:b/>
          <w:color w:val="auto"/>
          <w:sz w:val="28"/>
          <w:szCs w:val="28"/>
        </w:rPr>
        <w:t>[</w:t>
      </w:r>
      <w:r>
        <w:rPr>
          <w:b/>
          <w:color w:val="auto"/>
          <w:sz w:val="28"/>
          <w:szCs w:val="28"/>
          <w:highlight w:val="lightGray"/>
        </w:rPr>
        <w:t>Insert full names of Party Wishing to Accede</w:t>
      </w:r>
      <w:r>
        <w:rPr>
          <w:b/>
          <w:color w:val="auto"/>
          <w:sz w:val="28"/>
          <w:szCs w:val="28"/>
        </w:rPr>
        <w:t>]</w:t>
      </w:r>
    </w:p>
    <w:p w:rsidR="006F1BE9" w:rsidRDefault="006F1BE9">
      <w:pPr>
        <w:pStyle w:val="BodyText"/>
        <w:spacing w:after="240" w:line="240" w:lineRule="auto"/>
        <w:rPr>
          <w:color w:val="auto"/>
        </w:rPr>
      </w:pPr>
    </w:p>
    <w:p w:rsidR="006F1BE9" w:rsidRDefault="006F1BE9">
      <w:pPr>
        <w:pStyle w:val="BodyText"/>
        <w:spacing w:after="240" w:line="240" w:lineRule="auto"/>
        <w:rPr>
          <w:color w:val="auto"/>
        </w:rPr>
      </w:pPr>
    </w:p>
    <w:p w:rsidR="006F1BE9" w:rsidRDefault="006F1BE9">
      <w:pPr>
        <w:pStyle w:val="BodyText"/>
        <w:pBdr>
          <w:bottom w:val="single" w:sz="18" w:space="1" w:color="auto"/>
        </w:pBdr>
        <w:spacing w:after="240" w:line="240" w:lineRule="auto"/>
        <w:rPr>
          <w:color w:val="auto"/>
        </w:rPr>
      </w:pPr>
    </w:p>
    <w:p w:rsidR="006F1BE9" w:rsidRDefault="006F1BE9">
      <w:pPr>
        <w:pStyle w:val="BodyText"/>
        <w:rPr>
          <w:color w:val="auto"/>
        </w:rPr>
      </w:pPr>
    </w:p>
    <w:p w:rsidR="006F1BE9" w:rsidRDefault="006F1BE9">
      <w:pPr>
        <w:pStyle w:val="BodyText"/>
      </w:pPr>
    </w:p>
    <w:p w:rsidR="006F1BE9" w:rsidRDefault="006F1BE9">
      <w:pPr>
        <w:pStyle w:val="BodyText"/>
      </w:pPr>
    </w:p>
    <w:p w:rsidR="006F1BE9" w:rsidRDefault="006F1BE9">
      <w:pPr>
        <w:pStyle w:val="BodyText"/>
      </w:pPr>
    </w:p>
    <w:p w:rsidR="006F1BE9" w:rsidRDefault="006F1BE9">
      <w:pPr>
        <w:pStyle w:val="BodyText"/>
      </w:pP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9240"/>
      </w:tblGrid>
      <w:tr w:rsidR="006F1BE9">
        <w:tc>
          <w:tcPr>
            <w:tcW w:w="5000" w:type="pct"/>
            <w:shd w:val="clear" w:color="auto" w:fill="auto"/>
            <w:tcMar>
              <w:top w:w="85" w:type="dxa"/>
              <w:left w:w="85" w:type="dxa"/>
              <w:bottom w:w="85" w:type="dxa"/>
              <w:right w:w="85" w:type="dxa"/>
            </w:tcMar>
          </w:tcPr>
          <w:p w:rsidR="006F1BE9" w:rsidRDefault="00D42CD2">
            <w:pPr>
              <w:pStyle w:val="BodyText"/>
              <w:spacing w:after="240" w:line="240" w:lineRule="auto"/>
              <w:rPr>
                <w:b/>
              </w:rPr>
            </w:pPr>
            <w:r>
              <w:rPr>
                <w:b/>
              </w:rPr>
              <w:t>Drafting Instructions</w:t>
            </w:r>
          </w:p>
          <w:p w:rsidR="006F1BE9" w:rsidRDefault="00D42CD2">
            <w:pPr>
              <w:pStyle w:val="BodyText"/>
              <w:numPr>
                <w:ilvl w:val="0"/>
                <w:numId w:val="44"/>
              </w:numPr>
              <w:spacing w:after="240" w:line="240" w:lineRule="auto"/>
              <w:ind w:left="851" w:hanging="567"/>
            </w:pPr>
            <w:r>
              <w:t>All shaded blanks must be completed.</w:t>
            </w:r>
          </w:p>
          <w:p w:rsidR="006F1BE9" w:rsidRDefault="00D42CD2">
            <w:pPr>
              <w:pStyle w:val="BodyText"/>
              <w:numPr>
                <w:ilvl w:val="0"/>
                <w:numId w:val="44"/>
              </w:numPr>
              <w:spacing w:after="240" w:line="240" w:lineRule="auto"/>
              <w:ind w:left="851" w:hanging="567"/>
            </w:pPr>
            <w:r>
              <w:t>All shading, square brackets and these drafting instructions must be deleted before it is signed.</w:t>
            </w:r>
          </w:p>
          <w:p w:rsidR="006F1BE9" w:rsidRDefault="00D42CD2">
            <w:pPr>
              <w:pStyle w:val="BodyText"/>
              <w:numPr>
                <w:ilvl w:val="0"/>
                <w:numId w:val="44"/>
              </w:numPr>
              <w:spacing w:after="240" w:line="240" w:lineRule="auto"/>
              <w:ind w:left="851" w:hanging="567"/>
            </w:pPr>
            <w:r>
              <w:t>This document must not be otherwise amended.</w:t>
            </w:r>
          </w:p>
        </w:tc>
      </w:tr>
    </w:tbl>
    <w:p w:rsidR="006F1BE9" w:rsidRDefault="006F1BE9">
      <w:pPr>
        <w:pStyle w:val="BodyText"/>
      </w:pPr>
    </w:p>
    <w:p w:rsidR="006F1BE9" w:rsidRDefault="006F1BE9">
      <w:pPr>
        <w:pStyle w:val="BodyText"/>
      </w:pPr>
    </w:p>
    <w:p w:rsidR="006F1BE9" w:rsidRDefault="006F1BE9">
      <w:pPr>
        <w:pStyle w:val="BodyText"/>
      </w:pPr>
    </w:p>
    <w:p w:rsidR="006F1BE9" w:rsidRDefault="00D42CD2">
      <w:pPr>
        <w:pStyle w:val="BodyText"/>
        <w:pageBreakBefore/>
        <w:spacing w:after="240" w:line="240" w:lineRule="auto"/>
        <w:rPr>
          <w:b/>
          <w:sz w:val="28"/>
          <w:szCs w:val="28"/>
        </w:rPr>
      </w:pPr>
      <w:r>
        <w:rPr>
          <w:b/>
          <w:sz w:val="28"/>
          <w:szCs w:val="28"/>
        </w:rPr>
        <w:lastRenderedPageBreak/>
        <w:t>BSC ACCESSION AGREEMENT</w:t>
      </w:r>
    </w:p>
    <w:p w:rsidR="006F1BE9" w:rsidRDefault="006F1BE9">
      <w:pPr>
        <w:pStyle w:val="BodyText"/>
        <w:spacing w:after="240" w:line="240" w:lineRule="auto"/>
      </w:pPr>
    </w:p>
    <w:p w:rsidR="006F1BE9" w:rsidRDefault="00D42CD2">
      <w:pPr>
        <w:pStyle w:val="BodyText"/>
        <w:tabs>
          <w:tab w:val="left" w:leader="underscore" w:pos="5387"/>
          <w:tab w:val="left" w:leader="underscore" w:pos="7938"/>
          <w:tab w:val="right" w:leader="underscore" w:pos="8789"/>
        </w:tabs>
        <w:spacing w:after="240" w:line="240" w:lineRule="auto"/>
      </w:pPr>
      <w:r>
        <w:rPr>
          <w:b/>
        </w:rPr>
        <w:t>THIS ACCESSION AGREEMENT</w:t>
      </w:r>
      <w:r>
        <w:t xml:space="preserve"> is made on the</w:t>
      </w:r>
      <w:r>
        <w:tab/>
        <w:t>day of</w:t>
      </w:r>
      <w:r>
        <w:tab/>
        <w:t>20</w:t>
      </w:r>
      <w:r>
        <w:tab/>
      </w:r>
    </w:p>
    <w:p w:rsidR="006F1BE9" w:rsidRDefault="006F1BE9">
      <w:pPr>
        <w:pStyle w:val="BodyText"/>
        <w:spacing w:after="240" w:line="240" w:lineRule="auto"/>
      </w:pPr>
    </w:p>
    <w:p w:rsidR="006F1BE9" w:rsidRDefault="00D42CD2">
      <w:pPr>
        <w:pStyle w:val="BodyText"/>
        <w:spacing w:after="240" w:line="240" w:lineRule="auto"/>
        <w:jc w:val="both"/>
        <w:rPr>
          <w:b/>
        </w:rPr>
      </w:pPr>
      <w:r>
        <w:rPr>
          <w:b/>
        </w:rPr>
        <w:t>BETWEEN:</w:t>
      </w:r>
    </w:p>
    <w:p w:rsidR="006F1BE9" w:rsidRDefault="00D42CD2">
      <w:pPr>
        <w:pStyle w:val="BodyText"/>
        <w:spacing w:after="240" w:line="240" w:lineRule="auto"/>
        <w:ind w:left="851" w:hanging="851"/>
        <w:jc w:val="both"/>
      </w:pPr>
      <w:r>
        <w:t>(1)</w:t>
      </w:r>
      <w:r>
        <w:tab/>
      </w:r>
      <w:r>
        <w:rPr>
          <w:b/>
        </w:rPr>
        <w:t>ELEXON Limited</w:t>
      </w:r>
      <w:r>
        <w:t>, registered in England (number 3782949) whose registered office is at 4th Floor, 350 Euston Road, London, NW1 3AW, on its own behalf and on behalf of all the other parties to the BSC Framework Agreement (the "</w:t>
      </w:r>
      <w:r>
        <w:rPr>
          <w:b/>
        </w:rPr>
        <w:t>Authorised Person</w:t>
      </w:r>
      <w:r>
        <w:t>"); and</w:t>
      </w:r>
    </w:p>
    <w:p w:rsidR="006F1BE9" w:rsidRDefault="00D42CD2">
      <w:pPr>
        <w:pStyle w:val="BodyText"/>
        <w:spacing w:after="240" w:line="240" w:lineRule="auto"/>
        <w:ind w:left="851" w:hanging="851"/>
        <w:jc w:val="both"/>
      </w:pPr>
      <w:r>
        <w:t>(2)</w:t>
      </w:r>
      <w:r>
        <w:tab/>
      </w:r>
      <w:r>
        <w:rPr>
          <w:highlight w:val="lightGray"/>
        </w:rPr>
        <w:t>[Insert full name of person wishing to be admitted to the BSC, (insert registered company number)]</w:t>
      </w:r>
      <w:r>
        <w:t xml:space="preserve"> (the "</w:t>
      </w:r>
      <w:r>
        <w:rPr>
          <w:b/>
        </w:rPr>
        <w:t>Party Applicant</w:t>
      </w:r>
      <w:r>
        <w:t xml:space="preserve">") whose principal office is at </w:t>
      </w:r>
      <w:r>
        <w:rPr>
          <w:highlight w:val="lightGray"/>
        </w:rPr>
        <w:t>[insert address of Party]</w:t>
      </w:r>
      <w:r>
        <w:t>.</w:t>
      </w:r>
    </w:p>
    <w:p w:rsidR="006F1BE9" w:rsidRDefault="00D42CD2">
      <w:pPr>
        <w:pStyle w:val="BodyText"/>
        <w:spacing w:after="240" w:line="240" w:lineRule="auto"/>
        <w:ind w:left="851"/>
        <w:jc w:val="both"/>
      </w:pPr>
      <w:r>
        <w:t xml:space="preserve">                                          </w:t>
      </w:r>
    </w:p>
    <w:p w:rsidR="006F1BE9" w:rsidRDefault="00D42CD2">
      <w:pPr>
        <w:pStyle w:val="BodyText"/>
        <w:spacing w:after="240" w:line="240" w:lineRule="auto"/>
        <w:jc w:val="both"/>
        <w:rPr>
          <w:b/>
        </w:rPr>
      </w:pPr>
      <w:r>
        <w:rPr>
          <w:b/>
        </w:rPr>
        <w:t>WHEREAS:</w:t>
      </w:r>
    </w:p>
    <w:p w:rsidR="006F1BE9" w:rsidRDefault="00D42CD2">
      <w:pPr>
        <w:pStyle w:val="BodyText"/>
        <w:spacing w:after="240" w:line="240" w:lineRule="auto"/>
        <w:ind w:left="851" w:hanging="851"/>
        <w:jc w:val="both"/>
      </w:pPr>
      <w:r>
        <w:t>(A)</w:t>
      </w:r>
      <w:r>
        <w:tab/>
        <w:t>By the BSC Framework Agreement dated 14 August 2000 made between the Original Parties named therein and as now in force between the Parties by virtue of any Accession Agreement entered into by any New Party before the date of this Accession Agreement (the "Framework Agreement"), the Parties agreed to give effect to and be bound by the BSC.</w:t>
      </w:r>
    </w:p>
    <w:p w:rsidR="006F1BE9" w:rsidRDefault="00D42CD2">
      <w:pPr>
        <w:pStyle w:val="BodyText"/>
        <w:spacing w:after="240" w:line="240" w:lineRule="auto"/>
        <w:ind w:left="851" w:hanging="851"/>
        <w:jc w:val="both"/>
      </w:pPr>
      <w:r>
        <w:t>(B)</w:t>
      </w:r>
      <w:r>
        <w:tab/>
        <w:t>The Party Applicant has complied with the requirements of the BSC as to accession and wishes to be admitted as a Party.</w:t>
      </w:r>
    </w:p>
    <w:p w:rsidR="006F1BE9" w:rsidRDefault="006F1BE9">
      <w:pPr>
        <w:pStyle w:val="BodyText"/>
        <w:spacing w:after="240" w:line="240" w:lineRule="auto"/>
        <w:jc w:val="both"/>
      </w:pPr>
    </w:p>
    <w:p w:rsidR="006F1BE9" w:rsidRDefault="00D42CD2">
      <w:pPr>
        <w:pStyle w:val="BodyText"/>
        <w:spacing w:after="240" w:line="240" w:lineRule="auto"/>
        <w:jc w:val="both"/>
        <w:rPr>
          <w:b/>
        </w:rPr>
      </w:pPr>
      <w:r>
        <w:rPr>
          <w:b/>
        </w:rPr>
        <w:t xml:space="preserve">IT IS HEREBY AGREED </w:t>
      </w:r>
      <w:r>
        <w:t>as follows:</w:t>
      </w:r>
    </w:p>
    <w:p w:rsidR="006F1BE9" w:rsidRDefault="00D42CD2">
      <w:pPr>
        <w:pStyle w:val="BodyText"/>
        <w:spacing w:after="240" w:line="240" w:lineRule="auto"/>
        <w:ind w:left="851" w:hanging="851"/>
        <w:jc w:val="both"/>
      </w:pPr>
      <w:r>
        <w:t>1.</w:t>
      </w:r>
      <w:r>
        <w:tab/>
        <w:t>In this Accession Agreement, words and expression defined in or for the purposes of the Framework Agreement and not otherwise defined herein shall have the meanings ascribed thereto under the Framework Agreement.</w:t>
      </w:r>
    </w:p>
    <w:p w:rsidR="006F1BE9" w:rsidRDefault="00D42CD2">
      <w:pPr>
        <w:pStyle w:val="BodyText"/>
        <w:spacing w:after="240" w:line="240" w:lineRule="auto"/>
        <w:ind w:left="851" w:hanging="851"/>
        <w:jc w:val="both"/>
      </w:pPr>
      <w:r>
        <w:t>2.</w:t>
      </w:r>
      <w:r>
        <w:tab/>
        <w:t>The Authorised Person (acting on its own behalf and on behalf of each of the other Parties) hereby admits the Party Applicant as an additional Party under the Framework Agreement with effect from the date of this Accession Agreement on the terms and conditions hereof.</w:t>
      </w:r>
    </w:p>
    <w:p w:rsidR="006F1BE9" w:rsidRDefault="00D42CD2">
      <w:pPr>
        <w:pStyle w:val="BodyText"/>
        <w:spacing w:after="240" w:line="240" w:lineRule="auto"/>
        <w:ind w:left="851" w:hanging="851"/>
        <w:jc w:val="both"/>
      </w:pPr>
      <w:r>
        <w:t>3.</w:t>
      </w:r>
      <w:r>
        <w:tab/>
        <w:t>The Party Applicant hereby accepts its admission as a Party and undertakes with the Authorised Person (acting on its own behalf and on behalf of each of the other Parties) to perform and to be bound by the Framework Agreement as a Party as from the date hereof.</w:t>
      </w:r>
    </w:p>
    <w:p w:rsidR="006F1BE9" w:rsidRDefault="00D42CD2">
      <w:pPr>
        <w:pStyle w:val="BodyText"/>
        <w:spacing w:after="240" w:line="240" w:lineRule="auto"/>
        <w:ind w:left="851" w:hanging="851"/>
        <w:jc w:val="both"/>
      </w:pPr>
      <w:r>
        <w:t>4.</w:t>
      </w:r>
      <w:r>
        <w:tab/>
        <w:t>For all purposes in connection with the Framework Agreement the Party Applicant shall as from the date hereof be treated as if it has been a signatory of the Framework Agreement from the date hereof, and as if this Accession Agreement were part of the Framework Agreement from the date hereof, and the rights and obligations of the Parties shall be construed accordingly.</w:t>
      </w:r>
    </w:p>
    <w:p w:rsidR="006F1BE9" w:rsidRDefault="00D42CD2">
      <w:pPr>
        <w:pStyle w:val="BodyText"/>
        <w:spacing w:after="240" w:line="240" w:lineRule="auto"/>
        <w:ind w:left="851" w:hanging="851"/>
        <w:jc w:val="both"/>
      </w:pPr>
      <w:r>
        <w:t>5.</w:t>
      </w:r>
      <w:r>
        <w:tab/>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rsidR="006F1BE9" w:rsidRDefault="00D42CD2">
      <w:pPr>
        <w:pStyle w:val="BodyText"/>
        <w:spacing w:after="240" w:line="240" w:lineRule="auto"/>
        <w:ind w:left="851" w:hanging="851"/>
        <w:jc w:val="both"/>
      </w:pPr>
      <w:r>
        <w:lastRenderedPageBreak/>
        <w:t>6.</w:t>
      </w:r>
      <w:r>
        <w:tab/>
        <w:t>If any provision of this Accession Agreement is or becomes invalid, unenforceable or illegal or is declared to be invalid, unenforceable or illegal by any court of competent jurisdiction or by any other Competent Authority (as defined in the BSC), such invalidity, unenforceability or illegality shall not prejudice or affect the remaining provisions of this Accession Agreement, which shall continue in full force and effect notwithstanding the same.</w:t>
      </w:r>
    </w:p>
    <w:p w:rsidR="006F1BE9" w:rsidRDefault="00D42CD2">
      <w:pPr>
        <w:pStyle w:val="BodyText"/>
        <w:spacing w:after="240" w:line="240" w:lineRule="auto"/>
        <w:ind w:left="851" w:hanging="851"/>
        <w:jc w:val="both"/>
      </w:pPr>
      <w:r>
        <w:t>7.</w:t>
      </w:r>
      <w:r>
        <w:tab/>
        <w:t>This Accession Agreement may be executed in counterparts.</w:t>
      </w:r>
    </w:p>
    <w:p w:rsidR="006F1BE9" w:rsidRDefault="00D42CD2">
      <w:pPr>
        <w:pStyle w:val="BodyText"/>
        <w:spacing w:after="240" w:line="240" w:lineRule="auto"/>
        <w:ind w:left="851" w:hanging="851"/>
        <w:jc w:val="both"/>
      </w:pPr>
      <w:r>
        <w:t>8.</w:t>
      </w:r>
      <w:r>
        <w:tab/>
        <w:t>This Accession Agreement shall be governed by and construed in accordance with the laws of England and Wales and the parties hereby submit to the jurisdiction of the courts of England and Wales and the courts of Scotland only.</w:t>
      </w:r>
    </w:p>
    <w:p w:rsidR="006F1BE9" w:rsidRDefault="00D42CD2">
      <w:pPr>
        <w:pStyle w:val="BodyText"/>
        <w:spacing w:after="240" w:line="240" w:lineRule="auto"/>
        <w:ind w:left="851" w:hanging="851"/>
        <w:jc w:val="both"/>
      </w:pPr>
      <w:r>
        <w:t>9.</w:t>
      </w:r>
      <w:r>
        <w:tab/>
        <w:t>If the Party Applicant is not a company incorporated under the Companies Act 1985 and/or under the Companies Act 2006, as amended or replaced from time to time, it shall provide to the Authorised Person an address in Great Britain for service of process on its behalf in any proceedings; provided that if the Party Applicant fails at any time to provide such address, the Party Applicant shall be deemed to have appointed BSCCo (as defined in the BSC) as its agent to accept service of process on its behalf until and unless it provides to BSCCo an alternative address in Great Britain for these purposes.</w:t>
      </w:r>
    </w:p>
    <w:p w:rsidR="006F1BE9" w:rsidRDefault="006F1BE9">
      <w:pPr>
        <w:pStyle w:val="BodyText"/>
        <w:spacing w:after="240" w:line="240" w:lineRule="auto"/>
        <w:jc w:val="both"/>
      </w:pPr>
    </w:p>
    <w:p w:rsidR="006F1BE9" w:rsidRDefault="00D42CD2">
      <w:pPr>
        <w:pStyle w:val="BodyText"/>
        <w:spacing w:after="240" w:line="240" w:lineRule="auto"/>
        <w:jc w:val="both"/>
      </w:pPr>
      <w:r>
        <w:rPr>
          <w:b/>
        </w:rPr>
        <w:t>AS WITNESS</w:t>
      </w:r>
      <w:r>
        <w:t xml:space="preserve"> the hands of the duly authorised representatives of the parties hereto the day and year first above written.</w:t>
      </w:r>
    </w:p>
    <w:p w:rsidR="006F1BE9" w:rsidRDefault="006F1BE9">
      <w:pPr>
        <w:pStyle w:val="BodyText"/>
        <w:spacing w:after="240" w:line="240" w:lineRule="auto"/>
      </w:pPr>
    </w:p>
    <w:p w:rsidR="006F1BE9" w:rsidRDefault="00D42CD2">
      <w:pPr>
        <w:pStyle w:val="BodyText"/>
        <w:spacing w:after="0" w:line="240" w:lineRule="auto"/>
      </w:pPr>
      <w:r>
        <w:t xml:space="preserve">SIGNED FOR AND ON BEHALF OF </w:t>
      </w:r>
    </w:p>
    <w:p w:rsidR="006F1BE9" w:rsidRDefault="00D42CD2">
      <w:pPr>
        <w:pStyle w:val="BodyText"/>
        <w:tabs>
          <w:tab w:val="right" w:leader="underscore" w:pos="7655"/>
        </w:tabs>
        <w:spacing w:after="240" w:line="240" w:lineRule="auto"/>
      </w:pPr>
      <w:r>
        <w:rPr>
          <w:b/>
        </w:rPr>
        <w:t>ELEXON LIMITED</w:t>
      </w:r>
      <w:r>
        <w:t xml:space="preserve"> BY:</w:t>
      </w:r>
      <w:r>
        <w:tab/>
      </w:r>
      <w:r>
        <w:tab/>
      </w:r>
      <w:r>
        <w:tab/>
      </w:r>
    </w:p>
    <w:p w:rsidR="006F1BE9" w:rsidRDefault="006F1BE9">
      <w:pPr>
        <w:pStyle w:val="BodyText"/>
        <w:tabs>
          <w:tab w:val="right" w:leader="underscore" w:pos="7655"/>
        </w:tabs>
        <w:spacing w:after="240" w:line="240" w:lineRule="auto"/>
      </w:pPr>
    </w:p>
    <w:p w:rsidR="006F1BE9" w:rsidRDefault="00D42CD2">
      <w:pPr>
        <w:pStyle w:val="BodyText"/>
        <w:tabs>
          <w:tab w:val="right" w:leader="underscore" w:pos="7655"/>
        </w:tabs>
        <w:spacing w:after="240" w:line="240" w:lineRule="auto"/>
        <w:ind w:left="3402"/>
      </w:pPr>
      <w:r>
        <w:t>Print Name</w:t>
      </w:r>
      <w:r>
        <w:tab/>
      </w:r>
    </w:p>
    <w:p w:rsidR="006F1BE9" w:rsidRDefault="006F1BE9">
      <w:pPr>
        <w:pStyle w:val="BodyText"/>
      </w:pPr>
    </w:p>
    <w:p w:rsidR="006F1BE9" w:rsidRDefault="00D42CD2">
      <w:pPr>
        <w:pStyle w:val="BodyText"/>
        <w:spacing w:after="0" w:line="240" w:lineRule="auto"/>
      </w:pPr>
      <w:r>
        <w:t>SIGNED FOR AND ON BEHALF OF</w:t>
      </w:r>
    </w:p>
    <w:p w:rsidR="006F1BE9" w:rsidRDefault="00D42CD2">
      <w:pPr>
        <w:pStyle w:val="BodyText"/>
        <w:spacing w:after="240" w:line="240" w:lineRule="auto"/>
        <w:rPr>
          <w:b/>
        </w:rPr>
      </w:pPr>
      <w:r>
        <w:rPr>
          <w:b/>
          <w:highlight w:val="lightGray"/>
        </w:rPr>
        <w:t>[INSERT NAME OF PARTY APPLICANT]</w:t>
      </w:r>
    </w:p>
    <w:p w:rsidR="006F1BE9" w:rsidRDefault="00D42CD2">
      <w:pPr>
        <w:pStyle w:val="BodyText"/>
        <w:tabs>
          <w:tab w:val="right" w:leader="underscore" w:pos="7655"/>
        </w:tabs>
        <w:spacing w:after="240" w:line="240" w:lineRule="auto"/>
      </w:pPr>
      <w:r>
        <w:t>BY:</w:t>
      </w:r>
      <w:r>
        <w:tab/>
      </w:r>
    </w:p>
    <w:p w:rsidR="006F1BE9" w:rsidRDefault="006F1BE9">
      <w:pPr>
        <w:pStyle w:val="BodyText"/>
        <w:spacing w:after="240" w:line="240" w:lineRule="auto"/>
      </w:pPr>
    </w:p>
    <w:p w:rsidR="006F1BE9" w:rsidRDefault="00D42CD2">
      <w:pPr>
        <w:pStyle w:val="BodyText"/>
        <w:tabs>
          <w:tab w:val="right" w:leader="underscore" w:pos="7655"/>
        </w:tabs>
        <w:spacing w:after="240" w:line="240" w:lineRule="auto"/>
        <w:ind w:left="3402"/>
      </w:pPr>
      <w:r>
        <w:t>Print Name</w:t>
      </w:r>
      <w:r>
        <w:tab/>
      </w:r>
    </w:p>
    <w:p w:rsidR="006F1BE9" w:rsidRDefault="006F1BE9">
      <w:pPr>
        <w:pStyle w:val="BodyText"/>
        <w:spacing w:after="240" w:line="240" w:lineRule="auto"/>
      </w:pPr>
    </w:p>
    <w:p w:rsidR="006F1BE9" w:rsidRDefault="00D42CD2">
      <w:pPr>
        <w:pStyle w:val="BodyText"/>
        <w:tabs>
          <w:tab w:val="right" w:leader="underscore" w:pos="7655"/>
        </w:tabs>
        <w:spacing w:after="240" w:line="240" w:lineRule="auto"/>
        <w:ind w:left="3402"/>
      </w:pPr>
      <w:r>
        <w:t>Position</w:t>
      </w:r>
      <w:r>
        <w:tab/>
      </w:r>
    </w:p>
    <w:p w:rsidR="006F1BE9" w:rsidRDefault="006F1BE9">
      <w:pPr>
        <w:pStyle w:val="BodyText"/>
        <w:spacing w:after="240" w:line="240" w:lineRule="auto"/>
      </w:pPr>
    </w:p>
    <w:p w:rsidR="006F1BE9" w:rsidRDefault="006F1BE9">
      <w:pPr>
        <w:pStyle w:val="BodyText"/>
      </w:pPr>
    </w:p>
    <w:sectPr w:rsidR="006F1BE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E9" w:rsidRDefault="00D42CD2">
      <w:pPr>
        <w:spacing w:after="0"/>
      </w:pPr>
      <w:r>
        <w:separator/>
      </w:r>
    </w:p>
  </w:endnote>
  <w:endnote w:type="continuationSeparator" w:id="0">
    <w:p w:rsidR="006F1BE9" w:rsidRDefault="00D42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E9" w:rsidRDefault="00D42CD2">
    <w:pPr>
      <w:pStyle w:val="Footer"/>
      <w:pBdr>
        <w:top w:val="single" w:sz="2" w:space="6" w:color="auto"/>
      </w:pBdr>
      <w:tabs>
        <w:tab w:val="clear" w:pos="4513"/>
        <w:tab w:val="clear" w:pos="9026"/>
        <w:tab w:val="right" w:pos="9070"/>
      </w:tabs>
      <w:spacing w:line="240" w:lineRule="auto"/>
      <w:rPr>
        <w:color w:val="auto"/>
        <w:sz w:val="16"/>
        <w:szCs w:val="16"/>
      </w:rPr>
    </w:pPr>
    <w:r>
      <w:rPr>
        <w:color w:val="auto"/>
        <w:sz w:val="16"/>
        <w:szCs w:val="16"/>
      </w:rPr>
      <w:t>8 August 2013</w:t>
    </w:r>
    <w:r>
      <w:rPr>
        <w:color w:val="auto"/>
        <w:sz w:val="16"/>
        <w:szCs w:val="16"/>
      </w:rPr>
      <w:tab/>
      <w:t>v4.0</w:t>
    </w:r>
  </w:p>
  <w:p w:rsidR="006F1BE9" w:rsidRDefault="00D42CD2">
    <w:pPr>
      <w:pStyle w:val="Footer"/>
      <w:pBdr>
        <w:top w:val="single" w:sz="2" w:space="6" w:color="auto"/>
      </w:pBdr>
      <w:tabs>
        <w:tab w:val="clear" w:pos="4513"/>
        <w:tab w:val="clear" w:pos="9026"/>
        <w:tab w:val="right" w:pos="9070"/>
      </w:tabs>
      <w:spacing w:line="240" w:lineRule="auto"/>
      <w:rPr>
        <w:color w:val="auto"/>
        <w:sz w:val="16"/>
        <w:szCs w:val="16"/>
      </w:rPr>
    </w:pPr>
    <w:r>
      <w:rPr>
        <w:color w:val="auto"/>
        <w:sz w:val="16"/>
        <w:szCs w:val="16"/>
      </w:rPr>
      <w:t>© ELEXON Limited 2013</w:t>
    </w:r>
    <w:r>
      <w:rPr>
        <w:color w:val="auto"/>
        <w:sz w:val="16"/>
        <w:szCs w:val="16"/>
      </w:rPr>
      <w:tab/>
    </w:r>
    <w:r>
      <w:rPr>
        <w:color w:val="auto"/>
        <w:sz w:val="16"/>
      </w:rPr>
      <w:t xml:space="preserve">Page </w:t>
    </w:r>
    <w:r>
      <w:rPr>
        <w:color w:val="auto"/>
        <w:sz w:val="16"/>
      </w:rPr>
      <w:fldChar w:fldCharType="begin"/>
    </w:r>
    <w:r>
      <w:rPr>
        <w:color w:val="auto"/>
        <w:sz w:val="16"/>
      </w:rPr>
      <w:instrText xml:space="preserve"> PAGE </w:instrText>
    </w:r>
    <w:r>
      <w:rPr>
        <w:color w:val="auto"/>
        <w:sz w:val="16"/>
      </w:rPr>
      <w:fldChar w:fldCharType="separate"/>
    </w:r>
    <w:r w:rsidR="0085524C">
      <w:rPr>
        <w:noProof/>
        <w:color w:val="auto"/>
        <w:sz w:val="16"/>
      </w:rPr>
      <w:t>2</w:t>
    </w:r>
    <w:r>
      <w:rPr>
        <w:color w:val="auto"/>
        <w:sz w:val="16"/>
      </w:rPr>
      <w:fldChar w:fldCharType="end"/>
    </w:r>
    <w:r>
      <w:rPr>
        <w:color w:val="auto"/>
        <w:sz w:val="16"/>
      </w:rPr>
      <w:t xml:space="preserve"> of </w:t>
    </w:r>
    <w:r>
      <w:rPr>
        <w:color w:val="auto"/>
        <w:sz w:val="16"/>
      </w:rPr>
      <w:fldChar w:fldCharType="begin"/>
    </w:r>
    <w:r>
      <w:rPr>
        <w:color w:val="auto"/>
        <w:sz w:val="16"/>
      </w:rPr>
      <w:instrText xml:space="preserve"> NUMPAGES </w:instrText>
    </w:r>
    <w:r>
      <w:rPr>
        <w:color w:val="auto"/>
        <w:sz w:val="16"/>
      </w:rPr>
      <w:fldChar w:fldCharType="separate"/>
    </w:r>
    <w:r w:rsidR="0085524C">
      <w:rPr>
        <w:noProof/>
        <w:color w:val="auto"/>
        <w:sz w:val="16"/>
      </w:rPr>
      <w:t>3</w:t>
    </w:r>
    <w:r>
      <w:rPr>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E9" w:rsidRDefault="00D42CD2">
    <w:pPr>
      <w:pStyle w:val="Footer"/>
      <w:pBdr>
        <w:top w:val="single" w:sz="2" w:space="6" w:color="auto"/>
      </w:pBdr>
      <w:tabs>
        <w:tab w:val="clear" w:pos="4513"/>
        <w:tab w:val="clear" w:pos="9026"/>
        <w:tab w:val="right" w:pos="9070"/>
      </w:tabs>
      <w:spacing w:line="240" w:lineRule="auto"/>
      <w:rPr>
        <w:color w:val="auto"/>
        <w:sz w:val="16"/>
        <w:szCs w:val="16"/>
      </w:rPr>
    </w:pPr>
    <w:r>
      <w:rPr>
        <w:color w:val="auto"/>
        <w:sz w:val="16"/>
        <w:szCs w:val="16"/>
      </w:rPr>
      <w:t>8 August 2013</w:t>
    </w:r>
    <w:r>
      <w:rPr>
        <w:color w:val="auto"/>
        <w:sz w:val="16"/>
        <w:szCs w:val="16"/>
      </w:rPr>
      <w:tab/>
      <w:t>v4.0</w:t>
    </w:r>
  </w:p>
  <w:p w:rsidR="006F1BE9" w:rsidRDefault="00D42CD2">
    <w:pPr>
      <w:pStyle w:val="Footer"/>
      <w:pBdr>
        <w:top w:val="single" w:sz="2" w:space="6" w:color="auto"/>
      </w:pBdr>
      <w:tabs>
        <w:tab w:val="clear" w:pos="4513"/>
        <w:tab w:val="clear" w:pos="9026"/>
        <w:tab w:val="right" w:pos="9070"/>
      </w:tabs>
      <w:spacing w:line="240" w:lineRule="auto"/>
      <w:rPr>
        <w:color w:val="auto"/>
        <w:sz w:val="16"/>
        <w:szCs w:val="16"/>
      </w:rPr>
    </w:pPr>
    <w:r>
      <w:rPr>
        <w:color w:val="auto"/>
        <w:sz w:val="16"/>
        <w:szCs w:val="16"/>
      </w:rPr>
      <w:t>© ELEXON Limited 2013</w:t>
    </w:r>
    <w:r>
      <w:rPr>
        <w:color w:val="auto"/>
        <w:sz w:val="16"/>
        <w:szCs w:val="16"/>
      </w:rPr>
      <w:tab/>
    </w:r>
    <w:r>
      <w:rPr>
        <w:color w:val="auto"/>
        <w:sz w:val="16"/>
      </w:rPr>
      <w:t xml:space="preserve">Page </w:t>
    </w:r>
    <w:r>
      <w:rPr>
        <w:color w:val="auto"/>
        <w:sz w:val="16"/>
      </w:rPr>
      <w:fldChar w:fldCharType="begin"/>
    </w:r>
    <w:r>
      <w:rPr>
        <w:color w:val="auto"/>
        <w:sz w:val="16"/>
      </w:rPr>
      <w:instrText xml:space="preserve"> PAGE </w:instrText>
    </w:r>
    <w:r>
      <w:rPr>
        <w:color w:val="auto"/>
        <w:sz w:val="16"/>
      </w:rPr>
      <w:fldChar w:fldCharType="separate"/>
    </w:r>
    <w:r w:rsidR="0085524C">
      <w:rPr>
        <w:noProof/>
        <w:color w:val="auto"/>
        <w:sz w:val="16"/>
      </w:rPr>
      <w:t>1</w:t>
    </w:r>
    <w:r>
      <w:rPr>
        <w:color w:val="auto"/>
        <w:sz w:val="16"/>
      </w:rPr>
      <w:fldChar w:fldCharType="end"/>
    </w:r>
    <w:r>
      <w:rPr>
        <w:color w:val="auto"/>
        <w:sz w:val="16"/>
      </w:rPr>
      <w:t xml:space="preserve"> of </w:t>
    </w:r>
    <w:r>
      <w:rPr>
        <w:color w:val="auto"/>
        <w:sz w:val="16"/>
      </w:rPr>
      <w:fldChar w:fldCharType="begin"/>
    </w:r>
    <w:r>
      <w:rPr>
        <w:color w:val="auto"/>
        <w:sz w:val="16"/>
      </w:rPr>
      <w:instrText xml:space="preserve"> NUMPAGES </w:instrText>
    </w:r>
    <w:r>
      <w:rPr>
        <w:color w:val="auto"/>
        <w:sz w:val="16"/>
      </w:rPr>
      <w:fldChar w:fldCharType="separate"/>
    </w:r>
    <w:r w:rsidR="0085524C">
      <w:rPr>
        <w:noProof/>
        <w:color w:val="auto"/>
        <w:sz w:val="16"/>
      </w:rPr>
      <w:t>3</w:t>
    </w:r>
    <w:r>
      <w:rPr>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E9" w:rsidRDefault="00D42CD2">
      <w:pPr>
        <w:spacing w:after="0"/>
      </w:pPr>
      <w:r>
        <w:separator/>
      </w:r>
    </w:p>
  </w:footnote>
  <w:footnote w:type="continuationSeparator" w:id="0">
    <w:p w:rsidR="006F1BE9" w:rsidRDefault="00D42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E9" w:rsidRDefault="006F1BE9">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E9" w:rsidRDefault="006F1BE9">
    <w:pPr>
      <w:spacing w:after="0"/>
      <w:rPr>
        <w:color w:val="auto"/>
      </w:rPr>
    </w:pPr>
  </w:p>
  <w:p w:rsidR="006F1BE9" w:rsidRDefault="006F1BE9">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D104F0F"/>
    <w:multiLevelType w:val="hybridMultilevel"/>
    <w:tmpl w:val="8A8A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FC366AE"/>
    <w:multiLevelType w:val="hybridMultilevel"/>
    <w:tmpl w:val="F50A0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86034"/>
    <w:multiLevelType w:val="multilevel"/>
    <w:tmpl w:val="C42A0350"/>
    <w:numStyleLink w:val="Style2"/>
  </w:abstractNum>
  <w:abstractNum w:abstractNumId="6"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4F20299"/>
    <w:multiLevelType w:val="hybridMultilevel"/>
    <w:tmpl w:val="05643B66"/>
    <w:lvl w:ilvl="0" w:tplc="2514C0FA">
      <w:start w:val="1"/>
      <w:numFmt w:val="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2" w15:restartNumberingAfterBreak="0">
    <w:nsid w:val="2C631EC8"/>
    <w:multiLevelType w:val="multilevel"/>
    <w:tmpl w:val="09926E06"/>
    <w:lvl w:ilvl="0">
      <w:start w:val="1"/>
      <w:numFmt w:val="decimal"/>
      <w:lvlText w:val="%1."/>
      <w:lvlJc w:val="left"/>
      <w:pPr>
        <w:ind w:left="360" w:hanging="360"/>
      </w:pPr>
      <w:rPr>
        <w:rFonts w:hint="default"/>
        <w:b/>
        <w:i w:val="0"/>
        <w:color w:val="008DA8"/>
        <w:sz w:val="24"/>
      </w:rPr>
    </w:lvl>
    <w:lvl w:ilvl="1">
      <w:start w:val="1"/>
      <w:numFmt w:val="decimal"/>
      <w:pStyle w:val="ParagraphList"/>
      <w:lvlText w:val="%1.%2."/>
      <w:lvlJc w:val="left"/>
      <w:pPr>
        <w:ind w:left="567" w:hanging="567"/>
      </w:pPr>
      <w:rPr>
        <w:rFonts w:hint="default"/>
        <w:b w:val="0"/>
        <w:color w:val="414042"/>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D520A4"/>
    <w:multiLevelType w:val="hybridMultilevel"/>
    <w:tmpl w:val="DC22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15250"/>
    <w:multiLevelType w:val="multilevel"/>
    <w:tmpl w:val="C42A0350"/>
    <w:numStyleLink w:val="Style2"/>
  </w:abstractNum>
  <w:abstractNum w:abstractNumId="16"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466BA"/>
    <w:multiLevelType w:val="hybridMultilevel"/>
    <w:tmpl w:val="CA70DB88"/>
    <w:lvl w:ilvl="0" w:tplc="CB646504">
      <w:numFmt w:val="bullet"/>
      <w:lvlText w:val="•"/>
      <w:lvlJc w:val="left"/>
      <w:pPr>
        <w:ind w:left="1215" w:hanging="855"/>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5237C"/>
    <w:multiLevelType w:val="hybridMultilevel"/>
    <w:tmpl w:val="1406A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59EA238B"/>
    <w:multiLevelType w:val="hybridMultilevel"/>
    <w:tmpl w:val="8842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A2FCC"/>
    <w:multiLevelType w:val="multilevel"/>
    <w:tmpl w:val="5BA4F87E"/>
    <w:lvl w:ilvl="0">
      <w:start w:val="1"/>
      <w:numFmt w:val="decimal"/>
      <w:lvlText w:val="%1."/>
      <w:lvlJc w:val="left"/>
      <w:pPr>
        <w:ind w:left="360" w:hanging="360"/>
      </w:pPr>
      <w:rPr>
        <w:b/>
        <w:color w:val="008DA8"/>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4D453B"/>
    <w:multiLevelType w:val="multilevel"/>
    <w:tmpl w:val="0809001D"/>
    <w:numStyleLink w:val="Style1"/>
  </w:abstractNum>
  <w:abstractNum w:abstractNumId="31" w15:restartNumberingAfterBreak="0">
    <w:nsid w:val="76D646EC"/>
    <w:multiLevelType w:val="hybridMultilevel"/>
    <w:tmpl w:val="70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9"/>
  </w:num>
  <w:num w:numId="2">
    <w:abstractNumId w:val="25"/>
  </w:num>
  <w:num w:numId="3">
    <w:abstractNumId w:val="33"/>
  </w:num>
  <w:num w:numId="4">
    <w:abstractNumId w:val="35"/>
  </w:num>
  <w:num w:numId="5">
    <w:abstractNumId w:val="2"/>
  </w:num>
  <w:num w:numId="6">
    <w:abstractNumId w:val="11"/>
  </w:num>
  <w:num w:numId="7">
    <w:abstractNumId w:val="6"/>
  </w:num>
  <w:num w:numId="8">
    <w:abstractNumId w:val="32"/>
  </w:num>
  <w:num w:numId="9">
    <w:abstractNumId w:val="30"/>
  </w:num>
  <w:num w:numId="10">
    <w:abstractNumId w:val="24"/>
  </w:num>
  <w:num w:numId="11">
    <w:abstractNumId w:val="15"/>
  </w:num>
  <w:num w:numId="12">
    <w:abstractNumId w:val="5"/>
  </w:num>
  <w:num w:numId="13">
    <w:abstractNumId w:val="3"/>
  </w:num>
  <w:num w:numId="14">
    <w:abstractNumId w:val="7"/>
  </w:num>
  <w:num w:numId="15">
    <w:abstractNumId w:val="23"/>
  </w:num>
  <w:num w:numId="16">
    <w:abstractNumId w:val="8"/>
  </w:num>
  <w:num w:numId="17">
    <w:abstractNumId w:val="9"/>
  </w:num>
  <w:num w:numId="18">
    <w:abstractNumId w:val="23"/>
    <w:lvlOverride w:ilvl="0">
      <w:startOverride w:val="1"/>
    </w:lvlOverride>
  </w:num>
  <w:num w:numId="19">
    <w:abstractNumId w:val="34"/>
  </w:num>
  <w:num w:numId="20">
    <w:abstractNumId w:val="20"/>
  </w:num>
  <w:num w:numId="21">
    <w:abstractNumId w:val="28"/>
  </w:num>
  <w:num w:numId="22">
    <w:abstractNumId w:val="7"/>
  </w:num>
  <w:num w:numId="23">
    <w:abstractNumId w:val="23"/>
  </w:num>
  <w:num w:numId="24">
    <w:abstractNumId w:val="20"/>
  </w:num>
  <w:num w:numId="25">
    <w:abstractNumId w:val="28"/>
  </w:num>
  <w:num w:numId="26">
    <w:abstractNumId w:val="7"/>
  </w:num>
  <w:num w:numId="27">
    <w:abstractNumId w:val="23"/>
  </w:num>
  <w:num w:numId="28">
    <w:abstractNumId w:val="20"/>
  </w:num>
  <w:num w:numId="29">
    <w:abstractNumId w:val="16"/>
  </w:num>
  <w:num w:numId="30">
    <w:abstractNumId w:val="0"/>
  </w:num>
  <w:num w:numId="31">
    <w:abstractNumId w:val="18"/>
  </w:num>
  <w:num w:numId="32">
    <w:abstractNumId w:val="14"/>
  </w:num>
  <w:num w:numId="33">
    <w:abstractNumId w:val="21"/>
  </w:num>
  <w:num w:numId="34">
    <w:abstractNumId w:val="19"/>
  </w:num>
  <w:num w:numId="35">
    <w:abstractNumId w:val="27"/>
  </w:num>
  <w:num w:numId="36">
    <w:abstractNumId w:val="12"/>
  </w:num>
  <w:num w:numId="37">
    <w:abstractNumId w:val="26"/>
  </w:num>
  <w:num w:numId="38">
    <w:abstractNumId w:val="13"/>
  </w:num>
  <w:num w:numId="39">
    <w:abstractNumId w:val="22"/>
  </w:num>
  <w:num w:numId="40">
    <w:abstractNumId w:val="4"/>
  </w:num>
  <w:num w:numId="41">
    <w:abstractNumId w:val="31"/>
  </w:num>
  <w:num w:numId="42">
    <w:abstractNumId w:val="10"/>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00"/>
  <w:displayHorizontalDrawingGridEvery w:val="2"/>
  <w:displayVerticalDrawingGridEvery w:val="2"/>
  <w:characterSpacingControl w:val="doNotCompress"/>
  <w:hdrShapeDefaults>
    <o:shapedefaults v:ext="edit" spidmax="716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E9"/>
    <w:rsid w:val="006F1BE9"/>
    <w:rsid w:val="0085524C"/>
    <w:rsid w:val="00C81B98"/>
    <w:rsid w:val="00D42CD2"/>
    <w:rsid w:val="00F3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fillcolor="none [3214]" strokecolor="none [3215]">
      <v:fill color="none [3214]"/>
      <v:stroke color="none [3215]" weight="1pt"/>
    </o:shapedefaults>
    <o:shapelayout v:ext="edit">
      <o:idmap v:ext="edit" data="1"/>
    </o:shapelayout>
  </w:shapeDefaults>
  <w:decimalSymbol w:val="."/>
  <w:listSeparator w:val=","/>
  <w15:docId w15:val="{E574129B-6308-49CC-AF67-8AD5FDD9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CE86-EA86-4381-815D-D6FE2995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BSC Accession Agreement</vt:lpstr>
    </vt:vector>
  </TitlesOfParts>
  <Company>ELEXON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Accession Agreement</dc:title>
  <dc:subject>Organisations wishing to become a BSC Party must complete this agreement in order to accede to the BSC.</dc:subject>
  <dc:creator>ELEXON</dc:creator>
  <cp:keywords>BSC,Accession,Agreement</cp:keywords>
  <cp:lastModifiedBy>Deborah Chapman</cp:lastModifiedBy>
  <cp:revision>2</cp:revision>
  <cp:lastPrinted>2019-08-02T12:07:00Z</cp:lastPrinted>
  <dcterms:created xsi:type="dcterms:W3CDTF">2019-08-02T12:09:00Z</dcterms:created>
  <dcterms:modified xsi:type="dcterms:W3CDTF">2019-08-02T12:09:00Z</dcterms:modified>
  <cp:category>Guidance Notes</cp:category>
</cp:coreProperties>
</file>