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C265E0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6544C6">
              <w:t>34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544C6" w:rsidP="00D43A7C">
            <w:pPr>
              <w:pStyle w:val="Date"/>
            </w:pPr>
            <w:r>
              <w:t>13 August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4961DE" w:rsidP="004E3A2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00534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D3423D">
              <w:fldChar w:fldCharType="begin"/>
            </w:r>
            <w:r w:rsidR="00D3423D">
              <w:instrText xml:space="preserve"> NUMPAGES  \* Arabic  \* MERGEFORMAT </w:instrText>
            </w:r>
            <w:r w:rsidR="00D3423D">
              <w:fldChar w:fldCharType="separate"/>
            </w:r>
            <w:r w:rsidR="005416F4">
              <w:rPr>
                <w:noProof/>
              </w:rPr>
              <w:t>3</w:t>
            </w:r>
            <w:r w:rsidR="00D3423D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17D06" w:rsidP="00DC354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 August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606F3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20613C">
        <w:rPr>
          <w:color w:val="auto"/>
        </w:rPr>
        <w:t>9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20613C" w:rsidP="00C07404">
            <w:pPr>
              <w:pStyle w:val="Tabletext"/>
            </w:pPr>
            <w:r>
              <w:t>M2205</w:t>
            </w:r>
          </w:p>
        </w:tc>
        <w:tc>
          <w:tcPr>
            <w:tcW w:w="1211" w:type="dxa"/>
            <w:vAlign w:val="center"/>
          </w:tcPr>
          <w:p w:rsidR="00223592" w:rsidRPr="00C07404" w:rsidRDefault="006544C6" w:rsidP="00546589">
            <w:pPr>
              <w:pStyle w:val="Tabletext"/>
            </w:pPr>
            <w:r>
              <w:t>HARL</w:t>
            </w:r>
          </w:p>
        </w:tc>
        <w:tc>
          <w:tcPr>
            <w:tcW w:w="7974" w:type="dxa"/>
            <w:vAlign w:val="center"/>
          </w:tcPr>
          <w:p w:rsidR="00223592" w:rsidRDefault="000606F3" w:rsidP="00546589">
            <w:pPr>
              <w:pStyle w:val="Tabletext"/>
            </w:pPr>
            <w:r>
              <w:t>Creation of new Valid Half Hourly and Non Half Hourly C</w:t>
            </w:r>
            <w:r w:rsidR="00D87210">
              <w:t xml:space="preserve">ombinations for an </w:t>
            </w:r>
            <w:r w:rsidR="00D87210">
              <w:t>independent distribution network operator (IDNO)</w:t>
            </w:r>
            <w:r w:rsidR="00D87210">
              <w:t xml:space="preserve"> to operate within the GB Market.</w:t>
            </w:r>
          </w:p>
          <w:p w:rsidR="00457030" w:rsidRPr="00457030" w:rsidRDefault="00457030" w:rsidP="000606F3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From: </w:t>
            </w:r>
            <w:r w:rsidR="000606F3">
              <w:rPr>
                <w:i/>
              </w:rPr>
              <w:t>17/09/</w:t>
            </w:r>
            <w:r>
              <w:rPr>
                <w:i/>
              </w:rPr>
              <w:t>2014</w:t>
            </w:r>
          </w:p>
        </w:tc>
      </w:tr>
      <w:tr w:rsidR="00223592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20613C" w:rsidP="00C07404">
            <w:pPr>
              <w:pStyle w:val="Tabletext"/>
            </w:pPr>
            <w:r>
              <w:t>M2206</w:t>
            </w:r>
          </w:p>
        </w:tc>
        <w:tc>
          <w:tcPr>
            <w:tcW w:w="1211" w:type="dxa"/>
            <w:vAlign w:val="center"/>
          </w:tcPr>
          <w:p w:rsidR="00223592" w:rsidRPr="00C07404" w:rsidRDefault="002C1E7E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913D61" w:rsidRDefault="00913D61" w:rsidP="00913D61">
            <w:pPr>
              <w:pStyle w:val="Tabletext"/>
            </w:pPr>
            <w:r>
              <w:t xml:space="preserve">Creation of new Valid </w:t>
            </w:r>
            <w:r w:rsidR="00D87210">
              <w:t>Average Fraction of Yearly Consumption Set</w:t>
            </w:r>
            <w:r>
              <w:t xml:space="preserve">, new </w:t>
            </w:r>
            <w:r w:rsidR="00D87210">
              <w:t>Average Fraction of Yearly Consumption</w:t>
            </w:r>
            <w:r>
              <w:t xml:space="preserve">, and </w:t>
            </w:r>
            <w:r w:rsidR="00D87210" w:rsidRPr="00D87210">
              <w:t xml:space="preserve">GSP Group Daily Profile Class Average EAC </w:t>
            </w:r>
            <w:r w:rsidR="00D87210">
              <w:t>Combination</w:t>
            </w:r>
          </w:p>
          <w:p w:rsidR="00457030" w:rsidRPr="00457030" w:rsidRDefault="00457030" w:rsidP="000606F3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From: </w:t>
            </w:r>
            <w:r w:rsidR="000606F3">
              <w:rPr>
                <w:i/>
              </w:rPr>
              <w:t>17/09</w:t>
            </w:r>
            <w:r>
              <w:rPr>
                <w:i/>
              </w:rPr>
              <w:t>/2014</w:t>
            </w:r>
          </w:p>
        </w:tc>
      </w:tr>
      <w:tr w:rsidR="00223592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223592" w:rsidRPr="00C07404" w:rsidRDefault="0020613C" w:rsidP="00C07404">
            <w:pPr>
              <w:pStyle w:val="Tabletext"/>
            </w:pPr>
            <w:r>
              <w:t>M2207</w:t>
            </w:r>
          </w:p>
        </w:tc>
        <w:tc>
          <w:tcPr>
            <w:tcW w:w="1211" w:type="dxa"/>
            <w:vAlign w:val="center"/>
          </w:tcPr>
          <w:p w:rsidR="00223592" w:rsidRPr="00C07404" w:rsidRDefault="002C1E7E" w:rsidP="006544C6">
            <w:pPr>
              <w:pStyle w:val="Tabletext"/>
            </w:pPr>
            <w:r>
              <w:t>L</w:t>
            </w:r>
            <w:r w:rsidR="006544C6">
              <w:t>OND</w:t>
            </w:r>
          </w:p>
        </w:tc>
        <w:tc>
          <w:tcPr>
            <w:tcW w:w="7974" w:type="dxa"/>
            <w:vAlign w:val="center"/>
          </w:tcPr>
          <w:p w:rsidR="00404192" w:rsidRDefault="00D87210" w:rsidP="00404192">
            <w:pPr>
              <w:pStyle w:val="Tabletext"/>
            </w:pPr>
            <w:r>
              <w:t>R</w:t>
            </w:r>
            <w:r w:rsidR="00404192">
              <w:t xml:space="preserve">e-opening and change to </w:t>
            </w:r>
            <w:r>
              <w:t xml:space="preserve">Line Loss Factor Class </w:t>
            </w:r>
            <w:r w:rsidR="00666FC2">
              <w:t>Description</w:t>
            </w:r>
          </w:p>
          <w:p w:rsidR="00457030" w:rsidRPr="00457030" w:rsidRDefault="00457030" w:rsidP="000B6CE1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From: </w:t>
            </w:r>
            <w:r w:rsidR="000606F3">
              <w:rPr>
                <w:i/>
              </w:rPr>
              <w:t>17/09/2014</w:t>
            </w:r>
          </w:p>
        </w:tc>
      </w:tr>
      <w:tr w:rsidR="00C66641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0613C" w:rsidP="00C07404">
            <w:pPr>
              <w:pStyle w:val="Tabletext"/>
            </w:pPr>
            <w:r>
              <w:t>M2208</w:t>
            </w:r>
          </w:p>
        </w:tc>
        <w:tc>
          <w:tcPr>
            <w:tcW w:w="1211" w:type="dxa"/>
            <w:vAlign w:val="center"/>
          </w:tcPr>
          <w:p w:rsidR="00C66641" w:rsidRPr="00C07404" w:rsidRDefault="006544C6" w:rsidP="00546589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666FC2" w:rsidRDefault="00666FC2" w:rsidP="00666FC2">
            <w:pPr>
              <w:pStyle w:val="Tabletext"/>
            </w:pPr>
            <w:r>
              <w:t>Change</w:t>
            </w:r>
            <w:r w:rsidRPr="00C71BF5">
              <w:t xml:space="preserve"> </w:t>
            </w:r>
            <w:r>
              <w:t>of</w:t>
            </w:r>
            <w:r w:rsidRPr="00C71BF5">
              <w:t xml:space="preserve"> Line Loss Factor Class Description</w:t>
            </w:r>
          </w:p>
          <w:p w:rsidR="00457030" w:rsidRPr="00457030" w:rsidRDefault="00666FC2" w:rsidP="00666FC2">
            <w:pPr>
              <w:pStyle w:val="Tabletext"/>
              <w:rPr>
                <w:i/>
              </w:rPr>
            </w:pPr>
            <w:r>
              <w:rPr>
                <w:i/>
              </w:rPr>
              <w:t>Effective From: 17/09/2014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0613C" w:rsidP="00C07404">
            <w:pPr>
              <w:pStyle w:val="Tabletext"/>
            </w:pPr>
            <w:r>
              <w:t>M2209</w:t>
            </w:r>
          </w:p>
        </w:tc>
        <w:tc>
          <w:tcPr>
            <w:tcW w:w="1211" w:type="dxa"/>
            <w:vAlign w:val="center"/>
          </w:tcPr>
          <w:p w:rsidR="00C66641" w:rsidRPr="00C07404" w:rsidRDefault="006544C6" w:rsidP="00546589">
            <w:pPr>
              <w:pStyle w:val="Tabletext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666FC2" w:rsidRDefault="00666FC2" w:rsidP="00666FC2">
            <w:pPr>
              <w:pStyle w:val="Tabletext"/>
            </w:pPr>
            <w:r>
              <w:t>Change</w:t>
            </w:r>
            <w:r w:rsidRPr="00C71BF5">
              <w:t xml:space="preserve"> </w:t>
            </w:r>
            <w:r>
              <w:t>of</w:t>
            </w:r>
            <w:r w:rsidRPr="00C71BF5">
              <w:t xml:space="preserve"> Line Loss Factor Class Description</w:t>
            </w:r>
          </w:p>
          <w:p w:rsidR="00457030" w:rsidRPr="00457030" w:rsidRDefault="00666FC2" w:rsidP="00666FC2">
            <w:pPr>
              <w:pStyle w:val="Tabletext"/>
              <w:rPr>
                <w:i/>
              </w:rPr>
            </w:pPr>
            <w:r>
              <w:rPr>
                <w:i/>
              </w:rPr>
              <w:t>Effective From: 17/09/2014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0613C" w:rsidP="00C07404">
            <w:pPr>
              <w:pStyle w:val="Tabletext"/>
            </w:pPr>
            <w:r>
              <w:t>M2210</w:t>
            </w:r>
          </w:p>
        </w:tc>
        <w:tc>
          <w:tcPr>
            <w:tcW w:w="1211" w:type="dxa"/>
            <w:vAlign w:val="center"/>
          </w:tcPr>
          <w:p w:rsidR="00C66641" w:rsidRPr="00C07404" w:rsidRDefault="00A547DC" w:rsidP="00546589">
            <w:pPr>
              <w:pStyle w:val="Tabletext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666FC2" w:rsidRDefault="00666FC2" w:rsidP="00666FC2">
            <w:pPr>
              <w:pStyle w:val="Tabletext"/>
            </w:pPr>
            <w:r>
              <w:t>Change</w:t>
            </w:r>
            <w:r w:rsidRPr="00C71BF5">
              <w:t xml:space="preserve"> </w:t>
            </w:r>
            <w:r>
              <w:t>of</w:t>
            </w:r>
            <w:r w:rsidRPr="00C71BF5">
              <w:t xml:space="preserve"> Line Loss Factor Class Description</w:t>
            </w:r>
          </w:p>
          <w:p w:rsidR="00457030" w:rsidRPr="00457030" w:rsidRDefault="00666FC2" w:rsidP="00666FC2">
            <w:pPr>
              <w:pStyle w:val="Tabletext"/>
              <w:rPr>
                <w:i/>
              </w:rPr>
            </w:pPr>
            <w:r>
              <w:rPr>
                <w:i/>
              </w:rPr>
              <w:t>Effective From: 17/09/2014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0613C" w:rsidP="00C07404">
            <w:pPr>
              <w:pStyle w:val="Tabletext"/>
            </w:pPr>
            <w:r>
              <w:t>M2211</w:t>
            </w:r>
          </w:p>
        </w:tc>
        <w:tc>
          <w:tcPr>
            <w:tcW w:w="1211" w:type="dxa"/>
            <w:vAlign w:val="center"/>
          </w:tcPr>
          <w:p w:rsidR="00C66641" w:rsidRPr="00C07404" w:rsidRDefault="00A547DC" w:rsidP="00546589">
            <w:pPr>
              <w:pStyle w:val="Tabletext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C66641" w:rsidRDefault="00666FC2" w:rsidP="00CF22B8">
            <w:pPr>
              <w:pStyle w:val="Tabletext"/>
            </w:pPr>
            <w:r>
              <w:t>Change</w:t>
            </w:r>
            <w:r w:rsidR="00C71BF5" w:rsidRPr="00C71BF5">
              <w:t xml:space="preserve"> </w:t>
            </w:r>
            <w:r w:rsidR="00404192">
              <w:t>of</w:t>
            </w:r>
            <w:r w:rsidR="00C71BF5" w:rsidRPr="00C71BF5">
              <w:t xml:space="preserve"> Line Loss Factor Class Description</w:t>
            </w:r>
          </w:p>
          <w:p w:rsidR="00457030" w:rsidRPr="00457030" w:rsidRDefault="00457030" w:rsidP="00CF22B8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From: </w:t>
            </w:r>
            <w:r w:rsidR="000606F3">
              <w:rPr>
                <w:i/>
              </w:rPr>
              <w:t>17/09/2014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0613C" w:rsidP="00C07404">
            <w:pPr>
              <w:pStyle w:val="Tabletext"/>
            </w:pPr>
            <w:r>
              <w:t>M2212</w:t>
            </w:r>
          </w:p>
        </w:tc>
        <w:tc>
          <w:tcPr>
            <w:tcW w:w="1211" w:type="dxa"/>
            <w:vAlign w:val="center"/>
          </w:tcPr>
          <w:p w:rsidR="00C66641" w:rsidRPr="00C07404" w:rsidRDefault="00A547DC" w:rsidP="00546589">
            <w:pPr>
              <w:pStyle w:val="Tabletext"/>
            </w:pPr>
            <w:r>
              <w:t>SYMB</w:t>
            </w:r>
          </w:p>
        </w:tc>
        <w:tc>
          <w:tcPr>
            <w:tcW w:w="7974" w:type="dxa"/>
            <w:vAlign w:val="center"/>
          </w:tcPr>
          <w:p w:rsidR="00D3423D" w:rsidRDefault="00D3423D" w:rsidP="00AE7AB6">
            <w:pPr>
              <w:pStyle w:val="Tabletext"/>
            </w:pPr>
            <w:r w:rsidRPr="00D3423D">
              <w:t>Change of Company Name</w:t>
            </w:r>
          </w:p>
          <w:p w:rsidR="00457030" w:rsidRPr="00457030" w:rsidRDefault="00457030" w:rsidP="00AE7AB6">
            <w:pPr>
              <w:pStyle w:val="Tabletext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 xml:space="preserve">Effective From: </w:t>
            </w:r>
            <w:r w:rsidR="000606F3">
              <w:rPr>
                <w:i/>
              </w:rPr>
              <w:t>17/09/2014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431962" w:rsidRDefault="0020613C" w:rsidP="00431962">
            <w:pPr>
              <w:pStyle w:val="Tabletext"/>
            </w:pPr>
            <w:r>
              <w:t>M2213</w:t>
            </w:r>
          </w:p>
        </w:tc>
        <w:tc>
          <w:tcPr>
            <w:tcW w:w="1211" w:type="dxa"/>
            <w:vAlign w:val="center"/>
          </w:tcPr>
          <w:p w:rsidR="00C66641" w:rsidRPr="00C66641" w:rsidRDefault="002C1E7E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10EDF" w:rsidRDefault="00C10EDF" w:rsidP="00C10EDF">
            <w:pPr>
              <w:pStyle w:val="Tabletext"/>
            </w:pPr>
            <w:r>
              <w:t>Inclusion of Charge Codes and Switch Regimes for use in the UMS Market</w:t>
            </w:r>
          </w:p>
          <w:p w:rsidR="00457030" w:rsidRPr="00457030" w:rsidRDefault="00A547DC" w:rsidP="00AE7AB6">
            <w:pPr>
              <w:pStyle w:val="Tabletext"/>
              <w:rPr>
                <w:i/>
              </w:rPr>
            </w:pPr>
            <w:r>
              <w:rPr>
                <w:i/>
              </w:rPr>
              <w:t>Effective From: 17/09</w:t>
            </w:r>
            <w:r w:rsidR="00457030">
              <w:rPr>
                <w:i/>
              </w:rPr>
              <w:t>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</w:t>
      </w:r>
      <w:r w:rsidR="0020613C">
        <w:t>3</w:t>
      </w:r>
      <w:r>
        <w:t xml:space="preserve"> on </w:t>
      </w:r>
      <w:r w:rsidR="0020613C" w:rsidRPr="000606F3">
        <w:t>2</w:t>
      </w:r>
      <w:r w:rsidR="00CC649C">
        <w:t xml:space="preserve"> </w:t>
      </w:r>
      <w:r w:rsidR="0020613C">
        <w:t>September</w:t>
      </w:r>
      <w:r w:rsidR="002477AF">
        <w:t xml:space="preserve"> </w:t>
      </w:r>
      <w:r>
        <w:t>2014 for approval.</w:t>
      </w:r>
    </w:p>
    <w:p w:rsidR="00223592" w:rsidRDefault="00223592" w:rsidP="00C07404">
      <w:pPr>
        <w:pStyle w:val="BodyText"/>
      </w:pPr>
      <w:r>
        <w:lastRenderedPageBreak/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0606F3">
        <w:rPr>
          <w:b/>
        </w:rPr>
        <w:t>20 August</w:t>
      </w:r>
      <w:r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220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D43A7C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0606F3">
        <w:rPr>
          <w:b/>
        </w:rPr>
        <w:t>20 August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D43A7C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>the changes proposed in M2205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>with the changes proposed in M2206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>th the changes proposed in M2207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>th the changes proposed in M2208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>th the changes proposed in M2209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>th the changes proposed in M2210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>th the changes proposed in M2211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>th the changes proposed in M2212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>th the changes proposed in M2213</w:t>
      </w:r>
    </w:p>
    <w:p w:rsidR="00223592" w:rsidRDefault="00223592" w:rsidP="00C07404">
      <w:pPr>
        <w:pStyle w:val="BodyText"/>
        <w:rPr>
          <w:b/>
        </w:rPr>
      </w:pPr>
    </w:p>
    <w:p w:rsidR="00517D06" w:rsidRDefault="00517D06" w:rsidP="00C07404">
      <w:pPr>
        <w:pStyle w:val="BodyText"/>
        <w:rPr>
          <w:b/>
        </w:rPr>
      </w:pPr>
    </w:p>
    <w:p w:rsidR="00517D06" w:rsidRPr="00223592" w:rsidRDefault="00517D06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lastRenderedPageBreak/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D3423D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17D06" w:rsidP="00223592">
          <w:pPr>
            <w:pStyle w:val="Footer"/>
          </w:pPr>
          <w:r>
            <w:t>00534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5B22D00" wp14:editId="1F74FED7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423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D3423D">
            <w:fldChar w:fldCharType="begin"/>
          </w:r>
          <w:r w:rsidR="00D3423D">
            <w:instrText xml:space="preserve"> NUMPAGES  \* Arabic  \* MERGEFORMAT </w:instrText>
          </w:r>
          <w:r w:rsidR="00D3423D">
            <w:fldChar w:fldCharType="separate"/>
          </w:r>
          <w:r w:rsidR="00D3423D">
            <w:rPr>
              <w:noProof/>
            </w:rPr>
            <w:t>3</w:t>
          </w:r>
          <w:r w:rsidR="00D3423D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3423D" w:rsidP="00D43A7C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13 August 2014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606F3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D3423D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300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06F3"/>
    <w:rsid w:val="0006412A"/>
    <w:rsid w:val="0006470B"/>
    <w:rsid w:val="00083A4B"/>
    <w:rsid w:val="0009083C"/>
    <w:rsid w:val="000935AD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E6DC0"/>
    <w:rsid w:val="000F670D"/>
    <w:rsid w:val="001002D2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574C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2435"/>
    <w:rsid w:val="003D20BC"/>
    <w:rsid w:val="003D2F63"/>
    <w:rsid w:val="003E3D26"/>
    <w:rsid w:val="003F0ED5"/>
    <w:rsid w:val="0040030D"/>
    <w:rsid w:val="00401A30"/>
    <w:rsid w:val="004022EE"/>
    <w:rsid w:val="00404192"/>
    <w:rsid w:val="00412CE1"/>
    <w:rsid w:val="004204F4"/>
    <w:rsid w:val="00431962"/>
    <w:rsid w:val="0043259F"/>
    <w:rsid w:val="0043358D"/>
    <w:rsid w:val="004523D9"/>
    <w:rsid w:val="0045703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2C04"/>
    <w:rsid w:val="004E3651"/>
    <w:rsid w:val="004E3A21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544C6"/>
    <w:rsid w:val="00660CB1"/>
    <w:rsid w:val="00666FC2"/>
    <w:rsid w:val="006713C4"/>
    <w:rsid w:val="00671888"/>
    <w:rsid w:val="0067742B"/>
    <w:rsid w:val="006807CF"/>
    <w:rsid w:val="00691A37"/>
    <w:rsid w:val="00693B09"/>
    <w:rsid w:val="006954B6"/>
    <w:rsid w:val="0069564B"/>
    <w:rsid w:val="00696C07"/>
    <w:rsid w:val="006A27CE"/>
    <w:rsid w:val="006A3242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143D3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7F56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265E0"/>
    <w:rsid w:val="00C273C7"/>
    <w:rsid w:val="00C37641"/>
    <w:rsid w:val="00C460D2"/>
    <w:rsid w:val="00C47F59"/>
    <w:rsid w:val="00C6596A"/>
    <w:rsid w:val="00C66641"/>
    <w:rsid w:val="00C71BF5"/>
    <w:rsid w:val="00C75A66"/>
    <w:rsid w:val="00C76D37"/>
    <w:rsid w:val="00C82766"/>
    <w:rsid w:val="00C93633"/>
    <w:rsid w:val="00C940BA"/>
    <w:rsid w:val="00C95E62"/>
    <w:rsid w:val="00CB515A"/>
    <w:rsid w:val="00CB7A8B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5918"/>
    <w:rsid w:val="00D55D00"/>
    <w:rsid w:val="00D5644A"/>
    <w:rsid w:val="00D565CB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0C84-FEF7-4548-A90C-865796D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James Townsend</cp:lastModifiedBy>
  <cp:revision>5</cp:revision>
  <cp:lastPrinted>2014-02-10T12:24:00Z</cp:lastPrinted>
  <dcterms:created xsi:type="dcterms:W3CDTF">2014-08-12T14:03:00Z</dcterms:created>
  <dcterms:modified xsi:type="dcterms:W3CDTF">2014-08-13T08:35:00Z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