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686"/>
        <w:gridCol w:w="7632"/>
      </w:tblGrid>
      <w:tr w:rsidR="003A1CE2" w:rsidRPr="00C03F6C" w:rsidTr="003B068D">
        <w:trPr>
          <w:trHeight w:val="550"/>
        </w:trPr>
        <w:tc>
          <w:tcPr>
            <w:tcW w:w="10348" w:type="dxa"/>
            <w:gridSpan w:val="2"/>
            <w:tcBorders>
              <w:bottom w:val="single" w:sz="36" w:space="0" w:color="0090AB" w:themeColor="text2"/>
            </w:tcBorders>
          </w:tcPr>
          <w:p w:rsidR="003A1CE2" w:rsidRPr="00C03F6C" w:rsidRDefault="005046A0" w:rsidP="00E97B53">
            <w:pPr>
              <w:pStyle w:val="Title"/>
            </w:pPr>
            <w:r>
              <w:t>rEPORT FROM THE PAB</w:t>
            </w:r>
          </w:p>
        </w:tc>
      </w:tr>
      <w:tr w:rsidR="00270DC2" w:rsidRPr="00E11F1F" w:rsidTr="003B068D">
        <w:trPr>
          <w:trHeight w:val="482"/>
        </w:trPr>
        <w:tc>
          <w:tcPr>
            <w:tcW w:w="2694" w:type="dxa"/>
            <w:tcBorders>
              <w:top w:val="single" w:sz="36" w:space="0" w:color="0090AB" w:themeColor="text2"/>
              <w:bottom w:val="single" w:sz="36" w:space="0" w:color="DCDCDC" w:themeColor="accent3"/>
            </w:tcBorders>
            <w:vAlign w:val="center"/>
          </w:tcPr>
          <w:p w:rsidR="00270DC2" w:rsidRPr="005423DC" w:rsidRDefault="00EB4318" w:rsidP="00051D61">
            <w:pPr>
              <w:pStyle w:val="Introtabletextblue"/>
            </w:pPr>
            <w:r>
              <w:t>Meeting</w:t>
            </w:r>
            <w:r w:rsidR="00051D61">
              <w:t xml:space="preserve"> name</w:t>
            </w:r>
          </w:p>
        </w:tc>
        <w:tc>
          <w:tcPr>
            <w:tcW w:w="7654" w:type="dxa"/>
            <w:tcBorders>
              <w:top w:val="single" w:sz="36" w:space="0" w:color="0090AB" w:themeColor="text2"/>
              <w:bottom w:val="single" w:sz="36" w:space="0" w:color="DCDCDC" w:themeColor="accent3"/>
            </w:tcBorders>
            <w:vAlign w:val="center"/>
          </w:tcPr>
          <w:p w:rsidR="00270DC2" w:rsidRPr="00C03F6C" w:rsidRDefault="00E97B53" w:rsidP="00E97B53">
            <w:pPr>
              <w:pStyle w:val="Introtabletext"/>
            </w:pPr>
            <w:r>
              <w:t>BSC Panel</w:t>
            </w:r>
          </w:p>
        </w:tc>
      </w:tr>
      <w:tr w:rsidR="00506E22" w:rsidTr="003B068D">
        <w:tc>
          <w:tcPr>
            <w:tcW w:w="2694" w:type="dxa"/>
            <w:tcBorders>
              <w:top w:val="single" w:sz="36" w:space="0" w:color="DCDCDC" w:themeColor="accent3"/>
            </w:tcBorders>
            <w:tcMar>
              <w:top w:w="170" w:type="dxa"/>
            </w:tcMar>
          </w:tcPr>
          <w:p w:rsidR="00506E22" w:rsidRDefault="00506E22" w:rsidP="00FE5A4F">
            <w:pPr>
              <w:pStyle w:val="Introtabletextbold"/>
            </w:pPr>
            <w:r>
              <w:t>Date</w:t>
            </w:r>
            <w:r w:rsidR="00EB4318">
              <w:t xml:space="preserve"> of meeting</w:t>
            </w:r>
          </w:p>
        </w:tc>
        <w:tc>
          <w:tcPr>
            <w:tcW w:w="7654" w:type="dxa"/>
            <w:tcBorders>
              <w:top w:val="single" w:sz="36" w:space="0" w:color="DCDCDC" w:themeColor="accent3"/>
            </w:tcBorders>
            <w:tcMar>
              <w:top w:w="170" w:type="dxa"/>
            </w:tcMar>
          </w:tcPr>
          <w:p w:rsidR="00506E22" w:rsidRDefault="003B068D" w:rsidP="006808D1">
            <w:pPr>
              <w:pStyle w:val="Date"/>
            </w:pPr>
            <w:r>
              <w:t>9 July</w:t>
            </w:r>
            <w:r w:rsidR="00A51F48">
              <w:t xml:space="preserve"> </w:t>
            </w:r>
            <w:r w:rsidR="007F7099">
              <w:t>2015</w:t>
            </w:r>
          </w:p>
        </w:tc>
      </w:tr>
      <w:tr w:rsidR="00EB4318" w:rsidRPr="00E11F1F" w:rsidTr="003B068D">
        <w:tc>
          <w:tcPr>
            <w:tcW w:w="2694" w:type="dxa"/>
            <w:tcMar>
              <w:top w:w="170" w:type="dxa"/>
              <w:bottom w:w="0" w:type="dxa"/>
            </w:tcMar>
          </w:tcPr>
          <w:p w:rsidR="00EB4318" w:rsidRPr="005423DC" w:rsidRDefault="00C63D70" w:rsidP="00FE5A4F">
            <w:pPr>
              <w:pStyle w:val="Introtabletextbold"/>
            </w:pPr>
            <w:r>
              <w:t>Paper number</w:t>
            </w:r>
          </w:p>
        </w:tc>
        <w:tc>
          <w:tcPr>
            <w:tcW w:w="7654" w:type="dxa"/>
            <w:tcMar>
              <w:top w:w="170" w:type="dxa"/>
            </w:tcMar>
          </w:tcPr>
          <w:p w:rsidR="00EB4318" w:rsidRPr="00E11F1F" w:rsidRDefault="006808D1" w:rsidP="00444777">
            <w:pPr>
              <w:pStyle w:val="Introtabletext"/>
            </w:pPr>
            <w:r>
              <w:t>24</w:t>
            </w:r>
            <w:r w:rsidR="00444777">
              <w:t>2</w:t>
            </w:r>
            <w:r w:rsidR="005046A0">
              <w:t>/01c</w:t>
            </w:r>
          </w:p>
        </w:tc>
      </w:tr>
      <w:tr w:rsidR="00EB4318" w:rsidRPr="00E11F1F" w:rsidTr="003B068D">
        <w:tc>
          <w:tcPr>
            <w:tcW w:w="2694" w:type="dxa"/>
            <w:tcMar>
              <w:top w:w="170" w:type="dxa"/>
              <w:bottom w:w="0" w:type="dxa"/>
            </w:tcMar>
          </w:tcPr>
          <w:p w:rsidR="00EB4318" w:rsidRPr="005423DC" w:rsidRDefault="00EB4318" w:rsidP="00FE5A4F">
            <w:pPr>
              <w:pStyle w:val="Introtabletextbold"/>
            </w:pPr>
            <w:r>
              <w:t>Owner/a</w:t>
            </w:r>
            <w:r w:rsidRPr="005423DC">
              <w:t>uthor</w:t>
            </w:r>
          </w:p>
        </w:tc>
        <w:tc>
          <w:tcPr>
            <w:tcW w:w="7654" w:type="dxa"/>
            <w:tcMar>
              <w:top w:w="170" w:type="dxa"/>
            </w:tcMar>
          </w:tcPr>
          <w:p w:rsidR="00EB4318" w:rsidRPr="00E11F1F" w:rsidRDefault="00E97B53" w:rsidP="00FE5A4F">
            <w:pPr>
              <w:pStyle w:val="Introtabletext"/>
            </w:pPr>
            <w:r>
              <w:t>Performance Assurance Board</w:t>
            </w:r>
          </w:p>
        </w:tc>
      </w:tr>
      <w:tr w:rsidR="00270DC2" w:rsidRPr="00E11F1F" w:rsidTr="003B068D">
        <w:tc>
          <w:tcPr>
            <w:tcW w:w="2694" w:type="dxa"/>
            <w:tcMar>
              <w:top w:w="170" w:type="dxa"/>
              <w:bottom w:w="0" w:type="dxa"/>
            </w:tcMar>
          </w:tcPr>
          <w:p w:rsidR="00270DC2" w:rsidRPr="005423DC" w:rsidRDefault="00EB4318" w:rsidP="00FE5A4F">
            <w:pPr>
              <w:pStyle w:val="Introtabletextbold"/>
            </w:pPr>
            <w:r w:rsidRPr="005423DC">
              <w:t>Classification</w:t>
            </w:r>
          </w:p>
        </w:tc>
        <w:tc>
          <w:tcPr>
            <w:tcW w:w="7654" w:type="dxa"/>
            <w:tcMar>
              <w:top w:w="170" w:type="dxa"/>
            </w:tcMar>
          </w:tcPr>
          <w:p w:rsidR="00270DC2" w:rsidRPr="00C03F6C" w:rsidRDefault="005627B2" w:rsidP="00FE5A4F">
            <w:pPr>
              <w:pStyle w:val="Introtabletext"/>
            </w:pPr>
            <w:sdt>
              <w:sdtPr>
                <w:id w:val="405815754"/>
                <w:placeholder>
                  <w:docPart w:val="AA48F8DD80954495A0D9DCF3C827D074"/>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E97B53">
                  <w:t>Public</w:t>
                </w:r>
              </w:sdtContent>
            </w:sdt>
          </w:p>
        </w:tc>
      </w:tr>
      <w:tr w:rsidR="00270DC2" w:rsidRPr="00E11F1F" w:rsidTr="003B068D">
        <w:tc>
          <w:tcPr>
            <w:tcW w:w="2694" w:type="dxa"/>
            <w:tcBorders>
              <w:bottom w:val="single" w:sz="36" w:space="0" w:color="0090AB" w:themeColor="text2"/>
            </w:tcBorders>
            <w:tcMar>
              <w:top w:w="170" w:type="dxa"/>
              <w:bottom w:w="170" w:type="dxa"/>
            </w:tcMar>
          </w:tcPr>
          <w:p w:rsidR="00270DC2" w:rsidRPr="005423DC" w:rsidRDefault="00EB4318" w:rsidP="00FE5A4F">
            <w:pPr>
              <w:pStyle w:val="Introtabletextbold"/>
            </w:pPr>
            <w:r w:rsidRPr="005423DC">
              <w:t>Summary</w:t>
            </w:r>
          </w:p>
        </w:tc>
        <w:tc>
          <w:tcPr>
            <w:tcW w:w="7654" w:type="dxa"/>
            <w:tcBorders>
              <w:bottom w:val="single" w:sz="36" w:space="0" w:color="0090AB" w:themeColor="text2"/>
            </w:tcBorders>
            <w:tcMar>
              <w:top w:w="170" w:type="dxa"/>
              <w:bottom w:w="170" w:type="dxa"/>
            </w:tcMar>
          </w:tcPr>
          <w:p w:rsidR="00270DC2" w:rsidRPr="00E11F1F" w:rsidRDefault="00E97B53" w:rsidP="003B068D">
            <w:pPr>
              <w:pStyle w:val="Introtabletext"/>
            </w:pPr>
            <w:r w:rsidRPr="000369EA">
              <w:t>This report sets out the headline</w:t>
            </w:r>
            <w:r>
              <w:t xml:space="preserve">s and key decisions of the </w:t>
            </w:r>
            <w:r w:rsidRPr="000369EA">
              <w:t>meeting of the Performance Assurance Board</w:t>
            </w:r>
            <w:r>
              <w:t xml:space="preserve"> on </w:t>
            </w:r>
            <w:r w:rsidR="003B068D">
              <w:t>25 June</w:t>
            </w:r>
            <w:r w:rsidR="004B6E52">
              <w:t xml:space="preserve"> 2015</w:t>
            </w:r>
            <w:r w:rsidRPr="000369EA">
              <w:t>.</w:t>
            </w:r>
          </w:p>
        </w:tc>
      </w:tr>
    </w:tbl>
    <w:p w:rsidR="003A1CE2" w:rsidRDefault="003A1CE2" w:rsidP="003D0B17">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C5F0B" w:rsidTr="009B7B08">
        <w:trPr>
          <w:trHeight w:val="159"/>
        </w:trPr>
        <w:tc>
          <w:tcPr>
            <w:tcW w:w="2296" w:type="dxa"/>
            <w:tcBorders>
              <w:top w:val="single" w:sz="36" w:space="0" w:color="0090AB" w:themeColor="text2"/>
            </w:tcBorders>
            <w:shd w:val="clear" w:color="auto" w:fill="FFFFFF" w:themeFill="background1"/>
          </w:tcPr>
          <w:p w:rsidR="007C5F0B" w:rsidRDefault="007C5F0B" w:rsidP="009B7B08">
            <w:pPr>
              <w:pStyle w:val="1pt"/>
            </w:pPr>
          </w:p>
        </w:tc>
        <w:tc>
          <w:tcPr>
            <w:tcW w:w="284" w:type="dxa"/>
            <w:shd w:val="clear" w:color="auto" w:fill="FFFFFF" w:themeFill="background1"/>
          </w:tcPr>
          <w:p w:rsidR="007C5F0B" w:rsidRDefault="007C5F0B" w:rsidP="009B7B08">
            <w:pPr>
              <w:pStyle w:val="1pt"/>
            </w:pPr>
          </w:p>
        </w:tc>
        <w:tc>
          <w:tcPr>
            <w:tcW w:w="2714" w:type="dxa"/>
            <w:tcBorders>
              <w:top w:val="single" w:sz="36" w:space="0" w:color="0090AB" w:themeColor="text2"/>
            </w:tcBorders>
            <w:shd w:val="clear" w:color="auto" w:fill="FFFFFF" w:themeFill="background1"/>
          </w:tcPr>
          <w:p w:rsidR="007C5F0B" w:rsidRDefault="007C5F0B" w:rsidP="009B7B08">
            <w:pPr>
              <w:pStyle w:val="1pt"/>
            </w:pPr>
          </w:p>
        </w:tc>
        <w:tc>
          <w:tcPr>
            <w:tcW w:w="2712" w:type="dxa"/>
            <w:tcBorders>
              <w:top w:val="single" w:sz="36" w:space="0" w:color="0090AB" w:themeColor="text2"/>
            </w:tcBorders>
            <w:shd w:val="clear" w:color="auto" w:fill="FFFFFF" w:themeFill="background1"/>
          </w:tcPr>
          <w:p w:rsidR="007C5F0B" w:rsidRDefault="007C5F0B" w:rsidP="009B7B08">
            <w:pPr>
              <w:pStyle w:val="1pt"/>
            </w:pPr>
          </w:p>
        </w:tc>
        <w:tc>
          <w:tcPr>
            <w:tcW w:w="2301" w:type="dxa"/>
            <w:tcBorders>
              <w:top w:val="single" w:sz="36" w:space="0" w:color="0090AB" w:themeColor="text2"/>
            </w:tcBorders>
            <w:shd w:val="clear" w:color="auto" w:fill="FFFFFF" w:themeFill="background1"/>
          </w:tcPr>
          <w:p w:rsidR="007C5F0B" w:rsidRPr="009845EB" w:rsidRDefault="007C5F0B" w:rsidP="009B7B08">
            <w:pPr>
              <w:pStyle w:val="1pt"/>
            </w:pPr>
          </w:p>
        </w:tc>
      </w:tr>
      <w:tr w:rsidR="007C5F0B" w:rsidTr="009B7B08">
        <w:trPr>
          <w:trHeight w:val="357"/>
        </w:trPr>
        <w:tc>
          <w:tcPr>
            <w:tcW w:w="2296" w:type="dxa"/>
            <w:shd w:val="clear" w:color="auto" w:fill="FFFFFF" w:themeFill="background1"/>
          </w:tcPr>
          <w:p w:rsidR="007C5F0B" w:rsidRPr="00BF573B" w:rsidRDefault="003B068D" w:rsidP="003B068D">
            <w:pPr>
              <w:pStyle w:val="FooterRef1"/>
              <w:framePr w:hSpace="0" w:wrap="auto" w:vAnchor="margin" w:hAnchor="text" w:yAlign="inline"/>
              <w:suppressOverlap w:val="0"/>
            </w:pPr>
            <w:r>
              <w:t>242</w:t>
            </w:r>
            <w:r w:rsidR="008545EE">
              <w:t>/</w:t>
            </w:r>
            <w:r w:rsidR="004B751A">
              <w:t>01c</w:t>
            </w:r>
          </w:p>
        </w:tc>
        <w:tc>
          <w:tcPr>
            <w:tcW w:w="284" w:type="dxa"/>
            <w:shd w:val="clear" w:color="auto" w:fill="FFFFFF" w:themeFill="background1"/>
          </w:tcPr>
          <w:p w:rsidR="007C5F0B" w:rsidRDefault="007C5F0B" w:rsidP="009B7B08">
            <w:pPr>
              <w:pStyle w:val="Footer"/>
            </w:pPr>
          </w:p>
        </w:tc>
        <w:tc>
          <w:tcPr>
            <w:tcW w:w="5426" w:type="dxa"/>
            <w:gridSpan w:val="2"/>
            <w:shd w:val="clear" w:color="auto" w:fill="FFFFFF" w:themeFill="background1"/>
          </w:tcPr>
          <w:p w:rsidR="007C5F0B" w:rsidRPr="00B120C5" w:rsidRDefault="007C5F0B" w:rsidP="009B7B08">
            <w:pPr>
              <w:pStyle w:val="FooterRef2"/>
              <w:framePr w:hSpace="0" w:wrap="auto" w:vAnchor="margin" w:hAnchor="text" w:yAlign="inline"/>
              <w:suppressOverlap w:val="0"/>
            </w:pPr>
          </w:p>
        </w:tc>
        <w:tc>
          <w:tcPr>
            <w:tcW w:w="2301" w:type="dxa"/>
            <w:vMerge w:val="restart"/>
            <w:shd w:val="clear" w:color="auto" w:fill="FFFFFF" w:themeFill="background1"/>
            <w:vAlign w:val="bottom"/>
          </w:tcPr>
          <w:p w:rsidR="007C5F0B" w:rsidRDefault="007C5F0B" w:rsidP="009B7B08">
            <w:pPr>
              <w:pStyle w:val="Footer"/>
            </w:pPr>
            <w:r>
              <w:rPr>
                <w:rFonts w:hint="eastAsia"/>
                <w:noProof/>
                <w:lang w:eastAsia="en-GB"/>
              </w:rPr>
              <w:drawing>
                <wp:inline distT="0" distB="0" distL="0" distR="0" wp14:anchorId="508F8512" wp14:editId="2CF0EAB8">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C5F0B" w:rsidTr="009B7B08">
        <w:trPr>
          <w:trHeight w:val="295"/>
        </w:trPr>
        <w:tc>
          <w:tcPr>
            <w:tcW w:w="2296" w:type="dxa"/>
            <w:shd w:val="clear" w:color="auto" w:fill="FFFFFF" w:themeFill="background1"/>
          </w:tcPr>
          <w:p w:rsidR="007C5F0B" w:rsidRPr="004873F8" w:rsidRDefault="007C5F0B" w:rsidP="005046A0">
            <w:pPr>
              <w:pStyle w:val="Footer"/>
            </w:pPr>
            <w:r w:rsidRPr="004873F8">
              <w:t xml:space="preserve">Page </w:t>
            </w:r>
            <w:r>
              <w:fldChar w:fldCharType="begin"/>
            </w:r>
            <w:r>
              <w:instrText xml:space="preserve"> PAGE  \* Arabic  \* MERGEFORMAT </w:instrText>
            </w:r>
            <w:r>
              <w:fldChar w:fldCharType="separate"/>
            </w:r>
            <w:r w:rsidR="004B0E58">
              <w:rPr>
                <w:noProof/>
              </w:rPr>
              <w:t>1</w:t>
            </w:r>
            <w:r>
              <w:rPr>
                <w:noProof/>
              </w:rPr>
              <w:fldChar w:fldCharType="end"/>
            </w:r>
            <w:r w:rsidRPr="004873F8">
              <w:t xml:space="preserve"> of </w:t>
            </w:r>
            <w:r w:rsidR="005046A0">
              <w:t>3</w:t>
            </w:r>
          </w:p>
        </w:tc>
        <w:tc>
          <w:tcPr>
            <w:tcW w:w="284" w:type="dxa"/>
            <w:shd w:val="clear" w:color="auto" w:fill="FFFFFF" w:themeFill="background1"/>
          </w:tcPr>
          <w:p w:rsidR="007C5F0B" w:rsidRDefault="007C5F0B" w:rsidP="009B7B08">
            <w:pPr>
              <w:pStyle w:val="Footer"/>
            </w:pPr>
          </w:p>
        </w:tc>
        <w:tc>
          <w:tcPr>
            <w:tcW w:w="2714" w:type="dxa"/>
            <w:shd w:val="clear" w:color="auto" w:fill="FFFFFF" w:themeFill="background1"/>
          </w:tcPr>
          <w:p w:rsidR="007C5F0B" w:rsidRDefault="002E3F45" w:rsidP="00A93917">
            <w:pPr>
              <w:pStyle w:val="FooterDate"/>
              <w:framePr w:hSpace="0" w:wrap="auto" w:vAnchor="margin" w:hAnchor="text" w:yAlign="inline"/>
              <w:suppressOverlap w:val="0"/>
            </w:pPr>
            <w:r>
              <w:t>V</w:t>
            </w:r>
            <w:r w:rsidR="00E97B53">
              <w:t>1.0</w:t>
            </w:r>
          </w:p>
        </w:tc>
        <w:tc>
          <w:tcPr>
            <w:tcW w:w="2712" w:type="dxa"/>
            <w:shd w:val="clear" w:color="auto" w:fill="FFFFFF" w:themeFill="background1"/>
          </w:tcPr>
          <w:p w:rsidR="007C5F0B" w:rsidRDefault="007C5F0B" w:rsidP="009B7B08">
            <w:pPr>
              <w:pStyle w:val="Footer"/>
            </w:pPr>
            <w:r>
              <w:t xml:space="preserve">© ELEXON </w:t>
            </w:r>
            <w:r>
              <w:fldChar w:fldCharType="begin"/>
            </w:r>
            <w:r>
              <w:instrText xml:space="preserve"> DATE  \@ "yyyy" </w:instrText>
            </w:r>
            <w:r>
              <w:fldChar w:fldCharType="separate"/>
            </w:r>
            <w:r w:rsidR="005627B2">
              <w:rPr>
                <w:noProof/>
              </w:rPr>
              <w:t>2015</w:t>
            </w:r>
            <w:r>
              <w:fldChar w:fldCharType="end"/>
            </w:r>
          </w:p>
        </w:tc>
        <w:tc>
          <w:tcPr>
            <w:tcW w:w="2301" w:type="dxa"/>
            <w:vMerge/>
            <w:shd w:val="clear" w:color="auto" w:fill="FFFFFF" w:themeFill="background1"/>
          </w:tcPr>
          <w:p w:rsidR="007C5F0B" w:rsidRDefault="007C5F0B" w:rsidP="009B7B08">
            <w:pPr>
              <w:pStyle w:val="Footer"/>
            </w:pPr>
          </w:p>
        </w:tc>
      </w:tr>
    </w:tbl>
    <w:p w:rsidR="007C5F0B" w:rsidRDefault="007C5F0B" w:rsidP="007C5F0B">
      <w:pPr>
        <w:pStyle w:val="1pt"/>
      </w:pPr>
    </w:p>
    <w:p w:rsidR="00D62697" w:rsidRPr="00D62697" w:rsidRDefault="00D62697" w:rsidP="003D0B17">
      <w:pPr>
        <w:pStyle w:val="BodyText"/>
        <w:pageBreakBefore/>
        <w:sectPr w:rsidR="00D62697" w:rsidRPr="00D62697" w:rsidSect="005A3992">
          <w:headerReference w:type="default" r:id="rId10"/>
          <w:footerReference w:type="default" r:id="rId11"/>
          <w:footerReference w:type="first" r:id="rId12"/>
          <w:pgSz w:w="11906" w:h="16838" w:code="9"/>
          <w:pgMar w:top="1162" w:right="794" w:bottom="1928" w:left="794" w:header="879" w:footer="539" w:gutter="0"/>
          <w:cols w:space="708"/>
          <w:titlePg/>
          <w:docGrid w:linePitch="360"/>
        </w:sectPr>
      </w:pPr>
    </w:p>
    <w:p w:rsidR="009763CB" w:rsidRPr="00511ED3" w:rsidRDefault="006808D1" w:rsidP="009763CB">
      <w:pPr>
        <w:keepNext/>
        <w:keepLines/>
        <w:pBdr>
          <w:bottom w:val="single" w:sz="36" w:space="6" w:color="DCDCDC" w:themeColor="accent3"/>
        </w:pBdr>
        <w:spacing w:before="340"/>
        <w:rPr>
          <w:b/>
          <w:caps/>
          <w:color w:val="0090AB" w:themeColor="text2"/>
          <w:sz w:val="22"/>
          <w:szCs w:val="22"/>
        </w:rPr>
      </w:pPr>
      <w:r w:rsidRPr="0019392D">
        <w:lastRenderedPageBreak/>
        <w:t xml:space="preserve"> </w:t>
      </w:r>
      <w:r w:rsidR="009763CB" w:rsidRPr="00511ED3">
        <w:rPr>
          <w:b/>
          <w:caps/>
          <w:color w:val="0090AB" w:themeColor="text2"/>
          <w:sz w:val="22"/>
          <w:szCs w:val="22"/>
        </w:rPr>
        <w:t>Open session – Decision Papers</w:t>
      </w:r>
    </w:p>
    <w:p w:rsidR="009763CB" w:rsidRPr="00511ED3" w:rsidRDefault="009763CB" w:rsidP="00EE2C71">
      <w:pPr>
        <w:pStyle w:val="Numberheading"/>
        <w:numPr>
          <w:ilvl w:val="0"/>
          <w:numId w:val="13"/>
        </w:numPr>
      </w:pPr>
      <w:r w:rsidRPr="00511ED3">
        <w:t xml:space="preserve">Non-Confidential Settlement Risk Report – PAB173/01b </w:t>
      </w:r>
    </w:p>
    <w:p w:rsidR="009763CB" w:rsidRPr="00511ED3" w:rsidRDefault="009763CB" w:rsidP="009763CB">
      <w:pPr>
        <w:pStyle w:val="Numberbodytext1"/>
        <w:numPr>
          <w:ilvl w:val="0"/>
          <w:numId w:val="0"/>
        </w:numPr>
        <w:ind w:firstLine="624"/>
      </w:pPr>
      <w:r w:rsidRPr="00511ED3">
        <w:t>The PAB:</w:t>
      </w:r>
    </w:p>
    <w:p w:rsidR="009763CB" w:rsidRPr="00511ED3" w:rsidRDefault="009763CB" w:rsidP="00EE2C71">
      <w:pPr>
        <w:pStyle w:val="ListNumber"/>
        <w:numPr>
          <w:ilvl w:val="0"/>
          <w:numId w:val="12"/>
        </w:numPr>
      </w:pPr>
      <w:r w:rsidRPr="00511ED3">
        <w:rPr>
          <w:b/>
        </w:rPr>
        <w:t>NOTED</w:t>
      </w:r>
      <w:r w:rsidRPr="00511ED3">
        <w:t xml:space="preserve"> the report.</w:t>
      </w:r>
    </w:p>
    <w:p w:rsidR="009763CB" w:rsidRPr="00511ED3" w:rsidRDefault="009763CB" w:rsidP="00EE2C71">
      <w:pPr>
        <w:pStyle w:val="Numberheading"/>
        <w:numPr>
          <w:ilvl w:val="0"/>
          <w:numId w:val="13"/>
        </w:numPr>
      </w:pPr>
      <w:r w:rsidRPr="00511ED3">
        <w:t>RER: Approved for consultation – PAB173/04</w:t>
      </w:r>
    </w:p>
    <w:p w:rsidR="009763CB" w:rsidRDefault="009763CB" w:rsidP="009763CB">
      <w:pPr>
        <w:pStyle w:val="Numberbodytext1"/>
        <w:numPr>
          <w:ilvl w:val="0"/>
          <w:numId w:val="0"/>
        </w:numPr>
        <w:ind w:left="624"/>
      </w:pPr>
      <w:r w:rsidRPr="00511ED3">
        <w:t>The PAB:</w:t>
      </w:r>
    </w:p>
    <w:p w:rsidR="009763CB" w:rsidRDefault="009763CB" w:rsidP="00EE2C71">
      <w:pPr>
        <w:pStyle w:val="ListNumber"/>
        <w:numPr>
          <w:ilvl w:val="0"/>
          <w:numId w:val="21"/>
        </w:numPr>
      </w:pPr>
      <w:r w:rsidRPr="009763CB">
        <w:rPr>
          <w:b/>
        </w:rPr>
        <w:t xml:space="preserve">APPROVED </w:t>
      </w:r>
      <w:r w:rsidRPr="00511ED3">
        <w:t xml:space="preserve">the </w:t>
      </w:r>
      <w:r>
        <w:t xml:space="preserve">draft RER </w:t>
      </w:r>
      <w:r w:rsidRPr="00511ED3">
        <w:t>report</w:t>
      </w:r>
      <w:r>
        <w:t xml:space="preserve"> for 2016/17; and</w:t>
      </w:r>
    </w:p>
    <w:p w:rsidR="009763CB" w:rsidRPr="00511ED3" w:rsidRDefault="009763CB" w:rsidP="00EE2C71">
      <w:pPr>
        <w:pStyle w:val="ListNumber"/>
        <w:numPr>
          <w:ilvl w:val="0"/>
          <w:numId w:val="21"/>
        </w:numPr>
      </w:pPr>
      <w:r w:rsidRPr="009763CB">
        <w:rPr>
          <w:b/>
        </w:rPr>
        <w:t xml:space="preserve">AGREED </w:t>
      </w:r>
      <w:r>
        <w:t>that the draft RER be issued to industry for consultation</w:t>
      </w:r>
      <w:r w:rsidRPr="00511ED3">
        <w:t>.</w:t>
      </w:r>
    </w:p>
    <w:p w:rsidR="009763CB" w:rsidRDefault="009763CB" w:rsidP="00EE2C71">
      <w:pPr>
        <w:pStyle w:val="Numberheading"/>
        <w:numPr>
          <w:ilvl w:val="0"/>
          <w:numId w:val="13"/>
        </w:numPr>
      </w:pPr>
      <w:r>
        <w:t>EMR Update</w:t>
      </w:r>
    </w:p>
    <w:p w:rsidR="009763CB" w:rsidRPr="005C6F2E" w:rsidRDefault="009763CB" w:rsidP="009763CB">
      <w:pPr>
        <w:pStyle w:val="Numberbodytext1"/>
        <w:numPr>
          <w:ilvl w:val="0"/>
          <w:numId w:val="0"/>
        </w:numPr>
        <w:ind w:left="624"/>
      </w:pPr>
      <w:r>
        <w:t>The PAB:</w:t>
      </w:r>
    </w:p>
    <w:p w:rsidR="009763CB" w:rsidRPr="005C6F2E" w:rsidRDefault="009763CB" w:rsidP="00EE2C71">
      <w:pPr>
        <w:pStyle w:val="Numberbodytext1"/>
        <w:numPr>
          <w:ilvl w:val="0"/>
          <w:numId w:val="16"/>
        </w:numPr>
        <w:ind w:left="1021" w:hanging="397"/>
        <w:rPr>
          <w:b/>
        </w:rPr>
      </w:pPr>
      <w:r w:rsidRPr="005C6F2E">
        <w:rPr>
          <w:b/>
        </w:rPr>
        <w:t>NOTED</w:t>
      </w:r>
      <w:r>
        <w:rPr>
          <w:b/>
        </w:rPr>
        <w:t xml:space="preserve"> </w:t>
      </w:r>
      <w:r w:rsidRPr="005C6F2E">
        <w:t>the update</w:t>
      </w:r>
      <w:r>
        <w:t>.</w:t>
      </w:r>
    </w:p>
    <w:p w:rsidR="009763CB" w:rsidRDefault="009763CB" w:rsidP="00EE2C71">
      <w:pPr>
        <w:pStyle w:val="Numberheading"/>
        <w:numPr>
          <w:ilvl w:val="0"/>
          <w:numId w:val="13"/>
        </w:numPr>
      </w:pPr>
      <w:r>
        <w:t>P322 Update – PAB173/05</w:t>
      </w:r>
    </w:p>
    <w:p w:rsidR="009763CB" w:rsidRDefault="009763CB" w:rsidP="009763CB">
      <w:pPr>
        <w:pStyle w:val="Numberbodytext1"/>
        <w:numPr>
          <w:ilvl w:val="0"/>
          <w:numId w:val="0"/>
        </w:numPr>
        <w:ind w:left="1248" w:hanging="624"/>
      </w:pPr>
      <w:r>
        <w:t>The PAB:</w:t>
      </w:r>
    </w:p>
    <w:p w:rsidR="009763CB" w:rsidRDefault="009763CB" w:rsidP="00EE2C71">
      <w:pPr>
        <w:pStyle w:val="Numberbodytext1"/>
        <w:numPr>
          <w:ilvl w:val="0"/>
          <w:numId w:val="17"/>
        </w:numPr>
        <w:ind w:left="1021" w:hanging="397"/>
      </w:pPr>
      <w:r w:rsidRPr="001D4159">
        <w:rPr>
          <w:b/>
        </w:rPr>
        <w:t>NOTED</w:t>
      </w:r>
      <w:r>
        <w:t xml:space="preserve"> the update provided on P322; and</w:t>
      </w:r>
    </w:p>
    <w:p w:rsidR="009763CB" w:rsidRPr="001D4159" w:rsidRDefault="009763CB" w:rsidP="00EE2C71">
      <w:pPr>
        <w:pStyle w:val="Numberbodytext1"/>
        <w:numPr>
          <w:ilvl w:val="0"/>
          <w:numId w:val="17"/>
        </w:numPr>
        <w:ind w:left="1021" w:hanging="397"/>
      </w:pPr>
      <w:r>
        <w:rPr>
          <w:b/>
        </w:rPr>
        <w:t xml:space="preserve">COMMENTED </w:t>
      </w:r>
      <w:r w:rsidRPr="001D4159">
        <w:t>on the</w:t>
      </w:r>
      <w:r w:rsidRPr="005D2953">
        <w:t xml:space="preserve"> templates</w:t>
      </w:r>
      <w:r>
        <w:t xml:space="preserve"> of Supplier Migration Plans and monthly updates</w:t>
      </w:r>
    </w:p>
    <w:p w:rsidR="009763CB" w:rsidRPr="00511ED3" w:rsidRDefault="009763CB" w:rsidP="00EE2C71">
      <w:pPr>
        <w:pStyle w:val="Numberheading"/>
        <w:numPr>
          <w:ilvl w:val="0"/>
          <w:numId w:val="13"/>
        </w:numPr>
      </w:pPr>
      <w:r w:rsidRPr="00511ED3">
        <w:t xml:space="preserve">ELEXON’s response to TAA Market Issues – </w:t>
      </w:r>
      <w:r>
        <w:t>PAB</w:t>
      </w:r>
      <w:r w:rsidRPr="00511ED3">
        <w:t>173/06</w:t>
      </w:r>
    </w:p>
    <w:p w:rsidR="009763CB" w:rsidRPr="00511ED3" w:rsidRDefault="009763CB" w:rsidP="009763CB">
      <w:pPr>
        <w:pStyle w:val="Numberbodytext1"/>
        <w:numPr>
          <w:ilvl w:val="0"/>
          <w:numId w:val="0"/>
        </w:numPr>
        <w:ind w:left="624"/>
      </w:pPr>
      <w:r w:rsidRPr="00511ED3">
        <w:t>T</w:t>
      </w:r>
      <w:r>
        <w:t>he PAB was updated on ELEXON's r</w:t>
      </w:r>
      <w:r w:rsidRPr="00511ED3">
        <w:t xml:space="preserve">esponse to </w:t>
      </w:r>
      <w:r>
        <w:t xml:space="preserve">the </w:t>
      </w:r>
      <w:r w:rsidRPr="00511ED3">
        <w:t>TAA Annual Report Recommendations.</w:t>
      </w:r>
    </w:p>
    <w:p w:rsidR="009763CB" w:rsidRPr="00511ED3" w:rsidRDefault="009763CB" w:rsidP="009763CB">
      <w:pPr>
        <w:pStyle w:val="Numberbodytext1"/>
        <w:numPr>
          <w:ilvl w:val="0"/>
          <w:numId w:val="0"/>
        </w:numPr>
        <w:ind w:left="624"/>
      </w:pPr>
      <w:r w:rsidRPr="00511ED3">
        <w:t>The PAB:</w:t>
      </w:r>
    </w:p>
    <w:p w:rsidR="009763CB" w:rsidRPr="00511ED3" w:rsidRDefault="009763CB" w:rsidP="00EE2C71">
      <w:pPr>
        <w:pStyle w:val="ListNumber"/>
        <w:numPr>
          <w:ilvl w:val="0"/>
          <w:numId w:val="11"/>
        </w:numPr>
      </w:pPr>
      <w:r w:rsidRPr="00511ED3">
        <w:rPr>
          <w:b/>
        </w:rPr>
        <w:t>NOTED</w:t>
      </w:r>
      <w:r w:rsidRPr="00511ED3">
        <w:t xml:space="preserve"> the five identified issues affecting the health of the market;</w:t>
      </w:r>
    </w:p>
    <w:p w:rsidR="009763CB" w:rsidRPr="00511ED3" w:rsidRDefault="009763CB" w:rsidP="00EE2C71">
      <w:pPr>
        <w:pStyle w:val="ListNumber"/>
        <w:numPr>
          <w:ilvl w:val="0"/>
          <w:numId w:val="12"/>
        </w:numPr>
      </w:pPr>
      <w:r w:rsidRPr="00511ED3">
        <w:rPr>
          <w:b/>
        </w:rPr>
        <w:t xml:space="preserve">DISCUSSED </w:t>
      </w:r>
      <w:r w:rsidRPr="00511ED3">
        <w:t>the options in this paper;</w:t>
      </w:r>
    </w:p>
    <w:p w:rsidR="009763CB" w:rsidRPr="00511ED3" w:rsidRDefault="009763CB" w:rsidP="00EE2C71">
      <w:pPr>
        <w:pStyle w:val="ListNumber"/>
        <w:numPr>
          <w:ilvl w:val="0"/>
          <w:numId w:val="12"/>
        </w:numPr>
      </w:pPr>
      <w:r w:rsidRPr="00511ED3">
        <w:rPr>
          <w:b/>
        </w:rPr>
        <w:t>AGREED</w:t>
      </w:r>
      <w:r w:rsidRPr="00511ED3">
        <w:t xml:space="preserve"> the ELEXON recommendation against each issue, and;</w:t>
      </w:r>
    </w:p>
    <w:p w:rsidR="009763CB" w:rsidRDefault="009763CB" w:rsidP="00EE2C71">
      <w:pPr>
        <w:pStyle w:val="ListNumber"/>
        <w:numPr>
          <w:ilvl w:val="0"/>
          <w:numId w:val="12"/>
        </w:numPr>
      </w:pPr>
      <w:r w:rsidRPr="00511ED3">
        <w:rPr>
          <w:b/>
        </w:rPr>
        <w:t xml:space="preserve">AGREED </w:t>
      </w:r>
      <w:r w:rsidRPr="00511ED3">
        <w:t>the approach to writing to Registrants regarding their monthly individual no access performance.</w:t>
      </w:r>
    </w:p>
    <w:p w:rsidR="009763CB" w:rsidRPr="00511ED3" w:rsidRDefault="009763CB" w:rsidP="009763CB">
      <w:pPr>
        <w:pStyle w:val="ListNumber"/>
        <w:numPr>
          <w:ilvl w:val="0"/>
          <w:numId w:val="0"/>
        </w:numPr>
        <w:ind w:left="1021"/>
      </w:pPr>
    </w:p>
    <w:p w:rsidR="009763CB" w:rsidRPr="00511ED3" w:rsidRDefault="009763CB" w:rsidP="00EE2C71">
      <w:pPr>
        <w:pStyle w:val="Numberheading"/>
        <w:numPr>
          <w:ilvl w:val="0"/>
          <w:numId w:val="13"/>
        </w:numPr>
      </w:pPr>
      <w:r w:rsidRPr="00511ED3">
        <w:lastRenderedPageBreak/>
        <w:t xml:space="preserve">Market Issues from BSC Audit 2014/15 – </w:t>
      </w:r>
      <w:r>
        <w:t>PAB</w:t>
      </w:r>
      <w:r w:rsidRPr="00511ED3">
        <w:t>173/07</w:t>
      </w:r>
    </w:p>
    <w:p w:rsidR="009763CB" w:rsidRPr="00511ED3" w:rsidRDefault="009763CB" w:rsidP="009763CB">
      <w:pPr>
        <w:pStyle w:val="Numberbodytext1"/>
        <w:numPr>
          <w:ilvl w:val="0"/>
          <w:numId w:val="0"/>
        </w:numPr>
        <w:ind w:left="624"/>
      </w:pPr>
      <w:r w:rsidRPr="00511ED3">
        <w:t>The PAB was informed of the Market Issues found by the Balancing and Settlement Code (BSC) Auditor in 2014/15 and the actions ELEXON is undertaking to address them.</w:t>
      </w:r>
    </w:p>
    <w:p w:rsidR="009763CB" w:rsidRPr="00511ED3" w:rsidRDefault="009763CB" w:rsidP="009763CB">
      <w:pPr>
        <w:pStyle w:val="Numberbodytext1"/>
        <w:numPr>
          <w:ilvl w:val="0"/>
          <w:numId w:val="0"/>
        </w:numPr>
        <w:ind w:left="624"/>
      </w:pPr>
      <w:r w:rsidRPr="00511ED3">
        <w:t>The PAB:</w:t>
      </w:r>
    </w:p>
    <w:p w:rsidR="009763CB" w:rsidRPr="00511ED3" w:rsidRDefault="009763CB" w:rsidP="00EE2C71">
      <w:pPr>
        <w:pStyle w:val="ListNumber"/>
        <w:numPr>
          <w:ilvl w:val="0"/>
          <w:numId w:val="22"/>
        </w:numPr>
      </w:pPr>
      <w:r w:rsidRPr="009763CB">
        <w:rPr>
          <w:b/>
        </w:rPr>
        <w:t xml:space="preserve">NOTED </w:t>
      </w:r>
      <w:r w:rsidRPr="00511ED3">
        <w:t>the Market Issues found by BSC Auditor in 2014/15; and</w:t>
      </w:r>
    </w:p>
    <w:p w:rsidR="009763CB" w:rsidRPr="00511ED3" w:rsidRDefault="009763CB" w:rsidP="00EE2C71">
      <w:pPr>
        <w:pStyle w:val="ListNumber"/>
        <w:numPr>
          <w:ilvl w:val="0"/>
          <w:numId w:val="12"/>
        </w:numPr>
      </w:pPr>
      <w:r w:rsidRPr="00511ED3">
        <w:rPr>
          <w:b/>
        </w:rPr>
        <w:t>COMMENTED</w:t>
      </w:r>
      <w:r w:rsidRPr="00511ED3">
        <w:t xml:space="preserve"> on the actions proposed by ELEXON to address Market Issues.</w:t>
      </w:r>
    </w:p>
    <w:p w:rsidR="009763CB" w:rsidRPr="00511ED3" w:rsidRDefault="009763CB" w:rsidP="009763CB">
      <w:pPr>
        <w:keepNext/>
        <w:keepLines/>
        <w:pBdr>
          <w:bottom w:val="single" w:sz="36" w:space="6" w:color="DCDCDC" w:themeColor="accent3"/>
        </w:pBdr>
        <w:spacing w:before="340"/>
        <w:rPr>
          <w:b/>
          <w:caps/>
          <w:color w:val="0090AB" w:themeColor="text2"/>
          <w:sz w:val="22"/>
          <w:szCs w:val="22"/>
        </w:rPr>
      </w:pPr>
      <w:r w:rsidRPr="00511ED3">
        <w:rPr>
          <w:b/>
          <w:caps/>
          <w:color w:val="0090AB" w:themeColor="text2"/>
          <w:sz w:val="22"/>
          <w:szCs w:val="22"/>
        </w:rPr>
        <w:t xml:space="preserve">closed session – Decision papers </w:t>
      </w:r>
    </w:p>
    <w:p w:rsidR="009763CB" w:rsidRPr="00511ED3" w:rsidRDefault="009763CB" w:rsidP="00EE2C71">
      <w:pPr>
        <w:numPr>
          <w:ilvl w:val="0"/>
          <w:numId w:val="14"/>
        </w:numPr>
        <w:spacing w:before="200" w:after="0" w:line="240" w:lineRule="auto"/>
        <w:rPr>
          <w:b/>
          <w:bCs/>
          <w:color w:val="0090AB" w:themeColor="text2"/>
          <w:sz w:val="22"/>
        </w:rPr>
      </w:pPr>
      <w:r w:rsidRPr="00511ED3">
        <w:rPr>
          <w:b/>
          <w:bCs/>
          <w:color w:val="0090AB" w:themeColor="text2"/>
          <w:sz w:val="22"/>
        </w:rPr>
        <w:t>Settlement Risk Report – PAB173/01</w:t>
      </w:r>
    </w:p>
    <w:p w:rsidR="009763CB" w:rsidRDefault="009763CB" w:rsidP="009763CB">
      <w:pPr>
        <w:pStyle w:val="Numberbodytext1"/>
        <w:numPr>
          <w:ilvl w:val="0"/>
          <w:numId w:val="0"/>
        </w:numPr>
        <w:ind w:left="624"/>
      </w:pPr>
      <w:r w:rsidRPr="00511ED3">
        <w:t>ELEXON invited the Performance Assurance Board (PAB) to agree the contents of the SRR.</w:t>
      </w:r>
    </w:p>
    <w:p w:rsidR="009763CB" w:rsidRPr="00511ED3" w:rsidRDefault="009763CB" w:rsidP="009763CB">
      <w:pPr>
        <w:pStyle w:val="Numberbodytext1"/>
        <w:numPr>
          <w:ilvl w:val="0"/>
          <w:numId w:val="0"/>
        </w:numPr>
        <w:ind w:left="624"/>
      </w:pPr>
      <w:r>
        <w:t>The PAB:</w:t>
      </w:r>
    </w:p>
    <w:p w:rsidR="009763CB" w:rsidRPr="00511ED3" w:rsidRDefault="009763CB" w:rsidP="00EE2C71">
      <w:pPr>
        <w:pStyle w:val="ListNumber"/>
        <w:numPr>
          <w:ilvl w:val="0"/>
          <w:numId w:val="23"/>
        </w:numPr>
      </w:pPr>
      <w:r w:rsidRPr="009763CB">
        <w:rPr>
          <w:b/>
        </w:rPr>
        <w:t>AGREED</w:t>
      </w:r>
      <w:r w:rsidRPr="00511ED3">
        <w:t xml:space="preserve"> the contents of the Settlement Risk Report; and</w:t>
      </w:r>
    </w:p>
    <w:p w:rsidR="009763CB" w:rsidRPr="00511ED3" w:rsidRDefault="009763CB" w:rsidP="00EE2C71">
      <w:pPr>
        <w:pStyle w:val="ListNumber"/>
        <w:numPr>
          <w:ilvl w:val="0"/>
          <w:numId w:val="12"/>
        </w:numPr>
      </w:pPr>
      <w:r w:rsidRPr="00511ED3">
        <w:rPr>
          <w:b/>
        </w:rPr>
        <w:t>NOTED</w:t>
      </w:r>
      <w:r w:rsidRPr="00511ED3">
        <w:t xml:space="preserve"> the attachments.</w:t>
      </w:r>
    </w:p>
    <w:p w:rsidR="009763CB" w:rsidRPr="00511ED3" w:rsidRDefault="009763CB" w:rsidP="00EE2C71">
      <w:pPr>
        <w:pStyle w:val="Numberheading"/>
        <w:numPr>
          <w:ilvl w:val="0"/>
          <w:numId w:val="13"/>
        </w:numPr>
      </w:pPr>
      <w:r w:rsidRPr="00511ED3">
        <w:t>Supplier Charges – PAB173/03</w:t>
      </w:r>
    </w:p>
    <w:p w:rsidR="009763CB" w:rsidRPr="00511ED3" w:rsidRDefault="009763CB" w:rsidP="009763CB">
      <w:pPr>
        <w:pStyle w:val="Numberbodytext1"/>
        <w:numPr>
          <w:ilvl w:val="0"/>
          <w:numId w:val="0"/>
        </w:numPr>
        <w:ind w:left="624"/>
      </w:pPr>
      <w:r w:rsidRPr="00511ED3">
        <w:t>ELEXON invited the PAB to approve the Supplier Charges for the March 2015 reporting period.</w:t>
      </w:r>
    </w:p>
    <w:p w:rsidR="009763CB" w:rsidRPr="00511ED3" w:rsidRDefault="009763CB" w:rsidP="009763CB">
      <w:pPr>
        <w:pStyle w:val="Numberbodytext1"/>
        <w:numPr>
          <w:ilvl w:val="0"/>
          <w:numId w:val="0"/>
        </w:numPr>
        <w:ind w:left="624"/>
      </w:pPr>
      <w:r w:rsidRPr="00511ED3">
        <w:t>The PAB:</w:t>
      </w:r>
    </w:p>
    <w:p w:rsidR="009763CB" w:rsidRPr="00511ED3" w:rsidRDefault="009763CB" w:rsidP="00EE2C71">
      <w:pPr>
        <w:pStyle w:val="ListNumber"/>
        <w:numPr>
          <w:ilvl w:val="0"/>
          <w:numId w:val="24"/>
        </w:numPr>
      </w:pPr>
      <w:r w:rsidRPr="009763CB">
        <w:rPr>
          <w:b/>
        </w:rPr>
        <w:t>APPROVED</w:t>
      </w:r>
      <w:r w:rsidRPr="00511ED3">
        <w:t xml:space="preserve"> the net positions set out in the Paymen</w:t>
      </w:r>
      <w:r>
        <w:t>t Instructions for March 2015 (A</w:t>
      </w:r>
      <w:r w:rsidRPr="00511ED3">
        <w:t xml:space="preserve">ttachment A); and  </w:t>
      </w:r>
    </w:p>
    <w:p w:rsidR="009763CB" w:rsidRPr="00511ED3" w:rsidRDefault="009763CB" w:rsidP="00EE2C71">
      <w:pPr>
        <w:pStyle w:val="ListNumber"/>
        <w:numPr>
          <w:ilvl w:val="0"/>
          <w:numId w:val="12"/>
        </w:numPr>
      </w:pPr>
      <w:r w:rsidRPr="00511ED3">
        <w:rPr>
          <w:b/>
        </w:rPr>
        <w:t>AUTHORISE</w:t>
      </w:r>
      <w:r>
        <w:rPr>
          <w:b/>
        </w:rPr>
        <w:t>D</w:t>
      </w:r>
      <w:r w:rsidRPr="00511ED3">
        <w:rPr>
          <w:b/>
        </w:rPr>
        <w:t xml:space="preserve"> </w:t>
      </w:r>
      <w:r w:rsidRPr="00511ED3">
        <w:t>that the Supplier Charges Reports for March 2015 are published, which ELEXON will send to Trading Parties.</w:t>
      </w:r>
    </w:p>
    <w:p w:rsidR="009763CB" w:rsidRPr="00511ED3" w:rsidRDefault="009763CB" w:rsidP="00EE2C71">
      <w:pPr>
        <w:pStyle w:val="Numberheading"/>
        <w:numPr>
          <w:ilvl w:val="0"/>
          <w:numId w:val="13"/>
        </w:numPr>
      </w:pPr>
      <w:r w:rsidRPr="00511ED3">
        <w:t xml:space="preserve">SP11 Peer Comparison query – </w:t>
      </w:r>
      <w:r>
        <w:t>PAB</w:t>
      </w:r>
      <w:r w:rsidRPr="00511ED3">
        <w:t>173/08</w:t>
      </w:r>
    </w:p>
    <w:p w:rsidR="009763CB" w:rsidRPr="00511ED3" w:rsidRDefault="009763CB" w:rsidP="009763CB">
      <w:pPr>
        <w:pStyle w:val="Numberbodytext1"/>
        <w:numPr>
          <w:ilvl w:val="0"/>
          <w:numId w:val="0"/>
        </w:numPr>
        <w:ind w:left="624"/>
      </w:pPr>
      <w:r w:rsidRPr="00511ED3">
        <w:t>The PAB was updated on the response to a query raised by the Performance Assurance Board (PAB) regard</w:t>
      </w:r>
      <w:r>
        <w:t>s</w:t>
      </w:r>
      <w:r w:rsidRPr="00511ED3">
        <w:t xml:space="preserve"> including additional information in the SP11 Peer Comparison reports.</w:t>
      </w:r>
    </w:p>
    <w:p w:rsidR="009763CB" w:rsidRPr="00511ED3" w:rsidRDefault="009763CB" w:rsidP="009763CB">
      <w:pPr>
        <w:pStyle w:val="Numberbodytext1"/>
        <w:numPr>
          <w:ilvl w:val="0"/>
          <w:numId w:val="0"/>
        </w:numPr>
        <w:ind w:left="624"/>
      </w:pPr>
      <w:r w:rsidRPr="00511ED3">
        <w:t>The PAB:</w:t>
      </w:r>
    </w:p>
    <w:p w:rsidR="009763CB" w:rsidRPr="00511ED3" w:rsidRDefault="009763CB" w:rsidP="00EE2C71">
      <w:pPr>
        <w:pStyle w:val="ListNumber"/>
        <w:numPr>
          <w:ilvl w:val="0"/>
          <w:numId w:val="25"/>
        </w:numPr>
      </w:pPr>
      <w:r w:rsidRPr="009763CB">
        <w:rPr>
          <w:b/>
        </w:rPr>
        <w:t>NOTED</w:t>
      </w:r>
      <w:r w:rsidRPr="00511ED3">
        <w:t xml:space="preserve"> the response from the SP11 Peer Comparison query; and</w:t>
      </w:r>
    </w:p>
    <w:p w:rsidR="009763CB" w:rsidRPr="00511ED3" w:rsidRDefault="009763CB" w:rsidP="00EE2C71">
      <w:pPr>
        <w:pStyle w:val="ListNumber"/>
        <w:numPr>
          <w:ilvl w:val="0"/>
          <w:numId w:val="12"/>
        </w:numPr>
      </w:pPr>
      <w:r w:rsidRPr="009909AC">
        <w:rPr>
          <w:b/>
        </w:rPr>
        <w:t>APPROVED</w:t>
      </w:r>
      <w:r w:rsidRPr="009909AC">
        <w:t xml:space="preserve"> </w:t>
      </w:r>
      <w:r w:rsidRPr="00511ED3">
        <w:t xml:space="preserve">the SP11 Peer Comparison reports to remain in format approved at PAB170. </w:t>
      </w:r>
    </w:p>
    <w:p w:rsidR="009763CB" w:rsidRDefault="009763CB" w:rsidP="00EE2C71">
      <w:pPr>
        <w:numPr>
          <w:ilvl w:val="0"/>
          <w:numId w:val="15"/>
        </w:numPr>
        <w:spacing w:before="200" w:after="0" w:line="240" w:lineRule="auto"/>
        <w:rPr>
          <w:b/>
          <w:color w:val="0090AB" w:themeColor="text2"/>
          <w:sz w:val="22"/>
        </w:rPr>
      </w:pPr>
      <w:r>
        <w:rPr>
          <w:b/>
          <w:color w:val="0090AB" w:themeColor="text2"/>
          <w:sz w:val="22"/>
        </w:rPr>
        <w:t>EAC / AA Threshold Update</w:t>
      </w:r>
    </w:p>
    <w:p w:rsidR="009763CB" w:rsidRPr="00D2096D" w:rsidRDefault="009763CB" w:rsidP="009763CB">
      <w:pPr>
        <w:spacing w:before="200" w:after="0" w:line="240" w:lineRule="auto"/>
        <w:ind w:left="624"/>
      </w:pPr>
      <w:r w:rsidRPr="00D2096D">
        <w:t>The PAB:</w:t>
      </w:r>
    </w:p>
    <w:p w:rsidR="009763CB" w:rsidRPr="00FF3DD8" w:rsidRDefault="009763CB" w:rsidP="00EE2C71">
      <w:pPr>
        <w:pStyle w:val="ListParagraph"/>
        <w:numPr>
          <w:ilvl w:val="0"/>
          <w:numId w:val="18"/>
        </w:numPr>
        <w:spacing w:before="200" w:after="0" w:line="240" w:lineRule="auto"/>
        <w:ind w:left="981" w:hanging="357"/>
        <w:rPr>
          <w:b/>
          <w:color w:val="0090AB" w:themeColor="text2"/>
        </w:rPr>
      </w:pPr>
      <w:r w:rsidRPr="00D2096D">
        <w:rPr>
          <w:b/>
        </w:rPr>
        <w:t>NOTED</w:t>
      </w:r>
      <w:r>
        <w:rPr>
          <w:b/>
        </w:rPr>
        <w:t xml:space="preserve"> </w:t>
      </w:r>
      <w:r>
        <w:t>the verbal update.</w:t>
      </w:r>
    </w:p>
    <w:p w:rsidR="009763CB" w:rsidRDefault="009763CB" w:rsidP="00EE2C71">
      <w:pPr>
        <w:numPr>
          <w:ilvl w:val="0"/>
          <w:numId w:val="15"/>
        </w:numPr>
        <w:spacing w:before="200" w:after="0" w:line="240" w:lineRule="auto"/>
        <w:rPr>
          <w:b/>
          <w:color w:val="0090AB" w:themeColor="text2"/>
          <w:sz w:val="22"/>
        </w:rPr>
      </w:pPr>
      <w:r>
        <w:rPr>
          <w:b/>
          <w:color w:val="0090AB" w:themeColor="text2"/>
          <w:sz w:val="22"/>
        </w:rPr>
        <w:t>Supplier SR0074 performance update</w:t>
      </w:r>
    </w:p>
    <w:p w:rsidR="009763CB" w:rsidRDefault="009763CB" w:rsidP="009763CB">
      <w:pPr>
        <w:spacing w:before="200" w:after="0" w:line="240" w:lineRule="auto"/>
        <w:ind w:left="624"/>
      </w:pPr>
      <w:r w:rsidRPr="00FF3DD8">
        <w:t>The PAB:</w:t>
      </w:r>
    </w:p>
    <w:p w:rsidR="009763CB" w:rsidRDefault="009763CB" w:rsidP="00EE2C71">
      <w:pPr>
        <w:pStyle w:val="ListParagraph"/>
        <w:numPr>
          <w:ilvl w:val="0"/>
          <w:numId w:val="19"/>
        </w:numPr>
        <w:spacing w:before="200" w:after="0" w:line="240" w:lineRule="auto"/>
        <w:ind w:left="981" w:hanging="357"/>
      </w:pPr>
      <w:r w:rsidRPr="00566038">
        <w:rPr>
          <w:b/>
        </w:rPr>
        <w:t>NOTED</w:t>
      </w:r>
      <w:r>
        <w:t xml:space="preserve"> the progress presented; and</w:t>
      </w:r>
    </w:p>
    <w:p w:rsidR="009763CB" w:rsidRDefault="009763CB" w:rsidP="00EE2C71">
      <w:pPr>
        <w:pStyle w:val="ListParagraph"/>
        <w:numPr>
          <w:ilvl w:val="0"/>
          <w:numId w:val="19"/>
        </w:numPr>
        <w:spacing w:before="200" w:after="0" w:line="240" w:lineRule="auto"/>
        <w:ind w:left="981" w:hanging="357"/>
      </w:pPr>
      <w:r>
        <w:rPr>
          <w:b/>
        </w:rPr>
        <w:t xml:space="preserve">COMMENTED </w:t>
      </w:r>
      <w:r w:rsidRPr="00566038">
        <w:t>on the update.</w:t>
      </w:r>
    </w:p>
    <w:p w:rsidR="009763CB" w:rsidRPr="00FF3DD8" w:rsidRDefault="009763CB" w:rsidP="009763CB">
      <w:pPr>
        <w:pStyle w:val="ListParagraph"/>
        <w:spacing w:before="200" w:after="0" w:line="240" w:lineRule="auto"/>
        <w:ind w:left="981"/>
      </w:pPr>
    </w:p>
    <w:p w:rsidR="009763CB" w:rsidRPr="00511ED3" w:rsidRDefault="009763CB" w:rsidP="00EE2C71">
      <w:pPr>
        <w:numPr>
          <w:ilvl w:val="0"/>
          <w:numId w:val="15"/>
        </w:numPr>
        <w:spacing w:before="200" w:after="0" w:line="240" w:lineRule="auto"/>
        <w:rPr>
          <w:b/>
          <w:color w:val="0090AB" w:themeColor="text2"/>
          <w:sz w:val="22"/>
        </w:rPr>
      </w:pPr>
      <w:r>
        <w:rPr>
          <w:b/>
          <w:color w:val="0090AB" w:themeColor="text2"/>
          <w:sz w:val="22"/>
        </w:rPr>
        <w:lastRenderedPageBreak/>
        <w:t xml:space="preserve">In Home </w:t>
      </w:r>
      <w:r w:rsidRPr="00511ED3">
        <w:rPr>
          <w:b/>
          <w:color w:val="0090AB" w:themeColor="text2"/>
          <w:sz w:val="22"/>
        </w:rPr>
        <w:t xml:space="preserve">Technology Limited as HH and NHH MOA – </w:t>
      </w:r>
      <w:r>
        <w:rPr>
          <w:b/>
          <w:color w:val="0090AB" w:themeColor="text2"/>
          <w:sz w:val="22"/>
        </w:rPr>
        <w:t>PAB</w:t>
      </w:r>
      <w:r w:rsidRPr="00511ED3">
        <w:rPr>
          <w:b/>
          <w:color w:val="0090AB" w:themeColor="text2"/>
          <w:sz w:val="22"/>
        </w:rPr>
        <w:t>173/09</w:t>
      </w:r>
    </w:p>
    <w:p w:rsidR="009763CB" w:rsidRPr="00511ED3" w:rsidRDefault="009763CB" w:rsidP="009763CB">
      <w:pPr>
        <w:pStyle w:val="Numberbodytext1"/>
        <w:numPr>
          <w:ilvl w:val="0"/>
          <w:numId w:val="0"/>
        </w:numPr>
        <w:ind w:left="624"/>
      </w:pPr>
      <w:r w:rsidRPr="00511ED3">
        <w:t xml:space="preserve">The Performance Assurance Board was invited to qualify </w:t>
      </w:r>
      <w:r w:rsidRPr="00511ED3">
        <w:rPr>
          <w:i/>
        </w:rPr>
        <w:t>In Home Technology Limited</w:t>
      </w:r>
      <w:r w:rsidRPr="00511ED3">
        <w:t xml:space="preserve"> as Half Hourly and Non Half Hourly Meter Operator Agent using the ‘IHTL’ MPID</w:t>
      </w:r>
    </w:p>
    <w:p w:rsidR="009763CB" w:rsidRPr="00511ED3" w:rsidRDefault="009763CB" w:rsidP="009763CB">
      <w:pPr>
        <w:pStyle w:val="Numberbodytext1"/>
        <w:numPr>
          <w:ilvl w:val="0"/>
          <w:numId w:val="0"/>
        </w:numPr>
        <w:ind w:left="624"/>
      </w:pPr>
      <w:r w:rsidRPr="00511ED3">
        <w:t>The PAB:</w:t>
      </w:r>
    </w:p>
    <w:p w:rsidR="009763CB" w:rsidRPr="009909AC" w:rsidRDefault="009763CB" w:rsidP="00EE2C71">
      <w:pPr>
        <w:pStyle w:val="ListNumber"/>
        <w:numPr>
          <w:ilvl w:val="0"/>
          <w:numId w:val="20"/>
        </w:numPr>
        <w:ind w:left="981" w:hanging="357"/>
      </w:pPr>
      <w:r w:rsidRPr="009909AC">
        <w:rPr>
          <w:b/>
        </w:rPr>
        <w:t xml:space="preserve">APPROVED </w:t>
      </w:r>
      <w:r w:rsidRPr="009909AC">
        <w:t>In Home Technology Limited as Half Hourly and Non Half Hourly Meter Operator Agent using the ‘IHTL’ MPID; and</w:t>
      </w:r>
    </w:p>
    <w:p w:rsidR="009763CB" w:rsidRPr="00511ED3" w:rsidRDefault="009763CB" w:rsidP="00EE2C71">
      <w:pPr>
        <w:pStyle w:val="ListNumber"/>
        <w:numPr>
          <w:ilvl w:val="0"/>
          <w:numId w:val="18"/>
        </w:numPr>
        <w:ind w:left="981" w:hanging="357"/>
        <w:rPr>
          <w:b/>
        </w:rPr>
      </w:pPr>
      <w:r w:rsidRPr="00511ED3">
        <w:rPr>
          <w:b/>
        </w:rPr>
        <w:t xml:space="preserve">DETERMINED </w:t>
      </w:r>
      <w:r w:rsidRPr="00511ED3">
        <w:t>that In Home Technology Limited completes a disaster recovery test within 3 months of go live and provides supporting evidence to ELEXON when complete.</w:t>
      </w:r>
    </w:p>
    <w:p w:rsidR="009763CB" w:rsidRPr="00511ED3" w:rsidRDefault="009763CB" w:rsidP="00EE2C71">
      <w:pPr>
        <w:pStyle w:val="Numberheading"/>
        <w:numPr>
          <w:ilvl w:val="0"/>
          <w:numId w:val="13"/>
        </w:numPr>
      </w:pPr>
      <w:r w:rsidRPr="00511ED3">
        <w:t>Qualification report as NHH and HH Supplier –</w:t>
      </w:r>
      <w:r>
        <w:t>PAB</w:t>
      </w:r>
      <w:r w:rsidRPr="00511ED3">
        <w:t xml:space="preserve">173/10 </w:t>
      </w:r>
    </w:p>
    <w:p w:rsidR="009763CB" w:rsidRPr="00511ED3" w:rsidRDefault="009763CB" w:rsidP="009763CB">
      <w:pPr>
        <w:pStyle w:val="Numberbodytext1"/>
        <w:numPr>
          <w:ilvl w:val="0"/>
          <w:numId w:val="0"/>
        </w:numPr>
        <w:ind w:left="624"/>
      </w:pPr>
      <w:r w:rsidRPr="00511ED3">
        <w:t>The Performance Assurance Board was invited to Qualify Gold Energy Supply Limited, Bronze Energy Supply Limited, Copper Energy Supply Limited, Mercury Energy Supply Limited, Nickel Energy Supply Limited and Silver Energy Supply Limited as Half Hourly and Non Half Hourly Supplier using the ‘GESL’, ‘BRZE’, ‘CPPR’, ‘MCRY’, ‘NCKL’ and ‘SLVR’ MPIDs respectively.</w:t>
      </w:r>
    </w:p>
    <w:p w:rsidR="009763CB" w:rsidRPr="00511ED3" w:rsidRDefault="009763CB" w:rsidP="009763CB">
      <w:pPr>
        <w:pStyle w:val="Numberbodytext1"/>
        <w:numPr>
          <w:ilvl w:val="0"/>
          <w:numId w:val="0"/>
        </w:numPr>
        <w:ind w:left="624"/>
      </w:pPr>
      <w:r w:rsidRPr="00511ED3">
        <w:t>The PAB:</w:t>
      </w:r>
    </w:p>
    <w:p w:rsidR="009763CB" w:rsidRPr="009763CB" w:rsidRDefault="009763CB" w:rsidP="00EE2C71">
      <w:pPr>
        <w:pStyle w:val="ListNumber"/>
        <w:numPr>
          <w:ilvl w:val="0"/>
          <w:numId w:val="26"/>
        </w:numPr>
      </w:pPr>
      <w:r w:rsidRPr="009763CB">
        <w:rPr>
          <w:b/>
        </w:rPr>
        <w:t xml:space="preserve">APPROVED </w:t>
      </w:r>
      <w:r w:rsidRPr="00D405D3">
        <w:t>Gold Energy Supply Limited’s application for Qualification as a HH and NHH Supplier using the ‘GESL’ MPID;</w:t>
      </w:r>
      <w:r w:rsidRPr="009763CB">
        <w:rPr>
          <w:b/>
        </w:rPr>
        <w:t xml:space="preserve"> </w:t>
      </w:r>
    </w:p>
    <w:p w:rsidR="009763CB" w:rsidRDefault="009763CB" w:rsidP="00EE2C71">
      <w:pPr>
        <w:pStyle w:val="ListNumber"/>
        <w:numPr>
          <w:ilvl w:val="0"/>
          <w:numId w:val="26"/>
        </w:numPr>
      </w:pPr>
      <w:r w:rsidRPr="009763CB">
        <w:rPr>
          <w:b/>
        </w:rPr>
        <w:t xml:space="preserve">DETERMINED </w:t>
      </w:r>
      <w:r w:rsidRPr="00511ED3">
        <w:t>that Gold Energy Supply Limited completes a disaster recovery test within 3 months of go live and provides supporting evidence to ELEXON when complete;</w:t>
      </w:r>
    </w:p>
    <w:p w:rsidR="009763CB" w:rsidRPr="009763CB" w:rsidRDefault="009763CB" w:rsidP="00EE2C71">
      <w:pPr>
        <w:pStyle w:val="ListNumber"/>
        <w:numPr>
          <w:ilvl w:val="0"/>
          <w:numId w:val="26"/>
        </w:numPr>
      </w:pPr>
      <w:r w:rsidRPr="00511ED3">
        <w:rPr>
          <w:b/>
        </w:rPr>
        <w:t xml:space="preserve">APPROVED </w:t>
      </w:r>
      <w:r w:rsidRPr="00511ED3">
        <w:t>Bronze Energy Supply Limited’s application for Qualification as a HH and NHH Supplier using the ‘BRZE’ MPID;</w:t>
      </w:r>
      <w:r w:rsidRPr="00511ED3">
        <w:rPr>
          <w:b/>
        </w:rPr>
        <w:t xml:space="preserve"> </w:t>
      </w:r>
    </w:p>
    <w:p w:rsidR="009763CB" w:rsidRDefault="009763CB" w:rsidP="00EE2C71">
      <w:pPr>
        <w:pStyle w:val="ListNumber"/>
        <w:numPr>
          <w:ilvl w:val="0"/>
          <w:numId w:val="26"/>
        </w:numPr>
      </w:pPr>
      <w:r w:rsidRPr="00511ED3">
        <w:rPr>
          <w:b/>
        </w:rPr>
        <w:t>DETERMINED</w:t>
      </w:r>
      <w:r w:rsidRPr="00511ED3">
        <w:t xml:space="preserve"> that Bronze Energy Supply Limited completes a disaster recovery test within 3 months of go live and provides supporting evidence to ELEXON when complete;</w:t>
      </w:r>
    </w:p>
    <w:p w:rsidR="009763CB" w:rsidRDefault="009763CB" w:rsidP="00EE2C71">
      <w:pPr>
        <w:pStyle w:val="ListNumber"/>
        <w:numPr>
          <w:ilvl w:val="0"/>
          <w:numId w:val="26"/>
        </w:numPr>
      </w:pPr>
      <w:r w:rsidRPr="00511ED3">
        <w:rPr>
          <w:b/>
        </w:rPr>
        <w:t>APPROVED</w:t>
      </w:r>
      <w:r w:rsidRPr="00511ED3">
        <w:t xml:space="preserve"> Copper Energy Supply Limited’s application for Qualification as a HH and NHH Supplier using the ‘CPPR’ MPID; </w:t>
      </w:r>
    </w:p>
    <w:p w:rsidR="009763CB" w:rsidRDefault="009763CB" w:rsidP="00EE2C71">
      <w:pPr>
        <w:pStyle w:val="ListNumber"/>
        <w:numPr>
          <w:ilvl w:val="0"/>
          <w:numId w:val="26"/>
        </w:numPr>
      </w:pPr>
      <w:r w:rsidRPr="00511ED3">
        <w:rPr>
          <w:b/>
        </w:rPr>
        <w:t>DETERMINED</w:t>
      </w:r>
      <w:r w:rsidRPr="00511ED3">
        <w:t xml:space="preserve"> that Copper Energy Supply Limited completes a disaster recovery test within 3 months of go live and provides supporting evidence to ELEXON when complete;</w:t>
      </w:r>
    </w:p>
    <w:p w:rsidR="009763CB" w:rsidRDefault="009763CB" w:rsidP="00EE2C71">
      <w:pPr>
        <w:pStyle w:val="ListNumber"/>
        <w:numPr>
          <w:ilvl w:val="0"/>
          <w:numId w:val="26"/>
        </w:numPr>
      </w:pPr>
      <w:r w:rsidRPr="00511ED3">
        <w:rPr>
          <w:b/>
        </w:rPr>
        <w:t>APPROVED</w:t>
      </w:r>
      <w:r w:rsidRPr="00511ED3">
        <w:t xml:space="preserve"> Mercury Energy Supply Limited’s application for Qualification as a HH and NHH Supplier using the ‘MCRY’ MPID; </w:t>
      </w:r>
    </w:p>
    <w:p w:rsidR="009763CB" w:rsidRDefault="009763CB" w:rsidP="00EE2C71">
      <w:pPr>
        <w:pStyle w:val="ListNumber"/>
        <w:numPr>
          <w:ilvl w:val="0"/>
          <w:numId w:val="26"/>
        </w:numPr>
      </w:pPr>
      <w:r w:rsidRPr="00511ED3">
        <w:rPr>
          <w:b/>
        </w:rPr>
        <w:t xml:space="preserve">DETERMINED </w:t>
      </w:r>
      <w:r w:rsidRPr="00511ED3">
        <w:t>that Mercury Energy Supply Limited completes a disaster recovery test within 3 months of go live and provides supporting e</w:t>
      </w:r>
      <w:r>
        <w:t>vidence to ELEXON when complete;</w:t>
      </w:r>
    </w:p>
    <w:p w:rsidR="009763CB" w:rsidRDefault="009763CB" w:rsidP="00EE2C71">
      <w:pPr>
        <w:pStyle w:val="ListNumber"/>
        <w:numPr>
          <w:ilvl w:val="0"/>
          <w:numId w:val="26"/>
        </w:numPr>
      </w:pPr>
      <w:r w:rsidRPr="00511ED3">
        <w:rPr>
          <w:b/>
        </w:rPr>
        <w:t>APPROVED</w:t>
      </w:r>
      <w:r w:rsidRPr="00511ED3">
        <w:t xml:space="preserve"> Nickel Energy Supply Limited’s application for Qualification as a HH and NHH Supplier using the ‘NCKL’ MPID; </w:t>
      </w:r>
    </w:p>
    <w:p w:rsidR="009763CB" w:rsidRDefault="009763CB" w:rsidP="00EE2C71">
      <w:pPr>
        <w:pStyle w:val="ListNumber"/>
        <w:numPr>
          <w:ilvl w:val="0"/>
          <w:numId w:val="26"/>
        </w:numPr>
      </w:pPr>
      <w:r w:rsidRPr="00511ED3">
        <w:rPr>
          <w:b/>
        </w:rPr>
        <w:t>DETERMINED</w:t>
      </w:r>
      <w:r w:rsidRPr="00511ED3">
        <w:t xml:space="preserve"> that Nickel Energy Supply Limited completes a disaster recovery test within 3 months of go live and provides supporting e</w:t>
      </w:r>
      <w:r>
        <w:t>vidence to ELEXON when complete;</w:t>
      </w:r>
    </w:p>
    <w:p w:rsidR="009763CB" w:rsidRDefault="009763CB" w:rsidP="00EE2C71">
      <w:pPr>
        <w:pStyle w:val="ListNumber"/>
        <w:numPr>
          <w:ilvl w:val="0"/>
          <w:numId w:val="26"/>
        </w:numPr>
      </w:pPr>
      <w:r w:rsidRPr="00511ED3">
        <w:rPr>
          <w:b/>
        </w:rPr>
        <w:t>APPROVED</w:t>
      </w:r>
      <w:r w:rsidRPr="00511ED3">
        <w:t xml:space="preserve"> Silver Energy Supply Limited’s application for Qualification as a HH and NHH Supplier using the ‘SLVR’ MPID; </w:t>
      </w:r>
      <w:r>
        <w:t>and</w:t>
      </w:r>
    </w:p>
    <w:p w:rsidR="009763CB" w:rsidRDefault="009763CB" w:rsidP="00EE2C71">
      <w:pPr>
        <w:pStyle w:val="ListNumber"/>
        <w:numPr>
          <w:ilvl w:val="0"/>
          <w:numId w:val="26"/>
        </w:numPr>
      </w:pPr>
      <w:r w:rsidRPr="00511ED3">
        <w:rPr>
          <w:b/>
        </w:rPr>
        <w:t>DETERMINED</w:t>
      </w:r>
      <w:r w:rsidRPr="00511ED3">
        <w:t xml:space="preserve"> that Silver Energy Supply Limited completes a disaster recovery test within 3 months of go live and provides supporting e</w:t>
      </w:r>
      <w:r>
        <w:t>vidence to ELEXON when complete.</w:t>
      </w:r>
    </w:p>
    <w:p w:rsidR="009763CB" w:rsidRPr="00511ED3" w:rsidRDefault="009763CB" w:rsidP="009763CB">
      <w:pPr>
        <w:pStyle w:val="ListNumber"/>
        <w:numPr>
          <w:ilvl w:val="0"/>
          <w:numId w:val="0"/>
        </w:numPr>
        <w:ind w:left="1021"/>
      </w:pPr>
    </w:p>
    <w:p w:rsidR="009763CB" w:rsidRPr="00511ED3" w:rsidRDefault="009763CB" w:rsidP="00EE2C71">
      <w:pPr>
        <w:pStyle w:val="Numberheading"/>
        <w:numPr>
          <w:ilvl w:val="0"/>
          <w:numId w:val="13"/>
        </w:numPr>
      </w:pPr>
      <w:r w:rsidRPr="00511ED3">
        <w:lastRenderedPageBreak/>
        <w:t xml:space="preserve">Surrender of Qualification Report as NHHDC – Siemens Operational Services – </w:t>
      </w:r>
      <w:r>
        <w:t>PAB</w:t>
      </w:r>
      <w:r w:rsidRPr="00511ED3">
        <w:t>173/11</w:t>
      </w:r>
    </w:p>
    <w:p w:rsidR="009763CB" w:rsidRPr="00511ED3" w:rsidRDefault="009763CB" w:rsidP="009763CB">
      <w:pPr>
        <w:pStyle w:val="Numberbodytext1"/>
        <w:numPr>
          <w:ilvl w:val="0"/>
          <w:numId w:val="0"/>
        </w:numPr>
        <w:ind w:left="624"/>
      </w:pPr>
      <w:r>
        <w:t>ELEXON sought</w:t>
      </w:r>
      <w:r w:rsidRPr="00511ED3">
        <w:t xml:space="preserve"> PAB approval for the Surrender of Qualification of Siemens Operational Services as Non Half Hourly Data Collector using the ‘BGAS’ MPID.</w:t>
      </w:r>
    </w:p>
    <w:p w:rsidR="009763CB" w:rsidRPr="00511ED3" w:rsidRDefault="009763CB" w:rsidP="009763CB">
      <w:pPr>
        <w:pStyle w:val="Numberbodytext1"/>
        <w:numPr>
          <w:ilvl w:val="0"/>
          <w:numId w:val="0"/>
        </w:numPr>
        <w:ind w:left="624"/>
      </w:pPr>
      <w:r w:rsidRPr="00511ED3">
        <w:t>The PAB:</w:t>
      </w:r>
    </w:p>
    <w:p w:rsidR="009763CB" w:rsidRPr="00511ED3" w:rsidRDefault="009763CB" w:rsidP="00EE2C71">
      <w:pPr>
        <w:pStyle w:val="ListParagraph"/>
        <w:numPr>
          <w:ilvl w:val="0"/>
          <w:numId w:val="27"/>
        </w:numPr>
        <w:spacing w:after="0" w:line="240" w:lineRule="auto"/>
      </w:pPr>
      <w:r w:rsidRPr="009763CB">
        <w:rPr>
          <w:b/>
        </w:rPr>
        <w:t>REMOVED</w:t>
      </w:r>
      <w:r w:rsidRPr="00511ED3">
        <w:t xml:space="preserve"> the Qualified status of Siemens Operational Services as Non Half Hourly Data Collector using the ‘BGAS’ MPID. </w:t>
      </w:r>
    </w:p>
    <w:p w:rsidR="009763CB" w:rsidRPr="00511ED3" w:rsidRDefault="009763CB" w:rsidP="00EE2C71">
      <w:pPr>
        <w:pStyle w:val="Numberheading"/>
        <w:numPr>
          <w:ilvl w:val="0"/>
          <w:numId w:val="13"/>
        </w:numPr>
      </w:pPr>
      <w:r w:rsidRPr="00511ED3">
        <w:t xml:space="preserve">Additional services provided by the BSC Auditor – </w:t>
      </w:r>
      <w:r>
        <w:t>PAB</w:t>
      </w:r>
      <w:r w:rsidRPr="00511ED3">
        <w:t>173/12</w:t>
      </w:r>
    </w:p>
    <w:p w:rsidR="009763CB" w:rsidRPr="00511ED3" w:rsidRDefault="009763CB" w:rsidP="009763CB">
      <w:pPr>
        <w:pStyle w:val="Numberbodytext1"/>
        <w:numPr>
          <w:ilvl w:val="0"/>
          <w:numId w:val="0"/>
        </w:numPr>
        <w:ind w:left="624"/>
      </w:pPr>
      <w:r>
        <w:t>The BSC Auditor presented proposals to provide assurance around P322 Supplier Migration Plans</w:t>
      </w:r>
      <w:r w:rsidRPr="00511ED3">
        <w:t>.</w:t>
      </w:r>
    </w:p>
    <w:p w:rsidR="009763CB" w:rsidRPr="00511ED3" w:rsidRDefault="009763CB" w:rsidP="009763CB">
      <w:pPr>
        <w:pStyle w:val="Numberbodytext1"/>
        <w:numPr>
          <w:ilvl w:val="0"/>
          <w:numId w:val="0"/>
        </w:numPr>
        <w:ind w:left="624"/>
      </w:pPr>
      <w:r w:rsidRPr="00511ED3">
        <w:t>The PAB:</w:t>
      </w:r>
    </w:p>
    <w:p w:rsidR="00EE2C71" w:rsidRDefault="009763CB" w:rsidP="00EE2C71">
      <w:pPr>
        <w:pStyle w:val="ListNumber"/>
        <w:numPr>
          <w:ilvl w:val="0"/>
          <w:numId w:val="28"/>
        </w:numPr>
      </w:pPr>
      <w:r w:rsidRPr="00EE2C71">
        <w:rPr>
          <w:b/>
        </w:rPr>
        <w:t>NOTED</w:t>
      </w:r>
      <w:r w:rsidRPr="00511ED3">
        <w:t xml:space="preserve"> the BSC Auditor</w:t>
      </w:r>
      <w:r>
        <w:t>’s</w:t>
      </w:r>
      <w:r w:rsidRPr="00511ED3">
        <w:t xml:space="preserve"> role and process for ad hoc work as outlined in the BSC;</w:t>
      </w:r>
    </w:p>
    <w:p w:rsidR="00EE2C71" w:rsidRDefault="009763CB" w:rsidP="00EE2C71">
      <w:pPr>
        <w:pStyle w:val="ListNumber"/>
        <w:numPr>
          <w:ilvl w:val="0"/>
          <w:numId w:val="28"/>
        </w:numPr>
      </w:pPr>
      <w:r w:rsidRPr="00EE2C71">
        <w:rPr>
          <w:b/>
        </w:rPr>
        <w:t xml:space="preserve">COMMENTED </w:t>
      </w:r>
      <w:r w:rsidRPr="00511ED3">
        <w:t>on proposed services by KPMG on P322 assurance; and</w:t>
      </w:r>
    </w:p>
    <w:p w:rsidR="009763CB" w:rsidRPr="00511ED3" w:rsidRDefault="009763CB" w:rsidP="00EE2C71">
      <w:pPr>
        <w:pStyle w:val="ListNumber"/>
        <w:numPr>
          <w:ilvl w:val="0"/>
          <w:numId w:val="28"/>
        </w:numPr>
      </w:pPr>
      <w:r w:rsidRPr="00EE2C71">
        <w:rPr>
          <w:b/>
        </w:rPr>
        <w:t>DETERMINED</w:t>
      </w:r>
      <w:r w:rsidRPr="00511ED3">
        <w:t xml:space="preserve"> </w:t>
      </w:r>
      <w:r w:rsidR="005627B2">
        <w:t xml:space="preserve">that none of the three proposed services relating to Change of Measurement </w:t>
      </w:r>
      <w:proofErr w:type="gramStart"/>
      <w:r w:rsidR="005627B2">
        <w:t>Class,</w:t>
      </w:r>
      <w:proofErr w:type="gramEnd"/>
      <w:r w:rsidR="005627B2">
        <w:t xml:space="preserve"> should be progressed.</w:t>
      </w:r>
      <w:bookmarkStart w:id="0" w:name="_GoBack"/>
      <w:bookmarkEnd w:id="0"/>
      <w:r w:rsidR="005627B2">
        <w:t xml:space="preserve"> </w:t>
      </w:r>
    </w:p>
    <w:p w:rsidR="009763CB" w:rsidRPr="00511ED3" w:rsidRDefault="009763CB" w:rsidP="00EE2C71">
      <w:pPr>
        <w:pStyle w:val="Numberheading"/>
        <w:numPr>
          <w:ilvl w:val="0"/>
          <w:numId w:val="13"/>
        </w:numPr>
      </w:pPr>
      <w:r w:rsidRPr="00511ED3">
        <w:t xml:space="preserve">Technique Progress Report – </w:t>
      </w:r>
      <w:r>
        <w:t>PAB</w:t>
      </w:r>
      <w:r w:rsidRPr="00511ED3">
        <w:t>173/02</w:t>
      </w:r>
    </w:p>
    <w:p w:rsidR="009763CB" w:rsidRPr="00511ED3" w:rsidRDefault="009763CB" w:rsidP="009763CB">
      <w:pPr>
        <w:pStyle w:val="Numberbodytext1"/>
        <w:numPr>
          <w:ilvl w:val="0"/>
          <w:numId w:val="0"/>
        </w:numPr>
        <w:ind w:left="624"/>
      </w:pPr>
      <w:r w:rsidRPr="00511ED3">
        <w:t>The PAB was presented with information on the delivery of the Performance Assurance Techniques. The report complements the Settlement Risk Report, and includes progress against the Performance Assurance Framework Key Performance Indicators.</w:t>
      </w:r>
    </w:p>
    <w:p w:rsidR="009763CB" w:rsidRPr="00511ED3" w:rsidRDefault="009763CB" w:rsidP="009763CB">
      <w:pPr>
        <w:pStyle w:val="Numberbodytext1"/>
        <w:numPr>
          <w:ilvl w:val="0"/>
          <w:numId w:val="0"/>
        </w:numPr>
        <w:ind w:left="624"/>
      </w:pPr>
      <w:r w:rsidRPr="00511ED3">
        <w:t>The PAB:</w:t>
      </w:r>
    </w:p>
    <w:p w:rsidR="00EE2C71" w:rsidRDefault="009763CB" w:rsidP="00EE2C71">
      <w:pPr>
        <w:pStyle w:val="ListNumber"/>
        <w:numPr>
          <w:ilvl w:val="0"/>
          <w:numId w:val="29"/>
        </w:numPr>
      </w:pPr>
      <w:r w:rsidRPr="00D405D3">
        <w:rPr>
          <w:b/>
        </w:rPr>
        <w:t xml:space="preserve">NOTED </w:t>
      </w:r>
      <w:r w:rsidRPr="00511ED3">
        <w:t xml:space="preserve">the EFR updates provided; </w:t>
      </w:r>
    </w:p>
    <w:p w:rsidR="009763CB" w:rsidRDefault="009763CB" w:rsidP="00EE2C71">
      <w:pPr>
        <w:pStyle w:val="ListNumber"/>
        <w:numPr>
          <w:ilvl w:val="0"/>
          <w:numId w:val="29"/>
        </w:numPr>
      </w:pPr>
      <w:r w:rsidRPr="00EE2C71">
        <w:rPr>
          <w:b/>
        </w:rPr>
        <w:t xml:space="preserve">AGREED </w:t>
      </w:r>
      <w:r w:rsidRPr="00511ED3">
        <w:t>that EFR i</w:t>
      </w:r>
      <w:r>
        <w:t>s turned on for a Supplier Id</w:t>
      </w:r>
      <w:r w:rsidRPr="00511ED3">
        <w:t xml:space="preserve"> for SR0072 and that a letter is written to confirm this;</w:t>
      </w:r>
    </w:p>
    <w:p w:rsidR="00EE2C71" w:rsidRDefault="00EE2C71" w:rsidP="00EE2C71">
      <w:pPr>
        <w:pStyle w:val="ListNumber"/>
        <w:numPr>
          <w:ilvl w:val="0"/>
          <w:numId w:val="29"/>
        </w:numPr>
      </w:pPr>
      <w:r w:rsidRPr="00EE2C71">
        <w:rPr>
          <w:b/>
        </w:rPr>
        <w:t xml:space="preserve">AGREED </w:t>
      </w:r>
      <w:r>
        <w:t>that EFR is turned off for a</w:t>
      </w:r>
      <w:r w:rsidRPr="00511ED3">
        <w:t xml:space="preserve"> HHMOA for PARMS reporting non-compliances found during a Technical Assurance check and that a letter is written to confirm this</w:t>
      </w:r>
      <w:r>
        <w:t>;</w:t>
      </w:r>
    </w:p>
    <w:p w:rsidR="00EE2C71" w:rsidRDefault="00EE2C71" w:rsidP="00EE2C71">
      <w:pPr>
        <w:pStyle w:val="ListNumber"/>
        <w:numPr>
          <w:ilvl w:val="0"/>
          <w:numId w:val="29"/>
        </w:numPr>
      </w:pPr>
      <w:r w:rsidRPr="00511ED3">
        <w:rPr>
          <w:b/>
        </w:rPr>
        <w:t>NOTED</w:t>
      </w:r>
      <w:r w:rsidRPr="00511ED3">
        <w:t xml:space="preserve"> the PAF KPI performance for May; and</w:t>
      </w:r>
    </w:p>
    <w:p w:rsidR="00683267" w:rsidRDefault="00EE2C71" w:rsidP="00EE2C71">
      <w:pPr>
        <w:pStyle w:val="ListNumber"/>
        <w:numPr>
          <w:ilvl w:val="0"/>
          <w:numId w:val="29"/>
        </w:numPr>
      </w:pPr>
      <w:r w:rsidRPr="00511ED3">
        <w:rPr>
          <w:b/>
        </w:rPr>
        <w:t xml:space="preserve">NOTED </w:t>
      </w:r>
      <w:r w:rsidRPr="00511ED3">
        <w:t>the P272 implementation plans outlined in Appendix B</w:t>
      </w:r>
      <w:r>
        <w:t>.</w:t>
      </w:r>
    </w:p>
    <w:sectPr w:rsidR="00683267" w:rsidSect="004B6E52">
      <w:headerReference w:type="default" r:id="rId13"/>
      <w:footerReference w:type="default" r:id="rId14"/>
      <w:type w:val="continuous"/>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53" w:rsidRDefault="00E97B53" w:rsidP="00D00160">
      <w:pPr>
        <w:spacing w:after="0"/>
      </w:pPr>
      <w:r>
        <w:separator/>
      </w:r>
    </w:p>
    <w:p w:rsidR="00E97B53" w:rsidRDefault="00E97B53"/>
  </w:endnote>
  <w:endnote w:type="continuationSeparator" w:id="0">
    <w:p w:rsidR="00E97B53" w:rsidRDefault="00E97B53" w:rsidP="00D00160">
      <w:pPr>
        <w:spacing w:after="0"/>
      </w:pPr>
      <w:r>
        <w:continuationSeparator/>
      </w:r>
    </w:p>
    <w:p w:rsidR="00E97B53" w:rsidRDefault="00E9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62697" w:rsidTr="00DD219E">
      <w:trPr>
        <w:trHeight w:val="159"/>
      </w:trPr>
      <w:tc>
        <w:tcPr>
          <w:tcW w:w="2296" w:type="dxa"/>
          <w:tcBorders>
            <w:top w:val="single" w:sz="36" w:space="0" w:color="0090AB" w:themeColor="text2"/>
          </w:tcBorders>
        </w:tcPr>
        <w:p w:rsidR="00D62697" w:rsidRDefault="00D62697" w:rsidP="00DD219E">
          <w:pPr>
            <w:pStyle w:val="1pt"/>
          </w:pPr>
        </w:p>
      </w:tc>
      <w:tc>
        <w:tcPr>
          <w:tcW w:w="284" w:type="dxa"/>
        </w:tcPr>
        <w:p w:rsidR="00D62697" w:rsidRDefault="00D62697" w:rsidP="00DD219E">
          <w:pPr>
            <w:pStyle w:val="1pt"/>
          </w:pPr>
        </w:p>
      </w:tc>
      <w:tc>
        <w:tcPr>
          <w:tcW w:w="2714" w:type="dxa"/>
          <w:tcBorders>
            <w:top w:val="single" w:sz="36" w:space="0" w:color="0090AB" w:themeColor="text2"/>
          </w:tcBorders>
        </w:tcPr>
        <w:p w:rsidR="00D62697" w:rsidRDefault="00D62697" w:rsidP="00DD219E">
          <w:pPr>
            <w:pStyle w:val="1pt"/>
          </w:pPr>
        </w:p>
      </w:tc>
      <w:tc>
        <w:tcPr>
          <w:tcW w:w="2712" w:type="dxa"/>
          <w:tcBorders>
            <w:top w:val="single" w:sz="36" w:space="0" w:color="0090AB" w:themeColor="text2"/>
          </w:tcBorders>
        </w:tcPr>
        <w:p w:rsidR="00D62697" w:rsidRDefault="00D62697" w:rsidP="00DD219E">
          <w:pPr>
            <w:pStyle w:val="1pt"/>
          </w:pPr>
        </w:p>
      </w:tc>
      <w:tc>
        <w:tcPr>
          <w:tcW w:w="2301" w:type="dxa"/>
          <w:tcBorders>
            <w:top w:val="single" w:sz="36" w:space="0" w:color="0090AB" w:themeColor="text2"/>
          </w:tcBorders>
        </w:tcPr>
        <w:p w:rsidR="00D62697" w:rsidRPr="009845EB" w:rsidRDefault="00D62697" w:rsidP="00DD219E">
          <w:pPr>
            <w:pStyle w:val="1pt"/>
          </w:pPr>
        </w:p>
      </w:tc>
    </w:tr>
    <w:tr w:rsidR="00D62697" w:rsidTr="00DD219E">
      <w:trPr>
        <w:trHeight w:val="357"/>
      </w:trPr>
      <w:tc>
        <w:tcPr>
          <w:tcW w:w="2296" w:type="dxa"/>
        </w:tcPr>
        <w:p w:rsidR="00D62697" w:rsidRPr="00BF573B" w:rsidRDefault="005627B2" w:rsidP="00DD219E">
          <w:pPr>
            <w:pStyle w:val="Footer"/>
          </w:pPr>
          <w:r>
            <w:fldChar w:fldCharType="begin"/>
          </w:r>
          <w:r>
            <w:instrText xml:space="preserve"> STYLEREF  "Footer Ref 1"  \* MERGEFORMAT </w:instrText>
          </w:r>
          <w:r>
            <w:fldChar w:fldCharType="separate"/>
          </w:r>
          <w:r w:rsidR="004B0E58">
            <w:rPr>
              <w:noProof/>
            </w:rPr>
            <w:t>239/01c</w:t>
          </w:r>
          <w:r>
            <w:rPr>
              <w:noProof/>
            </w:rPr>
            <w:fldChar w:fldCharType="end"/>
          </w:r>
        </w:p>
      </w:tc>
      <w:tc>
        <w:tcPr>
          <w:tcW w:w="284" w:type="dxa"/>
        </w:tcPr>
        <w:p w:rsidR="00D62697" w:rsidRDefault="00D62697" w:rsidP="00DD219E">
          <w:pPr>
            <w:pStyle w:val="Footer"/>
          </w:pPr>
        </w:p>
      </w:tc>
      <w:tc>
        <w:tcPr>
          <w:tcW w:w="5426" w:type="dxa"/>
          <w:gridSpan w:val="2"/>
        </w:tcPr>
        <w:p w:rsidR="00D62697" w:rsidRDefault="00166D0F" w:rsidP="00DD219E">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D62697" w:rsidRDefault="00D62697" w:rsidP="00DD219E">
          <w:pPr>
            <w:pStyle w:val="Footer"/>
          </w:pPr>
          <w:r>
            <w:rPr>
              <w:rFonts w:hint="eastAsia"/>
              <w:noProof/>
              <w:lang w:eastAsia="en-GB"/>
            </w:rPr>
            <w:drawing>
              <wp:inline distT="0" distB="0" distL="0" distR="0" wp14:anchorId="07DFA836" wp14:editId="2A44D677">
                <wp:extent cx="1461960" cy="3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62697" w:rsidTr="00DD219E">
      <w:trPr>
        <w:trHeight w:val="295"/>
      </w:trPr>
      <w:tc>
        <w:tcPr>
          <w:tcW w:w="2296" w:type="dxa"/>
        </w:tcPr>
        <w:p w:rsidR="00D62697" w:rsidRPr="004873F8" w:rsidRDefault="00D62697" w:rsidP="00DD219E">
          <w:pPr>
            <w:pStyle w:val="Footer"/>
          </w:pPr>
          <w:r w:rsidRPr="004873F8">
            <w:t xml:space="preserve">Page </w:t>
          </w:r>
          <w:r>
            <w:fldChar w:fldCharType="begin"/>
          </w:r>
          <w:r>
            <w:instrText xml:space="preserve"> PAGE  \* Arabic  \* MERGEFORMAT </w:instrText>
          </w:r>
          <w:r>
            <w:fldChar w:fldCharType="separate"/>
          </w:r>
          <w:r w:rsidR="003D0B17">
            <w:rPr>
              <w:noProof/>
            </w:rPr>
            <w:t>2</w:t>
          </w:r>
          <w:r>
            <w:rPr>
              <w:noProof/>
            </w:rPr>
            <w:fldChar w:fldCharType="end"/>
          </w:r>
          <w:r w:rsidRPr="004873F8">
            <w:t xml:space="preserve"> of </w:t>
          </w:r>
          <w:r w:rsidR="005627B2">
            <w:fldChar w:fldCharType="begin"/>
          </w:r>
          <w:r w:rsidR="005627B2">
            <w:instrText xml:space="preserve"> NUMPAGES  \* Arabic  \* MERGEFORMAT </w:instrText>
          </w:r>
          <w:r w:rsidR="005627B2">
            <w:fldChar w:fldCharType="separate"/>
          </w:r>
          <w:r w:rsidR="004B0E58">
            <w:rPr>
              <w:noProof/>
            </w:rPr>
            <w:t>3</w:t>
          </w:r>
          <w:r w:rsidR="005627B2">
            <w:rPr>
              <w:noProof/>
            </w:rPr>
            <w:fldChar w:fldCharType="end"/>
          </w:r>
        </w:p>
      </w:tc>
      <w:tc>
        <w:tcPr>
          <w:tcW w:w="284" w:type="dxa"/>
        </w:tcPr>
        <w:p w:rsidR="00D62697" w:rsidRDefault="00D62697" w:rsidP="00DD219E">
          <w:pPr>
            <w:pStyle w:val="Footer"/>
          </w:pPr>
        </w:p>
      </w:tc>
      <w:tc>
        <w:tcPr>
          <w:tcW w:w="2714" w:type="dxa"/>
        </w:tcPr>
        <w:p w:rsidR="00D62697" w:rsidRDefault="005627B2" w:rsidP="00DD219E">
          <w:pPr>
            <w:pStyle w:val="Footer"/>
          </w:pPr>
          <w:r>
            <w:fldChar w:fldCharType="begin"/>
          </w:r>
          <w:r>
            <w:instrText xml:space="preserve"> STYLEREF  "Footer Date"  \* MERGEFORMAT </w:instrText>
          </w:r>
          <w:r>
            <w:fldChar w:fldCharType="separate"/>
          </w:r>
          <w:r w:rsidR="004B0E58">
            <w:rPr>
              <w:noProof/>
            </w:rPr>
            <w:t>V1.0</w:t>
          </w:r>
          <w:r>
            <w:rPr>
              <w:noProof/>
            </w:rPr>
            <w:fldChar w:fldCharType="end"/>
          </w:r>
        </w:p>
      </w:tc>
      <w:tc>
        <w:tcPr>
          <w:tcW w:w="2712" w:type="dxa"/>
        </w:tcPr>
        <w:p w:rsidR="00D62697" w:rsidRDefault="00D62697" w:rsidP="00DD219E">
          <w:pPr>
            <w:pStyle w:val="Footer"/>
          </w:pPr>
          <w:r>
            <w:t xml:space="preserve">© ELEXON </w:t>
          </w:r>
          <w:r>
            <w:fldChar w:fldCharType="begin"/>
          </w:r>
          <w:r>
            <w:instrText xml:space="preserve"> DATE  \@ "yyyy" </w:instrText>
          </w:r>
          <w:r>
            <w:fldChar w:fldCharType="separate"/>
          </w:r>
          <w:r w:rsidR="005627B2">
            <w:rPr>
              <w:noProof/>
            </w:rPr>
            <w:t>2015</w:t>
          </w:r>
          <w:r>
            <w:fldChar w:fldCharType="end"/>
          </w:r>
        </w:p>
      </w:tc>
      <w:tc>
        <w:tcPr>
          <w:tcW w:w="2301" w:type="dxa"/>
          <w:vMerge/>
        </w:tcPr>
        <w:p w:rsidR="00D62697" w:rsidRDefault="00D62697" w:rsidP="00DD219E">
          <w:pPr>
            <w:pStyle w:val="Footer"/>
          </w:pPr>
        </w:p>
      </w:tc>
    </w:tr>
  </w:tbl>
  <w:p w:rsidR="00E53D37" w:rsidRDefault="00E53D37"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53" w:rsidRDefault="00E97B53" w:rsidP="00470A38">
    <w:pPr>
      <w:pStyle w:val="Footer"/>
      <w:numPr>
        <w:ilvl w:val="0"/>
        <w:numId w:val="1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5C0F15" w:rsidTr="00FD6587">
      <w:trPr>
        <w:trHeight w:val="159"/>
      </w:trPr>
      <w:tc>
        <w:tcPr>
          <w:tcW w:w="2296" w:type="dxa"/>
          <w:tcBorders>
            <w:top w:val="single" w:sz="36" w:space="0" w:color="0090AB" w:themeColor="text2"/>
          </w:tcBorders>
        </w:tcPr>
        <w:p w:rsidR="005C0F15" w:rsidRDefault="005627B2" w:rsidP="00FD6587">
          <w:pPr>
            <w:pStyle w:val="1pt"/>
          </w:pPr>
        </w:p>
      </w:tc>
      <w:tc>
        <w:tcPr>
          <w:tcW w:w="284" w:type="dxa"/>
        </w:tcPr>
        <w:p w:rsidR="005C0F15" w:rsidRDefault="005627B2" w:rsidP="00FD6587">
          <w:pPr>
            <w:pStyle w:val="1pt"/>
          </w:pPr>
        </w:p>
      </w:tc>
      <w:tc>
        <w:tcPr>
          <w:tcW w:w="2714" w:type="dxa"/>
          <w:tcBorders>
            <w:top w:val="single" w:sz="36" w:space="0" w:color="0090AB" w:themeColor="text2"/>
          </w:tcBorders>
        </w:tcPr>
        <w:p w:rsidR="005C0F15" w:rsidRDefault="005627B2" w:rsidP="00FD6587">
          <w:pPr>
            <w:pStyle w:val="1pt"/>
          </w:pPr>
        </w:p>
      </w:tc>
      <w:tc>
        <w:tcPr>
          <w:tcW w:w="2712" w:type="dxa"/>
          <w:tcBorders>
            <w:top w:val="single" w:sz="36" w:space="0" w:color="0090AB" w:themeColor="text2"/>
          </w:tcBorders>
        </w:tcPr>
        <w:p w:rsidR="005C0F15" w:rsidRDefault="005627B2" w:rsidP="00FD6587">
          <w:pPr>
            <w:pStyle w:val="1pt"/>
          </w:pPr>
        </w:p>
      </w:tc>
      <w:tc>
        <w:tcPr>
          <w:tcW w:w="2301" w:type="dxa"/>
          <w:tcBorders>
            <w:top w:val="single" w:sz="36" w:space="0" w:color="0090AB" w:themeColor="text2"/>
          </w:tcBorders>
        </w:tcPr>
        <w:p w:rsidR="005C0F15" w:rsidRPr="009845EB" w:rsidRDefault="005627B2" w:rsidP="00FD6587">
          <w:pPr>
            <w:pStyle w:val="1pt"/>
          </w:pPr>
        </w:p>
      </w:tc>
    </w:tr>
    <w:tr w:rsidR="005C0F15" w:rsidTr="003F3A3E">
      <w:trPr>
        <w:trHeight w:val="357"/>
      </w:trPr>
      <w:tc>
        <w:tcPr>
          <w:tcW w:w="2296" w:type="dxa"/>
        </w:tcPr>
        <w:p w:rsidR="005C0F15" w:rsidRPr="00BF573B" w:rsidRDefault="005627B2" w:rsidP="00FD6587">
          <w:pPr>
            <w:pStyle w:val="Footer"/>
          </w:pPr>
          <w:r>
            <w:fldChar w:fldCharType="begin"/>
          </w:r>
          <w:r>
            <w:instrText xml:space="preserve"> STYLEREF  "Footer Ref 1"  \* MERGEFORMAT </w:instrText>
          </w:r>
          <w:r>
            <w:fldChar w:fldCharType="separate"/>
          </w:r>
          <w:r>
            <w:rPr>
              <w:noProof/>
            </w:rPr>
            <w:t>242/01c</w:t>
          </w:r>
          <w:r>
            <w:rPr>
              <w:noProof/>
            </w:rPr>
            <w:fldChar w:fldCharType="end"/>
          </w:r>
        </w:p>
      </w:tc>
      <w:tc>
        <w:tcPr>
          <w:tcW w:w="284" w:type="dxa"/>
        </w:tcPr>
        <w:p w:rsidR="005C0F15" w:rsidRDefault="005627B2" w:rsidP="00FD6587">
          <w:pPr>
            <w:pStyle w:val="Footer"/>
          </w:pPr>
        </w:p>
      </w:tc>
      <w:tc>
        <w:tcPr>
          <w:tcW w:w="5426" w:type="dxa"/>
          <w:gridSpan w:val="2"/>
        </w:tcPr>
        <w:p w:rsidR="005C0F15" w:rsidRDefault="00683267" w:rsidP="00FD6587">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5C0F15" w:rsidRDefault="00683267" w:rsidP="00FD6587">
          <w:pPr>
            <w:pStyle w:val="Footer"/>
          </w:pPr>
          <w:r>
            <w:rPr>
              <w:rFonts w:hint="eastAsia"/>
              <w:noProof/>
              <w:lang w:eastAsia="en-GB"/>
            </w:rPr>
            <w:drawing>
              <wp:inline distT="0" distB="0" distL="0" distR="0" wp14:anchorId="7842E3F8" wp14:editId="39309F80">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C0F15" w:rsidTr="00FD6587">
      <w:trPr>
        <w:trHeight w:val="295"/>
      </w:trPr>
      <w:tc>
        <w:tcPr>
          <w:tcW w:w="2296" w:type="dxa"/>
        </w:tcPr>
        <w:p w:rsidR="005C0F15" w:rsidRPr="004873F8" w:rsidRDefault="00683267" w:rsidP="00FD6587">
          <w:pPr>
            <w:pStyle w:val="Footer"/>
          </w:pPr>
          <w:r w:rsidRPr="004873F8">
            <w:t xml:space="preserve">Page </w:t>
          </w:r>
          <w:r>
            <w:fldChar w:fldCharType="begin"/>
          </w:r>
          <w:r>
            <w:instrText xml:space="preserve"> PAGE  \* Arabic  \* MERGEFORMAT </w:instrText>
          </w:r>
          <w:r>
            <w:fldChar w:fldCharType="separate"/>
          </w:r>
          <w:r w:rsidR="005627B2">
            <w:rPr>
              <w:noProof/>
            </w:rPr>
            <w:t>4</w:t>
          </w:r>
          <w:r>
            <w:rPr>
              <w:noProof/>
            </w:rPr>
            <w:fldChar w:fldCharType="end"/>
          </w:r>
          <w:r w:rsidRPr="004873F8">
            <w:t xml:space="preserve"> of </w:t>
          </w:r>
          <w:r w:rsidR="005627B2">
            <w:fldChar w:fldCharType="begin"/>
          </w:r>
          <w:r w:rsidR="005627B2">
            <w:instrText xml:space="preserve"> NUMPAGES  \* Arabic  \* MERGEFORMAT </w:instrText>
          </w:r>
          <w:r w:rsidR="005627B2">
            <w:fldChar w:fldCharType="separate"/>
          </w:r>
          <w:r w:rsidR="005627B2">
            <w:rPr>
              <w:noProof/>
            </w:rPr>
            <w:t>4</w:t>
          </w:r>
          <w:r w:rsidR="005627B2">
            <w:rPr>
              <w:noProof/>
            </w:rPr>
            <w:fldChar w:fldCharType="end"/>
          </w:r>
        </w:p>
      </w:tc>
      <w:tc>
        <w:tcPr>
          <w:tcW w:w="284" w:type="dxa"/>
        </w:tcPr>
        <w:p w:rsidR="005C0F15" w:rsidRDefault="005627B2" w:rsidP="00FD6587">
          <w:pPr>
            <w:pStyle w:val="Footer"/>
          </w:pPr>
        </w:p>
      </w:tc>
      <w:tc>
        <w:tcPr>
          <w:tcW w:w="2714" w:type="dxa"/>
        </w:tcPr>
        <w:p w:rsidR="005C0F15" w:rsidRDefault="005627B2" w:rsidP="00FD6587">
          <w:pPr>
            <w:pStyle w:val="Footer"/>
          </w:pPr>
          <w:r>
            <w:fldChar w:fldCharType="begin"/>
          </w:r>
          <w:r>
            <w:instrText xml:space="preserve"> STYLEREF  "Footer Date"  \* MERGEFORMAT </w:instrText>
          </w:r>
          <w:r>
            <w:fldChar w:fldCharType="separate"/>
          </w:r>
          <w:r>
            <w:rPr>
              <w:noProof/>
            </w:rPr>
            <w:t>V1.0</w:t>
          </w:r>
          <w:r>
            <w:rPr>
              <w:noProof/>
            </w:rPr>
            <w:fldChar w:fldCharType="end"/>
          </w:r>
        </w:p>
      </w:tc>
      <w:tc>
        <w:tcPr>
          <w:tcW w:w="2712" w:type="dxa"/>
        </w:tcPr>
        <w:p w:rsidR="005C0F15" w:rsidRDefault="00683267" w:rsidP="00FD6587">
          <w:pPr>
            <w:pStyle w:val="Footer"/>
          </w:pPr>
          <w:r>
            <w:t xml:space="preserve">© ELEXON </w:t>
          </w:r>
          <w:r>
            <w:fldChar w:fldCharType="begin"/>
          </w:r>
          <w:r>
            <w:instrText xml:space="preserve"> DATE  \@ "yyyy" </w:instrText>
          </w:r>
          <w:r>
            <w:fldChar w:fldCharType="separate"/>
          </w:r>
          <w:r w:rsidR="005627B2">
            <w:rPr>
              <w:noProof/>
            </w:rPr>
            <w:t>2015</w:t>
          </w:r>
          <w:r>
            <w:fldChar w:fldCharType="end"/>
          </w:r>
        </w:p>
      </w:tc>
      <w:tc>
        <w:tcPr>
          <w:tcW w:w="2301" w:type="dxa"/>
          <w:vMerge/>
        </w:tcPr>
        <w:p w:rsidR="005C0F15" w:rsidRDefault="005627B2" w:rsidP="00FD6587">
          <w:pPr>
            <w:pStyle w:val="Footer"/>
          </w:pPr>
        </w:p>
      </w:tc>
    </w:tr>
  </w:tbl>
  <w:p w:rsidR="00E53D37" w:rsidRDefault="00E53D37" w:rsidP="00025A8A">
    <w:pPr>
      <w:pStyle w:val="1pt"/>
    </w:pPr>
  </w:p>
  <w:p w:rsidR="005013E0" w:rsidRDefault="005627B2"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53" w:rsidRDefault="00E97B53" w:rsidP="00D00160">
      <w:pPr>
        <w:spacing w:after="0"/>
      </w:pPr>
      <w:r>
        <w:separator/>
      </w:r>
    </w:p>
    <w:p w:rsidR="00E97B53" w:rsidRDefault="00E97B53"/>
  </w:footnote>
  <w:footnote w:type="continuationSeparator" w:id="0">
    <w:p w:rsidR="00E97B53" w:rsidRDefault="00E97B53" w:rsidP="00D00160">
      <w:pPr>
        <w:spacing w:after="0"/>
      </w:pPr>
      <w:r>
        <w:continuationSeparator/>
      </w:r>
    </w:p>
    <w:p w:rsidR="00E97B53" w:rsidRDefault="00E97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3D0B17">
      <w:trPr>
        <w:cantSplit/>
        <w:trHeight w:val="550"/>
      </w:trPr>
      <w:tc>
        <w:tcPr>
          <w:tcW w:w="10318" w:type="dxa"/>
          <w:tcBorders>
            <w:top w:val="nil"/>
          </w:tcBorders>
        </w:tcPr>
        <w:p w:rsidR="00E53D37" w:rsidRPr="009D47D6" w:rsidRDefault="005627B2" w:rsidP="009D47D6">
          <w:pPr>
            <w:pStyle w:val="Title"/>
          </w:pPr>
          <w:r>
            <w:fldChar w:fldCharType="begin"/>
          </w:r>
          <w:r>
            <w:instrText xml:space="preserve"> STYLEREF  Title  \* MERGEFORMAT </w:instrText>
          </w:r>
          <w:r>
            <w:fldChar w:fldCharType="separate"/>
          </w:r>
          <w:r w:rsidR="004B0E58">
            <w:rPr>
              <w:noProof/>
            </w:rPr>
            <w:t>rEPORT FROM THE PAB</w:t>
          </w:r>
          <w:r>
            <w:rPr>
              <w:noProof/>
            </w:rPr>
            <w:fldChar w:fldCharType="end"/>
          </w:r>
        </w:p>
      </w:tc>
    </w:tr>
    <w:tr w:rsidR="007B1DAF" w:rsidRPr="009D47D6" w:rsidTr="003A1CE2">
      <w:trPr>
        <w:cantSplit/>
        <w:trHeight w:hRule="exact" w:val="397"/>
      </w:trPr>
      <w:tc>
        <w:tcPr>
          <w:tcW w:w="10318" w:type="dxa"/>
        </w:tcPr>
        <w:p w:rsidR="007B1DAF" w:rsidRPr="009D47D6" w:rsidRDefault="007B1DAF" w:rsidP="007B1DAF">
          <w:pPr>
            <w:pStyle w:val="BodyText"/>
          </w:pPr>
        </w:p>
      </w:tc>
    </w:tr>
  </w:tbl>
  <w:p w:rsidR="007B1DAF" w:rsidRPr="000C4DC9" w:rsidRDefault="007B1DAF" w:rsidP="007B1DAF">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FD0225">
      <w:trPr>
        <w:cantSplit/>
        <w:trHeight w:val="550"/>
      </w:trPr>
      <w:tc>
        <w:tcPr>
          <w:tcW w:w="10318" w:type="dxa"/>
          <w:tcBorders>
            <w:top w:val="nil"/>
          </w:tcBorders>
        </w:tcPr>
        <w:p w:rsidR="00E53D37" w:rsidRPr="009D47D6" w:rsidRDefault="005627B2" w:rsidP="009D47D6">
          <w:pPr>
            <w:pStyle w:val="Title"/>
          </w:pPr>
          <w:r>
            <w:fldChar w:fldCharType="begin"/>
          </w:r>
          <w:r>
            <w:instrText xml:space="preserve"> STYLEREF  Title  \* MERGEFORMAT </w:instrText>
          </w:r>
          <w:r>
            <w:fldChar w:fldCharType="separate"/>
          </w:r>
          <w:r>
            <w:rPr>
              <w:noProof/>
            </w:rPr>
            <w:t>rEPORT FROM THE PAB</w:t>
          </w:r>
          <w:r>
            <w:rPr>
              <w:noProof/>
            </w:rPr>
            <w:fldChar w:fldCharType="end"/>
          </w:r>
        </w:p>
      </w:tc>
    </w:tr>
    <w:tr w:rsidR="007B1DAF" w:rsidRPr="009D47D6" w:rsidTr="005A3992">
      <w:trPr>
        <w:cantSplit/>
        <w:trHeight w:hRule="exact" w:val="369"/>
      </w:trPr>
      <w:tc>
        <w:tcPr>
          <w:tcW w:w="10318"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7F3"/>
    <w:multiLevelType w:val="hybridMultilevel"/>
    <w:tmpl w:val="0B74D6AC"/>
    <w:lvl w:ilvl="0" w:tplc="27CC3A2E">
      <w:start w:val="1"/>
      <w:numFmt w:val="lowerLetter"/>
      <w:lvlText w:val="%1)"/>
      <w:lvlJc w:val="left"/>
      <w:pPr>
        <w:ind w:left="720" w:hanging="360"/>
      </w:pPr>
      <w:rPr>
        <w:b w:val="0"/>
        <w:color w:val="0090A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4176AA6"/>
    <w:multiLevelType w:val="hybridMultilevel"/>
    <w:tmpl w:val="8B1E7B3A"/>
    <w:lvl w:ilvl="0" w:tplc="071C26E6">
      <w:start w:val="1"/>
      <w:numFmt w:val="lowerLetter"/>
      <w:lvlText w:val="%1)"/>
      <w:lvlJc w:val="left"/>
      <w:pPr>
        <w:ind w:left="1344" w:hanging="360"/>
      </w:pPr>
      <w:rPr>
        <w:b w:val="0"/>
        <w:color w:val="0090AB" w:themeColor="text2"/>
        <w:sz w:val="20"/>
        <w:szCs w:val="20"/>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nsid w:val="1AFD16BE"/>
    <w:multiLevelType w:val="hybridMultilevel"/>
    <w:tmpl w:val="5A06FA9E"/>
    <w:lvl w:ilvl="0" w:tplc="F15862FE">
      <w:start w:val="1"/>
      <w:numFmt w:val="lowerLetter"/>
      <w:lvlText w:val="%1)"/>
      <w:lvlJc w:val="left"/>
      <w:pPr>
        <w:ind w:left="720" w:hanging="360"/>
      </w:pPr>
      <w:rPr>
        <w:rFonts w:hint="default"/>
        <w:color w:val="0090A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E4426"/>
    <w:multiLevelType w:val="multilevel"/>
    <w:tmpl w:val="F072C886"/>
    <w:styleLink w:val="ListTable4"/>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215C01DA"/>
    <w:multiLevelType w:val="hybridMultilevel"/>
    <w:tmpl w:val="59F45C7A"/>
    <w:lvl w:ilvl="0" w:tplc="4ECE91DE">
      <w:start w:val="1"/>
      <w:numFmt w:val="lowerLetter"/>
      <w:lvlText w:val="%1)"/>
      <w:lvlJc w:val="left"/>
      <w:pPr>
        <w:ind w:left="984" w:hanging="360"/>
      </w:pPr>
      <w:rPr>
        <w:rFonts w:hint="default"/>
        <w:b w:val="0"/>
        <w:color w:val="008DA7"/>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6">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7">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3D313A76"/>
    <w:multiLevelType w:val="multilevel"/>
    <w:tmpl w:val="08090025"/>
    <w:styleLink w:val="ListNumber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E225E17"/>
    <w:multiLevelType w:val="multilevel"/>
    <w:tmpl w:val="A28EC53E"/>
    <w:numStyleLink w:val="ListHeadings"/>
  </w:abstractNum>
  <w:abstractNum w:abstractNumId="10">
    <w:nsid w:val="42CE12F9"/>
    <w:multiLevelType w:val="hybridMultilevel"/>
    <w:tmpl w:val="E5941768"/>
    <w:lvl w:ilvl="0" w:tplc="3D30C6AA">
      <w:start w:val="1"/>
      <w:numFmt w:val="lowerLetter"/>
      <w:lvlText w:val="%1)"/>
      <w:lvlJc w:val="left"/>
      <w:pPr>
        <w:ind w:left="1344" w:hanging="360"/>
      </w:pPr>
      <w:rPr>
        <w:b w:val="0"/>
        <w:color w:val="0090AB" w:themeColor="text2"/>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1">
    <w:nsid w:val="4FA94A89"/>
    <w:multiLevelType w:val="hybridMultilevel"/>
    <w:tmpl w:val="49A46CD4"/>
    <w:lvl w:ilvl="0" w:tplc="75128E54">
      <w:start w:val="1"/>
      <w:numFmt w:val="lowerLetter"/>
      <w:lvlText w:val="%1)"/>
      <w:lvlJc w:val="left"/>
      <w:pPr>
        <w:ind w:left="984" w:hanging="360"/>
      </w:pPr>
      <w:rPr>
        <w:rFonts w:hint="default"/>
        <w:b w:val="0"/>
        <w:color w:val="008DA7"/>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2">
    <w:nsid w:val="5D4D2929"/>
    <w:multiLevelType w:val="hybridMultilevel"/>
    <w:tmpl w:val="CFB6FD14"/>
    <w:lvl w:ilvl="0" w:tplc="A23E944E">
      <w:start w:val="1"/>
      <w:numFmt w:val="lowerLetter"/>
      <w:lvlText w:val="%1)"/>
      <w:lvlJc w:val="left"/>
      <w:pPr>
        <w:ind w:left="1344" w:hanging="360"/>
      </w:pPr>
      <w:rPr>
        <w:color w:val="0090AB" w:themeColor="text2"/>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3">
    <w:nsid w:val="613F7FE9"/>
    <w:multiLevelType w:val="hybridMultilevel"/>
    <w:tmpl w:val="AFB40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4313F0"/>
    <w:multiLevelType w:val="hybridMultilevel"/>
    <w:tmpl w:val="DD6891DE"/>
    <w:lvl w:ilvl="0" w:tplc="95347C58">
      <w:start w:val="1"/>
      <w:numFmt w:val="lowerLetter"/>
      <w:lvlText w:val="%1)"/>
      <w:lvlJc w:val="left"/>
      <w:pPr>
        <w:ind w:left="984" w:hanging="360"/>
      </w:pPr>
      <w:rPr>
        <w:rFonts w:hint="default"/>
        <w:b w:val="0"/>
        <w:color w:val="008DA7"/>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5">
    <w:nsid w:val="73D63850"/>
    <w:multiLevelType w:val="multilevel"/>
    <w:tmpl w:val="269C7F9C"/>
    <w:numStyleLink w:val="ListTable"/>
  </w:abstractNum>
  <w:abstractNum w:abstractNumId="16">
    <w:nsid w:val="7950338D"/>
    <w:multiLevelType w:val="hybridMultilevel"/>
    <w:tmpl w:val="2002692C"/>
    <w:lvl w:ilvl="0" w:tplc="5CEC4296">
      <w:start w:val="1"/>
      <w:numFmt w:val="lowerLetter"/>
      <w:lvlText w:val="%1)"/>
      <w:lvlJc w:val="left"/>
      <w:pPr>
        <w:ind w:left="984" w:hanging="360"/>
      </w:pPr>
      <w:rPr>
        <w:rFonts w:hint="default"/>
        <w:b w:val="0"/>
        <w:color w:val="008DA7"/>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nsid w:val="7D004CA6"/>
    <w:multiLevelType w:val="multilevel"/>
    <w:tmpl w:val="2E4EC6B8"/>
    <w:numStyleLink w:val="ListBullets"/>
  </w:abstractNum>
  <w:num w:numId="1">
    <w:abstractNumId w:val="7"/>
  </w:num>
  <w:num w:numId="2">
    <w:abstractNumId w:val="1"/>
  </w:num>
  <w:num w:numId="3">
    <w:abstractNumId w:val="4"/>
  </w:num>
  <w:num w:numId="4">
    <w:abstractNumId w:val="8"/>
  </w:num>
  <w:num w:numId="5">
    <w:abstractNumId w:val="4"/>
    <w:lvlOverride w:ilvl="0">
      <w:lvl w:ilvl="0">
        <w:start w:val="1"/>
        <w:numFmt w:val="lowerLetter"/>
        <w:pStyle w:val="ListNumber"/>
        <w:lvlText w:val="%1)"/>
        <w:lvlJc w:val="left"/>
        <w:pPr>
          <w:ind w:left="1021" w:hanging="397"/>
        </w:pPr>
        <w:rPr>
          <w:rFonts w:hint="default"/>
          <w:b w:val="0"/>
          <w:color w:val="0090AB" w:themeColor="text2"/>
        </w:rPr>
      </w:lvl>
    </w:lvlOverride>
  </w:num>
  <w:num w:numId="6">
    <w:abstractNumId w:val="6"/>
  </w:num>
  <w:num w:numId="7">
    <w:abstractNumId w:val="9"/>
  </w:num>
  <w:num w:numId="8">
    <w:abstractNumId w:val="15"/>
  </w:num>
  <w:num w:numId="9">
    <w:abstractNumId w:val="17"/>
  </w:num>
  <w:num w:numId="10">
    <w:abstractNumId w:val="13"/>
  </w:num>
  <w:num w:numId="11">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lvlOverride w:ilvl="1">
      <w:startOverride w:val="1"/>
      <w:lvl w:ilvl="1">
        <w:start w:val="1"/>
        <w:numFmt w:val="lowerRoman"/>
        <w:pStyle w:val="ListNumber2"/>
        <w:lvlText w:val="%2)"/>
        <w:lvlJc w:val="left"/>
        <w:pPr>
          <w:ind w:left="1418" w:hanging="397"/>
        </w:pPr>
        <w:rPr>
          <w:rFonts w:hint="default"/>
        </w:rPr>
      </w:lvl>
    </w:lvlOverride>
    <w:lvlOverride w:ilvl="2">
      <w:startOverride w:val="1"/>
      <w:lvl w:ilvl="2">
        <w:start w:val="1"/>
        <w:numFmt w:val="none"/>
        <w:pStyle w:val="ListNumber3"/>
        <w:lvlText w:val=""/>
        <w:lvlJc w:val="left"/>
        <w:pPr>
          <w:tabs>
            <w:tab w:val="num" w:pos="1418"/>
          </w:tabs>
          <w:ind w:left="1815" w:hanging="397"/>
        </w:pPr>
        <w:rPr>
          <w:rFonts w:hint="default"/>
        </w:rPr>
      </w:lvl>
    </w:lvlOverride>
    <w:lvlOverride w:ilvl="3">
      <w:startOverride w:val="1"/>
      <w:lvl w:ilvl="3">
        <w:start w:val="1"/>
        <w:numFmt w:val="none"/>
        <w:lvlText w:val=""/>
        <w:lvlJc w:val="left"/>
        <w:pPr>
          <w:tabs>
            <w:tab w:val="num" w:pos="1815"/>
          </w:tabs>
          <w:ind w:left="2212" w:hanging="397"/>
        </w:pPr>
        <w:rPr>
          <w:rFonts w:hint="default"/>
        </w:rPr>
      </w:lvl>
    </w:lvlOverride>
    <w:lvlOverride w:ilvl="4">
      <w:startOverride w:val="1"/>
      <w:lvl w:ilvl="4">
        <w:start w:val="1"/>
        <w:numFmt w:val="none"/>
        <w:lvlText w:val=""/>
        <w:lvlJc w:val="left"/>
        <w:pPr>
          <w:tabs>
            <w:tab w:val="num" w:pos="2212"/>
          </w:tabs>
          <w:ind w:left="2609" w:hanging="397"/>
        </w:pPr>
        <w:rPr>
          <w:rFonts w:hint="default"/>
        </w:rPr>
      </w:lvl>
    </w:lvlOverride>
    <w:lvlOverride w:ilvl="5">
      <w:startOverride w:val="1"/>
      <w:lvl w:ilvl="5">
        <w:start w:val="1"/>
        <w:numFmt w:val="none"/>
        <w:lvlText w:val=""/>
        <w:lvlJc w:val="left"/>
        <w:pPr>
          <w:tabs>
            <w:tab w:val="num" w:pos="2609"/>
          </w:tabs>
          <w:ind w:left="3006" w:hanging="397"/>
        </w:pPr>
        <w:rPr>
          <w:rFonts w:hint="default"/>
        </w:rPr>
      </w:lvl>
    </w:lvlOverride>
    <w:lvlOverride w:ilvl="6">
      <w:startOverride w:val="1"/>
      <w:lvl w:ilvl="6">
        <w:start w:val="1"/>
        <w:numFmt w:val="none"/>
        <w:lvlText w:val=""/>
        <w:lvlJc w:val="left"/>
        <w:pPr>
          <w:tabs>
            <w:tab w:val="num" w:pos="3006"/>
          </w:tabs>
          <w:ind w:left="3403" w:hanging="397"/>
        </w:pPr>
        <w:rPr>
          <w:rFonts w:hint="default"/>
        </w:rPr>
      </w:lvl>
    </w:lvlOverride>
    <w:lvlOverride w:ilvl="7">
      <w:startOverride w:val="1"/>
      <w:lvl w:ilvl="7">
        <w:start w:val="1"/>
        <w:numFmt w:val="none"/>
        <w:lvlText w:val=""/>
        <w:lvlJc w:val="left"/>
        <w:pPr>
          <w:tabs>
            <w:tab w:val="num" w:pos="3403"/>
          </w:tabs>
          <w:ind w:left="3800" w:hanging="397"/>
        </w:pPr>
        <w:rPr>
          <w:rFonts w:hint="default"/>
        </w:rPr>
      </w:lvl>
    </w:lvlOverride>
    <w:lvlOverride w:ilvl="8">
      <w:startOverride w:val="1"/>
      <w:lvl w:ilvl="8">
        <w:start w:val="1"/>
        <w:numFmt w:val="none"/>
        <w:lvlText w:val=""/>
        <w:lvlJc w:val="left"/>
        <w:pPr>
          <w:tabs>
            <w:tab w:val="num" w:pos="3800"/>
          </w:tabs>
          <w:ind w:left="4197" w:hanging="397"/>
        </w:pPr>
        <w:rPr>
          <w:rFonts w:hint="default"/>
        </w:rPr>
      </w:lvl>
    </w:lvlOverride>
  </w:num>
  <w:num w:numId="12">
    <w:abstractNumId w:val="4"/>
    <w:lvlOverride w:ilvl="0">
      <w:lvl w:ilvl="0">
        <w:start w:val="1"/>
        <w:numFmt w:val="lowerLetter"/>
        <w:pStyle w:val="ListNumber"/>
        <w:lvlText w:val="%1)"/>
        <w:lvlJc w:val="left"/>
        <w:pPr>
          <w:ind w:left="1021" w:hanging="397"/>
        </w:pPr>
        <w:rPr>
          <w:rFonts w:hint="default"/>
          <w:b w:val="0"/>
          <w:color w:val="0090AB" w:themeColor="text2"/>
        </w:rPr>
      </w:lvl>
    </w:lvlOverride>
    <w:lvlOverride w:ilvl="1">
      <w:lvl w:ilvl="1">
        <w:start w:val="1"/>
        <w:numFmt w:val="lowerRoman"/>
        <w:pStyle w:val="ListNumber2"/>
        <w:lvlText w:val="%2)"/>
        <w:lvlJc w:val="left"/>
        <w:pPr>
          <w:ind w:left="1418" w:hanging="397"/>
        </w:pPr>
        <w:rPr>
          <w:rFonts w:hint="default"/>
        </w:rPr>
      </w:lvl>
    </w:lvlOverride>
    <w:lvlOverride w:ilvl="2">
      <w:lvl w:ilvl="2">
        <w:start w:val="1"/>
        <w:numFmt w:val="none"/>
        <w:pStyle w:val="ListNumber3"/>
        <w:lvlText w:val=""/>
        <w:lvlJc w:val="left"/>
        <w:pPr>
          <w:tabs>
            <w:tab w:val="num" w:pos="1418"/>
          </w:tabs>
          <w:ind w:left="1815" w:hanging="397"/>
        </w:pPr>
        <w:rPr>
          <w:rFonts w:hint="default"/>
        </w:rPr>
      </w:lvl>
    </w:lvlOverride>
    <w:lvlOverride w:ilvl="3">
      <w:lvl w:ilvl="3">
        <w:start w:val="1"/>
        <w:numFmt w:val="none"/>
        <w:lvlText w:val=""/>
        <w:lvlJc w:val="left"/>
        <w:pPr>
          <w:tabs>
            <w:tab w:val="num" w:pos="1815"/>
          </w:tabs>
          <w:ind w:left="2212" w:hanging="397"/>
        </w:pPr>
        <w:rPr>
          <w:rFonts w:hint="default"/>
        </w:rPr>
      </w:lvl>
    </w:lvlOverride>
    <w:lvlOverride w:ilvl="4">
      <w:lvl w:ilvl="4">
        <w:start w:val="1"/>
        <w:numFmt w:val="none"/>
        <w:lvlText w:val=""/>
        <w:lvlJc w:val="left"/>
        <w:pPr>
          <w:tabs>
            <w:tab w:val="num" w:pos="2212"/>
          </w:tabs>
          <w:ind w:left="2609" w:hanging="397"/>
        </w:pPr>
        <w:rPr>
          <w:rFonts w:hint="default"/>
        </w:rPr>
      </w:lvl>
    </w:lvlOverride>
    <w:lvlOverride w:ilvl="5">
      <w:lvl w:ilvl="5">
        <w:start w:val="1"/>
        <w:numFmt w:val="none"/>
        <w:lvlText w:val=""/>
        <w:lvlJc w:val="left"/>
        <w:pPr>
          <w:tabs>
            <w:tab w:val="num" w:pos="2609"/>
          </w:tabs>
          <w:ind w:left="3006" w:hanging="397"/>
        </w:pPr>
        <w:rPr>
          <w:rFonts w:hint="default"/>
        </w:rPr>
      </w:lvl>
    </w:lvlOverride>
    <w:lvlOverride w:ilvl="6">
      <w:lvl w:ilvl="6">
        <w:start w:val="1"/>
        <w:numFmt w:val="none"/>
        <w:lvlText w:val=""/>
        <w:lvlJc w:val="left"/>
        <w:pPr>
          <w:tabs>
            <w:tab w:val="num" w:pos="3006"/>
          </w:tabs>
          <w:ind w:left="3403" w:hanging="397"/>
        </w:pPr>
        <w:rPr>
          <w:rFonts w:hint="default"/>
        </w:rPr>
      </w:lvl>
    </w:lvlOverride>
    <w:lvlOverride w:ilvl="7">
      <w:lvl w:ilvl="7">
        <w:start w:val="1"/>
        <w:numFmt w:val="none"/>
        <w:lvlText w:val=""/>
        <w:lvlJc w:val="left"/>
        <w:pPr>
          <w:tabs>
            <w:tab w:val="num" w:pos="3403"/>
          </w:tabs>
          <w:ind w:left="3800" w:hanging="397"/>
        </w:pPr>
        <w:rPr>
          <w:rFonts w:hint="default"/>
        </w:rPr>
      </w:lvl>
    </w:lvlOverride>
    <w:lvlOverride w:ilvl="8">
      <w:lvl w:ilvl="8">
        <w:start w:val="1"/>
        <w:numFmt w:val="none"/>
        <w:lvlText w:val=""/>
        <w:lvlJc w:val="left"/>
        <w:pPr>
          <w:tabs>
            <w:tab w:val="num" w:pos="3800"/>
          </w:tabs>
          <w:ind w:left="4197" w:hanging="397"/>
        </w:pPr>
        <w:rPr>
          <w:rFonts w:hint="default"/>
        </w:rPr>
      </w:lvl>
    </w:lvlOverride>
  </w:num>
  <w:num w:numId="13">
    <w:abstractNumId w:val="9"/>
    <w:lvlOverride w:ilvl="0">
      <w:lvl w:ilvl="0">
        <w:start w:val="1"/>
        <w:numFmt w:val="decimal"/>
        <w:pStyle w:val="Numberheading"/>
        <w:lvlText w:val="%1."/>
        <w:lvlJc w:val="left"/>
        <w:pPr>
          <w:ind w:left="624" w:hanging="624"/>
        </w:pPr>
        <w:rPr>
          <w:rFonts w:hint="default"/>
        </w:rPr>
      </w:lvl>
    </w:lvlOverride>
    <w:lvlOverride w:ilvl="1">
      <w:lvl w:ilvl="1">
        <w:start w:val="1"/>
        <w:numFmt w:val="decimal"/>
        <w:pStyle w:val="Numberbodytext1"/>
        <w:lvlText w:val="%1.%2"/>
        <w:lvlJc w:val="left"/>
        <w:pPr>
          <w:ind w:left="624" w:hanging="624"/>
        </w:pPr>
        <w:rPr>
          <w:rFonts w:hint="default"/>
        </w:rPr>
      </w:lvl>
    </w:lvlOverride>
    <w:lvlOverride w:ilvl="2">
      <w:lvl w:ilvl="2">
        <w:start w:val="1"/>
        <w:numFmt w:val="decimal"/>
        <w:pStyle w:val="Numberbodytext2"/>
        <w:lvlText w:val="%1.%2.%3"/>
        <w:lvlJc w:val="left"/>
        <w:pPr>
          <w:ind w:left="624" w:hanging="624"/>
        </w:pPr>
        <w:rPr>
          <w:rFonts w:hint="default"/>
        </w:rPr>
      </w:lvl>
    </w:lvlOverride>
    <w:lvlOverride w:ilvl="3">
      <w:lvl w:ilvl="3">
        <w:start w:val="1"/>
        <w:numFmt w:val="none"/>
        <w:lvlText w:val=""/>
        <w:lvlJc w:val="left"/>
        <w:pPr>
          <w:ind w:left="624" w:hanging="624"/>
        </w:pPr>
        <w:rPr>
          <w:rFonts w:hint="default"/>
        </w:rPr>
      </w:lvl>
    </w:lvlOverride>
    <w:lvlOverride w:ilvl="4">
      <w:lvl w:ilvl="4">
        <w:start w:val="1"/>
        <w:numFmt w:val="none"/>
        <w:lvlText w:val=""/>
        <w:lvlJc w:val="left"/>
        <w:pPr>
          <w:ind w:left="624" w:hanging="624"/>
        </w:pPr>
        <w:rPr>
          <w:rFonts w:hint="default"/>
        </w:rPr>
      </w:lvl>
    </w:lvlOverride>
    <w:lvlOverride w:ilvl="5">
      <w:lvl w:ilvl="5">
        <w:start w:val="1"/>
        <w:numFmt w:val="none"/>
        <w:lvlText w:val=""/>
        <w:lvlJc w:val="left"/>
        <w:pPr>
          <w:ind w:left="624" w:hanging="624"/>
        </w:pPr>
        <w:rPr>
          <w:rFonts w:hint="default"/>
        </w:rPr>
      </w:lvl>
    </w:lvlOverride>
    <w:lvlOverride w:ilvl="6">
      <w:lvl w:ilvl="6">
        <w:start w:val="1"/>
        <w:numFmt w:val="none"/>
        <w:lvlText w:val=""/>
        <w:lvlJc w:val="left"/>
        <w:pPr>
          <w:ind w:left="624" w:hanging="624"/>
        </w:pPr>
        <w:rPr>
          <w:rFonts w:hint="default"/>
        </w:rPr>
      </w:lvl>
    </w:lvlOverride>
    <w:lvlOverride w:ilvl="7">
      <w:lvl w:ilvl="7">
        <w:start w:val="1"/>
        <w:numFmt w:val="none"/>
        <w:lvlText w:val=""/>
        <w:lvlJc w:val="left"/>
        <w:pPr>
          <w:ind w:left="624" w:hanging="624"/>
        </w:pPr>
        <w:rPr>
          <w:rFonts w:hint="default"/>
        </w:rPr>
      </w:lvl>
    </w:lvlOverride>
    <w:lvlOverride w:ilvl="8">
      <w:lvl w:ilvl="8">
        <w:start w:val="1"/>
        <w:numFmt w:val="none"/>
        <w:lvlText w:val=""/>
        <w:lvlJc w:val="left"/>
        <w:pPr>
          <w:ind w:left="624" w:hanging="624"/>
        </w:pPr>
        <w:rPr>
          <w:rFonts w:hint="default"/>
        </w:rPr>
      </w:lvl>
    </w:lvlOverride>
  </w:num>
  <w:num w:numId="14">
    <w:abstractNumId w:val="9"/>
    <w:lvlOverride w:ilvl="0">
      <w:lvl w:ilvl="0">
        <w:start w:val="1"/>
        <w:numFmt w:val="decimal"/>
        <w:pStyle w:val="Numberheading"/>
        <w:lvlText w:val="%1."/>
        <w:lvlJc w:val="left"/>
        <w:pPr>
          <w:ind w:left="624" w:hanging="624"/>
        </w:pPr>
        <w:rPr>
          <w:rFonts w:hint="default"/>
        </w:rPr>
      </w:lvl>
    </w:lvlOverride>
    <w:lvlOverride w:ilvl="1">
      <w:lvl w:ilvl="1">
        <w:start w:val="1"/>
        <w:numFmt w:val="decimal"/>
        <w:pStyle w:val="Numberbodytext1"/>
        <w:lvlText w:val="%1.%2"/>
        <w:lvlJc w:val="left"/>
        <w:pPr>
          <w:ind w:left="624" w:hanging="624"/>
        </w:pPr>
        <w:rPr>
          <w:rFonts w:hint="default"/>
        </w:rPr>
      </w:lvl>
    </w:lvlOverride>
    <w:lvlOverride w:ilvl="2">
      <w:lvl w:ilvl="2">
        <w:start w:val="1"/>
        <w:numFmt w:val="decimal"/>
        <w:pStyle w:val="Numberbodytext2"/>
        <w:lvlText w:val="%1.%2.%3"/>
        <w:lvlJc w:val="left"/>
        <w:pPr>
          <w:ind w:left="624" w:hanging="624"/>
        </w:pPr>
        <w:rPr>
          <w:rFonts w:hint="default"/>
        </w:rPr>
      </w:lvl>
    </w:lvlOverride>
    <w:lvlOverride w:ilvl="3">
      <w:lvl w:ilvl="3">
        <w:start w:val="1"/>
        <w:numFmt w:val="none"/>
        <w:lvlText w:val=""/>
        <w:lvlJc w:val="left"/>
        <w:pPr>
          <w:ind w:left="624" w:hanging="624"/>
        </w:pPr>
        <w:rPr>
          <w:rFonts w:hint="default"/>
        </w:rPr>
      </w:lvl>
    </w:lvlOverride>
    <w:lvlOverride w:ilvl="4">
      <w:lvl w:ilvl="4">
        <w:start w:val="1"/>
        <w:numFmt w:val="none"/>
        <w:lvlText w:val=""/>
        <w:lvlJc w:val="left"/>
        <w:pPr>
          <w:ind w:left="624" w:hanging="624"/>
        </w:pPr>
        <w:rPr>
          <w:rFonts w:hint="default"/>
        </w:rPr>
      </w:lvl>
    </w:lvlOverride>
    <w:lvlOverride w:ilvl="5">
      <w:lvl w:ilvl="5">
        <w:start w:val="1"/>
        <w:numFmt w:val="none"/>
        <w:lvlText w:val=""/>
        <w:lvlJc w:val="left"/>
        <w:pPr>
          <w:ind w:left="624" w:hanging="624"/>
        </w:pPr>
        <w:rPr>
          <w:rFonts w:hint="default"/>
        </w:rPr>
      </w:lvl>
    </w:lvlOverride>
    <w:lvlOverride w:ilvl="6">
      <w:lvl w:ilvl="6">
        <w:start w:val="1"/>
        <w:numFmt w:val="none"/>
        <w:lvlText w:val=""/>
        <w:lvlJc w:val="left"/>
        <w:pPr>
          <w:ind w:left="624" w:hanging="624"/>
        </w:pPr>
        <w:rPr>
          <w:rFonts w:hint="default"/>
        </w:rPr>
      </w:lvl>
    </w:lvlOverride>
    <w:lvlOverride w:ilvl="7">
      <w:lvl w:ilvl="7">
        <w:start w:val="1"/>
        <w:numFmt w:val="none"/>
        <w:lvlText w:val=""/>
        <w:lvlJc w:val="left"/>
        <w:pPr>
          <w:ind w:left="624" w:hanging="624"/>
        </w:pPr>
        <w:rPr>
          <w:rFonts w:hint="default"/>
        </w:rPr>
      </w:lvl>
    </w:lvlOverride>
    <w:lvlOverride w:ilvl="8">
      <w:lvl w:ilvl="8">
        <w:start w:val="1"/>
        <w:numFmt w:val="none"/>
        <w:lvlText w:val=""/>
        <w:lvlJc w:val="left"/>
        <w:pPr>
          <w:ind w:left="624" w:hanging="624"/>
        </w:pPr>
        <w:rPr>
          <w:rFonts w:hint="default"/>
        </w:rPr>
      </w:lvl>
    </w:lvlOverride>
  </w:num>
  <w:num w:numId="15">
    <w:abstractNumId w:val="9"/>
    <w:lvlOverride w:ilvl="0">
      <w:lvl w:ilvl="0">
        <w:start w:val="1"/>
        <w:numFmt w:val="decimal"/>
        <w:pStyle w:val="Numberheading"/>
        <w:lvlText w:val="%1."/>
        <w:lvlJc w:val="left"/>
        <w:pPr>
          <w:ind w:left="624" w:hanging="624"/>
        </w:pPr>
        <w:rPr>
          <w:rFonts w:hint="default"/>
          <w:color w:val="0090AB" w:themeColor="text2"/>
        </w:rPr>
      </w:lvl>
    </w:lvlOverride>
  </w:num>
  <w:num w:numId="16">
    <w:abstractNumId w:val="0"/>
  </w:num>
  <w:num w:numId="17">
    <w:abstractNumId w:val="10"/>
  </w:num>
  <w:num w:numId="18">
    <w:abstractNumId w:val="2"/>
  </w:num>
  <w:num w:numId="19">
    <w:abstractNumId w:val="3"/>
  </w:num>
  <w:num w:numId="20">
    <w:abstractNumId w:val="12"/>
  </w:num>
  <w:num w:numId="21">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num>
  <w:num w:numId="22">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num>
  <w:num w:numId="23">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num>
  <w:num w:numId="24">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num>
  <w:num w:numId="25">
    <w:abstractNumId w:val="4"/>
    <w:lvlOverride w:ilvl="0">
      <w:startOverride w:val="1"/>
      <w:lvl w:ilvl="0">
        <w:start w:val="1"/>
        <w:numFmt w:val="lowerLetter"/>
        <w:pStyle w:val="ListNumber"/>
        <w:lvlText w:val="%1)"/>
        <w:lvlJc w:val="left"/>
        <w:pPr>
          <w:ind w:left="1021" w:hanging="397"/>
        </w:pPr>
        <w:rPr>
          <w:rFonts w:hint="default"/>
          <w:b w:val="0"/>
          <w:color w:val="0090AB" w:themeColor="text2"/>
        </w:rPr>
      </w:lvl>
    </w:lvlOverride>
  </w:num>
  <w:num w:numId="26">
    <w:abstractNumId w:val="14"/>
  </w:num>
  <w:num w:numId="27">
    <w:abstractNumId w:val="5"/>
  </w:num>
  <w:num w:numId="28">
    <w:abstractNumId w:val="16"/>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851"/>
  <w:drawingGridHorizontalSpacing w:val="100"/>
  <w:displayHorizontalDrawingGridEvery w:val="2"/>
  <w:displayVerticalDrawingGridEvery w:val="2"/>
  <w:characterSpacingControl w:val="doNotCompress"/>
  <w:hdrShapeDefaults>
    <o:shapedefaults v:ext="edit" spidmax="6144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53"/>
    <w:rsid w:val="00003DBA"/>
    <w:rsid w:val="000078F3"/>
    <w:rsid w:val="000128C9"/>
    <w:rsid w:val="00015631"/>
    <w:rsid w:val="00015705"/>
    <w:rsid w:val="0001665B"/>
    <w:rsid w:val="00022399"/>
    <w:rsid w:val="0002328B"/>
    <w:rsid w:val="00024FCF"/>
    <w:rsid w:val="00025108"/>
    <w:rsid w:val="00025A8A"/>
    <w:rsid w:val="00026FC0"/>
    <w:rsid w:val="000343CB"/>
    <w:rsid w:val="00035FC0"/>
    <w:rsid w:val="00041EC1"/>
    <w:rsid w:val="00045857"/>
    <w:rsid w:val="00047923"/>
    <w:rsid w:val="00050889"/>
    <w:rsid w:val="00051C54"/>
    <w:rsid w:val="00051D61"/>
    <w:rsid w:val="000573F4"/>
    <w:rsid w:val="0006412A"/>
    <w:rsid w:val="0006470B"/>
    <w:rsid w:val="00071309"/>
    <w:rsid w:val="00074A17"/>
    <w:rsid w:val="00083A4B"/>
    <w:rsid w:val="00084BB0"/>
    <w:rsid w:val="000A03BE"/>
    <w:rsid w:val="000A32E3"/>
    <w:rsid w:val="000B0BF6"/>
    <w:rsid w:val="000B0CA4"/>
    <w:rsid w:val="000B64DB"/>
    <w:rsid w:val="000C0795"/>
    <w:rsid w:val="000C4DC9"/>
    <w:rsid w:val="000C4F41"/>
    <w:rsid w:val="000C543E"/>
    <w:rsid w:val="000C7695"/>
    <w:rsid w:val="000D31D2"/>
    <w:rsid w:val="000D4049"/>
    <w:rsid w:val="000D559A"/>
    <w:rsid w:val="000E25F9"/>
    <w:rsid w:val="000F670D"/>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D09C2"/>
    <w:rsid w:val="001D222B"/>
    <w:rsid w:val="001D362E"/>
    <w:rsid w:val="001D5905"/>
    <w:rsid w:val="001E0DED"/>
    <w:rsid w:val="001E2050"/>
    <w:rsid w:val="001F5FF8"/>
    <w:rsid w:val="00200719"/>
    <w:rsid w:val="0020255E"/>
    <w:rsid w:val="002050E1"/>
    <w:rsid w:val="00224CBF"/>
    <w:rsid w:val="00227464"/>
    <w:rsid w:val="00241ED6"/>
    <w:rsid w:val="00243F75"/>
    <w:rsid w:val="00253B86"/>
    <w:rsid w:val="0025704F"/>
    <w:rsid w:val="00270DC2"/>
    <w:rsid w:val="00272B0C"/>
    <w:rsid w:val="00275E71"/>
    <w:rsid w:val="00276651"/>
    <w:rsid w:val="002811FE"/>
    <w:rsid w:val="002836E6"/>
    <w:rsid w:val="00283B5E"/>
    <w:rsid w:val="002850A8"/>
    <w:rsid w:val="00287A11"/>
    <w:rsid w:val="00290EEC"/>
    <w:rsid w:val="00293848"/>
    <w:rsid w:val="002A1873"/>
    <w:rsid w:val="002A4FFD"/>
    <w:rsid w:val="002B1291"/>
    <w:rsid w:val="002B2467"/>
    <w:rsid w:val="002B60FA"/>
    <w:rsid w:val="002B64C3"/>
    <w:rsid w:val="002C2A71"/>
    <w:rsid w:val="002C4253"/>
    <w:rsid w:val="002D4ED7"/>
    <w:rsid w:val="002E1537"/>
    <w:rsid w:val="002E3F45"/>
    <w:rsid w:val="002E4FC5"/>
    <w:rsid w:val="002E52AF"/>
    <w:rsid w:val="002E7A18"/>
    <w:rsid w:val="002F138B"/>
    <w:rsid w:val="002F2F81"/>
    <w:rsid w:val="002F6971"/>
    <w:rsid w:val="00305EA8"/>
    <w:rsid w:val="00306E69"/>
    <w:rsid w:val="00312A7C"/>
    <w:rsid w:val="00326268"/>
    <w:rsid w:val="00331FC8"/>
    <w:rsid w:val="00333E34"/>
    <w:rsid w:val="00334D94"/>
    <w:rsid w:val="00350F5E"/>
    <w:rsid w:val="00351A33"/>
    <w:rsid w:val="0035504E"/>
    <w:rsid w:val="00356E74"/>
    <w:rsid w:val="00360453"/>
    <w:rsid w:val="00360DC1"/>
    <w:rsid w:val="00362D93"/>
    <w:rsid w:val="00370AB7"/>
    <w:rsid w:val="00375CC5"/>
    <w:rsid w:val="003812E8"/>
    <w:rsid w:val="00383845"/>
    <w:rsid w:val="003A1CE2"/>
    <w:rsid w:val="003A5A5F"/>
    <w:rsid w:val="003A60F6"/>
    <w:rsid w:val="003B068D"/>
    <w:rsid w:val="003B1693"/>
    <w:rsid w:val="003B566A"/>
    <w:rsid w:val="003C2435"/>
    <w:rsid w:val="003C6FA2"/>
    <w:rsid w:val="003D0B17"/>
    <w:rsid w:val="003D20BC"/>
    <w:rsid w:val="003D2F63"/>
    <w:rsid w:val="003E3D26"/>
    <w:rsid w:val="0040030D"/>
    <w:rsid w:val="00401A30"/>
    <w:rsid w:val="004022EE"/>
    <w:rsid w:val="00412CE1"/>
    <w:rsid w:val="004133F4"/>
    <w:rsid w:val="004204F4"/>
    <w:rsid w:val="0043259F"/>
    <w:rsid w:val="0043358D"/>
    <w:rsid w:val="00444777"/>
    <w:rsid w:val="00456823"/>
    <w:rsid w:val="004626FC"/>
    <w:rsid w:val="00464C7E"/>
    <w:rsid w:val="00465A5E"/>
    <w:rsid w:val="00467F86"/>
    <w:rsid w:val="00470A38"/>
    <w:rsid w:val="00474B80"/>
    <w:rsid w:val="0048235F"/>
    <w:rsid w:val="0048274B"/>
    <w:rsid w:val="00483183"/>
    <w:rsid w:val="004844C2"/>
    <w:rsid w:val="004849C8"/>
    <w:rsid w:val="00486E3A"/>
    <w:rsid w:val="004873F8"/>
    <w:rsid w:val="004904CA"/>
    <w:rsid w:val="00492353"/>
    <w:rsid w:val="00493260"/>
    <w:rsid w:val="00493A65"/>
    <w:rsid w:val="0049503B"/>
    <w:rsid w:val="0049627F"/>
    <w:rsid w:val="004A135F"/>
    <w:rsid w:val="004A5FDA"/>
    <w:rsid w:val="004B0E58"/>
    <w:rsid w:val="004B4F5D"/>
    <w:rsid w:val="004B51B6"/>
    <w:rsid w:val="004B6E52"/>
    <w:rsid w:val="004B751A"/>
    <w:rsid w:val="004C143F"/>
    <w:rsid w:val="004C753B"/>
    <w:rsid w:val="004D4201"/>
    <w:rsid w:val="004D4C4F"/>
    <w:rsid w:val="004E3651"/>
    <w:rsid w:val="005046A0"/>
    <w:rsid w:val="00506E22"/>
    <w:rsid w:val="00510487"/>
    <w:rsid w:val="00511557"/>
    <w:rsid w:val="005129DD"/>
    <w:rsid w:val="00526528"/>
    <w:rsid w:val="00526D98"/>
    <w:rsid w:val="00541E77"/>
    <w:rsid w:val="005423DC"/>
    <w:rsid w:val="00555C8C"/>
    <w:rsid w:val="00556B2F"/>
    <w:rsid w:val="005600ED"/>
    <w:rsid w:val="005627B2"/>
    <w:rsid w:val="0057310D"/>
    <w:rsid w:val="005745BE"/>
    <w:rsid w:val="005806C8"/>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2FE"/>
    <w:rsid w:val="006119C2"/>
    <w:rsid w:val="00617BEE"/>
    <w:rsid w:val="00624307"/>
    <w:rsid w:val="00627B7E"/>
    <w:rsid w:val="00631F2E"/>
    <w:rsid w:val="00643DB1"/>
    <w:rsid w:val="00660CB1"/>
    <w:rsid w:val="006713C4"/>
    <w:rsid w:val="00671888"/>
    <w:rsid w:val="006807CF"/>
    <w:rsid w:val="006808D1"/>
    <w:rsid w:val="00683267"/>
    <w:rsid w:val="00691A37"/>
    <w:rsid w:val="00693B09"/>
    <w:rsid w:val="0069564B"/>
    <w:rsid w:val="00696C07"/>
    <w:rsid w:val="006A1050"/>
    <w:rsid w:val="006A1AF5"/>
    <w:rsid w:val="006A3242"/>
    <w:rsid w:val="006C0DD4"/>
    <w:rsid w:val="006C2D4C"/>
    <w:rsid w:val="006C5231"/>
    <w:rsid w:val="006C7661"/>
    <w:rsid w:val="006D188B"/>
    <w:rsid w:val="006D5BC0"/>
    <w:rsid w:val="006E1377"/>
    <w:rsid w:val="006E445E"/>
    <w:rsid w:val="006F2B4C"/>
    <w:rsid w:val="00700125"/>
    <w:rsid w:val="00701B7D"/>
    <w:rsid w:val="00705107"/>
    <w:rsid w:val="00713AA5"/>
    <w:rsid w:val="00714E30"/>
    <w:rsid w:val="007176C5"/>
    <w:rsid w:val="0072343F"/>
    <w:rsid w:val="00724E12"/>
    <w:rsid w:val="0073692C"/>
    <w:rsid w:val="00740CE6"/>
    <w:rsid w:val="00740D57"/>
    <w:rsid w:val="0074339D"/>
    <w:rsid w:val="0074369E"/>
    <w:rsid w:val="007455F6"/>
    <w:rsid w:val="00751685"/>
    <w:rsid w:val="0075650A"/>
    <w:rsid w:val="0077420B"/>
    <w:rsid w:val="00776261"/>
    <w:rsid w:val="007845B9"/>
    <w:rsid w:val="00793CE4"/>
    <w:rsid w:val="00794941"/>
    <w:rsid w:val="007A5271"/>
    <w:rsid w:val="007A750B"/>
    <w:rsid w:val="007B1DAF"/>
    <w:rsid w:val="007C16D2"/>
    <w:rsid w:val="007C5F0B"/>
    <w:rsid w:val="007C73F7"/>
    <w:rsid w:val="007D04AA"/>
    <w:rsid w:val="007D0E52"/>
    <w:rsid w:val="007D59DF"/>
    <w:rsid w:val="007E0107"/>
    <w:rsid w:val="007F07C5"/>
    <w:rsid w:val="007F1200"/>
    <w:rsid w:val="007F32EE"/>
    <w:rsid w:val="007F3DA5"/>
    <w:rsid w:val="007F7099"/>
    <w:rsid w:val="007F7133"/>
    <w:rsid w:val="00807E70"/>
    <w:rsid w:val="0082633E"/>
    <w:rsid w:val="008545EE"/>
    <w:rsid w:val="0087420B"/>
    <w:rsid w:val="00874A5B"/>
    <w:rsid w:val="00882677"/>
    <w:rsid w:val="00886BFD"/>
    <w:rsid w:val="008902C0"/>
    <w:rsid w:val="0089353A"/>
    <w:rsid w:val="0089428A"/>
    <w:rsid w:val="008A719F"/>
    <w:rsid w:val="008B4235"/>
    <w:rsid w:val="008B638A"/>
    <w:rsid w:val="008C340B"/>
    <w:rsid w:val="008C3527"/>
    <w:rsid w:val="008C39F6"/>
    <w:rsid w:val="008C6D28"/>
    <w:rsid w:val="008C73C7"/>
    <w:rsid w:val="008D59F5"/>
    <w:rsid w:val="008E63FD"/>
    <w:rsid w:val="00901842"/>
    <w:rsid w:val="00917F4B"/>
    <w:rsid w:val="00931FB4"/>
    <w:rsid w:val="009434FC"/>
    <w:rsid w:val="0094690D"/>
    <w:rsid w:val="00951E4D"/>
    <w:rsid w:val="00956807"/>
    <w:rsid w:val="0095774A"/>
    <w:rsid w:val="0096060D"/>
    <w:rsid w:val="009607E7"/>
    <w:rsid w:val="009763CB"/>
    <w:rsid w:val="009767A7"/>
    <w:rsid w:val="009845EB"/>
    <w:rsid w:val="009933A5"/>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1F48"/>
    <w:rsid w:val="00A54E9C"/>
    <w:rsid w:val="00A611C5"/>
    <w:rsid w:val="00A66BB4"/>
    <w:rsid w:val="00A71734"/>
    <w:rsid w:val="00A750A5"/>
    <w:rsid w:val="00A856D3"/>
    <w:rsid w:val="00A85FF7"/>
    <w:rsid w:val="00A87081"/>
    <w:rsid w:val="00A93917"/>
    <w:rsid w:val="00A96528"/>
    <w:rsid w:val="00AA1AD9"/>
    <w:rsid w:val="00AA7567"/>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46CCE"/>
    <w:rsid w:val="00B55CA0"/>
    <w:rsid w:val="00B67341"/>
    <w:rsid w:val="00B71C2A"/>
    <w:rsid w:val="00B7564F"/>
    <w:rsid w:val="00B77FF5"/>
    <w:rsid w:val="00B81BE7"/>
    <w:rsid w:val="00B9589B"/>
    <w:rsid w:val="00BA2E49"/>
    <w:rsid w:val="00BA3308"/>
    <w:rsid w:val="00BA785C"/>
    <w:rsid w:val="00BB4AA3"/>
    <w:rsid w:val="00BC620F"/>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7641"/>
    <w:rsid w:val="00C460D2"/>
    <w:rsid w:val="00C551D7"/>
    <w:rsid w:val="00C611AB"/>
    <w:rsid w:val="00C63D70"/>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5D00"/>
    <w:rsid w:val="00D5644A"/>
    <w:rsid w:val="00D565CB"/>
    <w:rsid w:val="00D62697"/>
    <w:rsid w:val="00D654A6"/>
    <w:rsid w:val="00D65E4C"/>
    <w:rsid w:val="00D95ED2"/>
    <w:rsid w:val="00DA1A39"/>
    <w:rsid w:val="00DA2D6E"/>
    <w:rsid w:val="00DB17C4"/>
    <w:rsid w:val="00DC1F44"/>
    <w:rsid w:val="00DC2EFA"/>
    <w:rsid w:val="00DC4705"/>
    <w:rsid w:val="00DD1C68"/>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7BA"/>
    <w:rsid w:val="00E7331F"/>
    <w:rsid w:val="00E80574"/>
    <w:rsid w:val="00E87AB5"/>
    <w:rsid w:val="00E900F9"/>
    <w:rsid w:val="00E97B53"/>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E2BAF"/>
    <w:rsid w:val="00EE2C71"/>
    <w:rsid w:val="00EF2549"/>
    <w:rsid w:val="00F11B7F"/>
    <w:rsid w:val="00F1614F"/>
    <w:rsid w:val="00F16C0B"/>
    <w:rsid w:val="00F16F05"/>
    <w:rsid w:val="00F2113E"/>
    <w:rsid w:val="00F26D0B"/>
    <w:rsid w:val="00F31705"/>
    <w:rsid w:val="00F43EB8"/>
    <w:rsid w:val="00F465BA"/>
    <w:rsid w:val="00F50671"/>
    <w:rsid w:val="00F57A62"/>
    <w:rsid w:val="00F57B58"/>
    <w:rsid w:val="00F7272D"/>
    <w:rsid w:val="00F73B18"/>
    <w:rsid w:val="00F764F7"/>
    <w:rsid w:val="00F8313F"/>
    <w:rsid w:val="00F9053D"/>
    <w:rsid w:val="00F9616D"/>
    <w:rsid w:val="00F96D9D"/>
    <w:rsid w:val="00FA38AF"/>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E97B5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9"/>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7"/>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7"/>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6"/>
      </w:numPr>
    </w:pPr>
  </w:style>
  <w:style w:type="paragraph" w:customStyle="1" w:styleId="Tablenumbered">
    <w:name w:val="Table numbered"/>
    <w:basedOn w:val="Tabletext"/>
    <w:uiPriority w:val="9"/>
    <w:qFormat/>
    <w:rsid w:val="005806C8"/>
    <w:pPr>
      <w:numPr>
        <w:numId w:val="8"/>
      </w:numPr>
    </w:pPr>
  </w:style>
  <w:style w:type="character" w:styleId="CommentReference">
    <w:name w:val="annotation reference"/>
    <w:basedOn w:val="DefaultParagraphFont"/>
    <w:uiPriority w:val="99"/>
    <w:semiHidden/>
    <w:unhideWhenUsed/>
    <w:rsid w:val="002E3F45"/>
    <w:rPr>
      <w:sz w:val="16"/>
      <w:szCs w:val="16"/>
    </w:rPr>
  </w:style>
  <w:style w:type="paragraph" w:styleId="CommentText">
    <w:name w:val="annotation text"/>
    <w:basedOn w:val="Normal"/>
    <w:link w:val="CommentTextChar"/>
    <w:uiPriority w:val="99"/>
    <w:semiHidden/>
    <w:unhideWhenUsed/>
    <w:rsid w:val="002E3F45"/>
    <w:pPr>
      <w:spacing w:line="240" w:lineRule="auto"/>
    </w:pPr>
  </w:style>
  <w:style w:type="character" w:customStyle="1" w:styleId="CommentTextChar">
    <w:name w:val="Comment Text Char"/>
    <w:basedOn w:val="DefaultParagraphFont"/>
    <w:link w:val="CommentText"/>
    <w:uiPriority w:val="99"/>
    <w:semiHidden/>
    <w:rsid w:val="002E3F4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E3F45"/>
    <w:rPr>
      <w:b/>
      <w:bCs/>
    </w:rPr>
  </w:style>
  <w:style w:type="character" w:customStyle="1" w:styleId="CommentSubjectChar">
    <w:name w:val="Comment Subject Char"/>
    <w:basedOn w:val="CommentTextChar"/>
    <w:link w:val="CommentSubject"/>
    <w:uiPriority w:val="99"/>
    <w:semiHidden/>
    <w:rsid w:val="002E3F45"/>
    <w:rPr>
      <w:rFonts w:ascii="Tahoma" w:hAnsi="Tahoma" w:cs="Tahoma"/>
      <w:b/>
      <w:bCs/>
      <w:color w:val="000000" w:themeColor="text1"/>
      <w:sz w:val="20"/>
      <w:szCs w:val="20"/>
    </w:rPr>
  </w:style>
  <w:style w:type="paragraph" w:styleId="Revision">
    <w:name w:val="Revision"/>
    <w:hidden/>
    <w:uiPriority w:val="99"/>
    <w:semiHidden/>
    <w:rsid w:val="000D31D2"/>
    <w:rPr>
      <w:rFonts w:ascii="Tahoma" w:hAnsi="Tahoma" w:cs="Tahoma"/>
      <w:color w:val="000000" w:themeColor="text1"/>
      <w:sz w:val="20"/>
      <w:szCs w:val="20"/>
    </w:rPr>
  </w:style>
  <w:style w:type="numbering" w:customStyle="1" w:styleId="ListTable1">
    <w:name w:val="__List Table1"/>
    <w:uiPriority w:val="99"/>
    <w:rsid w:val="008C39F6"/>
  </w:style>
  <w:style w:type="numbering" w:customStyle="1" w:styleId="ListTable2">
    <w:name w:val="__List Table2"/>
    <w:uiPriority w:val="99"/>
    <w:rsid w:val="0096060D"/>
  </w:style>
  <w:style w:type="numbering" w:customStyle="1" w:styleId="ListNumbers1">
    <w:name w:val="__List Numbers1"/>
    <w:basedOn w:val="NoList"/>
    <w:uiPriority w:val="99"/>
    <w:rsid w:val="004B751A"/>
  </w:style>
  <w:style w:type="numbering" w:customStyle="1" w:styleId="ListTable3">
    <w:name w:val="__List Table3"/>
    <w:uiPriority w:val="99"/>
    <w:rsid w:val="004B751A"/>
  </w:style>
  <w:style w:type="numbering" w:customStyle="1" w:styleId="ListNumbers2">
    <w:name w:val="__List Numbers2"/>
    <w:basedOn w:val="NoList"/>
    <w:uiPriority w:val="99"/>
    <w:rsid w:val="00631F2E"/>
    <w:pPr>
      <w:numPr>
        <w:numId w:val="4"/>
      </w:numPr>
    </w:pPr>
  </w:style>
  <w:style w:type="numbering" w:customStyle="1" w:styleId="ListTable4">
    <w:name w:val="__List Table4"/>
    <w:uiPriority w:val="99"/>
    <w:rsid w:val="00631F2E"/>
    <w:pPr>
      <w:numPr>
        <w:numId w:val="3"/>
      </w:numPr>
    </w:pPr>
  </w:style>
  <w:style w:type="numbering" w:customStyle="1" w:styleId="ListNumbers3">
    <w:name w:val="__List Numbers3"/>
    <w:basedOn w:val="NoList"/>
    <w:uiPriority w:val="99"/>
    <w:rsid w:val="007F07C5"/>
  </w:style>
  <w:style w:type="numbering" w:customStyle="1" w:styleId="ListTable5">
    <w:name w:val="__List Table5"/>
    <w:uiPriority w:val="99"/>
    <w:rsid w:val="007F07C5"/>
  </w:style>
  <w:style w:type="numbering" w:customStyle="1" w:styleId="ListNumbers4">
    <w:name w:val="__List Numbers4"/>
    <w:basedOn w:val="NoList"/>
    <w:uiPriority w:val="99"/>
    <w:rsid w:val="007F7099"/>
  </w:style>
  <w:style w:type="numbering" w:customStyle="1" w:styleId="ListTable6">
    <w:name w:val="__List Table6"/>
    <w:uiPriority w:val="99"/>
    <w:rsid w:val="007F7099"/>
  </w:style>
  <w:style w:type="numbering" w:customStyle="1" w:styleId="ListNumbers5">
    <w:name w:val="__List Numbers5"/>
    <w:basedOn w:val="NoList"/>
    <w:uiPriority w:val="99"/>
    <w:rsid w:val="004B6E52"/>
  </w:style>
  <w:style w:type="numbering" w:customStyle="1" w:styleId="ListTable7">
    <w:name w:val="__List Table7"/>
    <w:uiPriority w:val="99"/>
    <w:rsid w:val="004B6E52"/>
  </w:style>
  <w:style w:type="numbering" w:customStyle="1" w:styleId="ListNumbers6">
    <w:name w:val="__List Numbers6"/>
    <w:basedOn w:val="NoList"/>
    <w:uiPriority w:val="99"/>
    <w:rsid w:val="00683267"/>
  </w:style>
  <w:style w:type="numbering" w:customStyle="1" w:styleId="ListTable8">
    <w:name w:val="__List Table8"/>
    <w:uiPriority w:val="99"/>
    <w:rsid w:val="00683267"/>
  </w:style>
  <w:style w:type="numbering" w:customStyle="1" w:styleId="ListHeadings2">
    <w:name w:val="__List Headings2"/>
    <w:uiPriority w:val="99"/>
    <w:rsid w:val="0068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E97B5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9"/>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7"/>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7"/>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6"/>
      </w:numPr>
    </w:pPr>
  </w:style>
  <w:style w:type="paragraph" w:customStyle="1" w:styleId="Tablenumbered">
    <w:name w:val="Table numbered"/>
    <w:basedOn w:val="Tabletext"/>
    <w:uiPriority w:val="9"/>
    <w:qFormat/>
    <w:rsid w:val="005806C8"/>
    <w:pPr>
      <w:numPr>
        <w:numId w:val="8"/>
      </w:numPr>
    </w:pPr>
  </w:style>
  <w:style w:type="character" w:styleId="CommentReference">
    <w:name w:val="annotation reference"/>
    <w:basedOn w:val="DefaultParagraphFont"/>
    <w:uiPriority w:val="99"/>
    <w:semiHidden/>
    <w:unhideWhenUsed/>
    <w:rsid w:val="002E3F45"/>
    <w:rPr>
      <w:sz w:val="16"/>
      <w:szCs w:val="16"/>
    </w:rPr>
  </w:style>
  <w:style w:type="paragraph" w:styleId="CommentText">
    <w:name w:val="annotation text"/>
    <w:basedOn w:val="Normal"/>
    <w:link w:val="CommentTextChar"/>
    <w:uiPriority w:val="99"/>
    <w:semiHidden/>
    <w:unhideWhenUsed/>
    <w:rsid w:val="002E3F45"/>
    <w:pPr>
      <w:spacing w:line="240" w:lineRule="auto"/>
    </w:pPr>
  </w:style>
  <w:style w:type="character" w:customStyle="1" w:styleId="CommentTextChar">
    <w:name w:val="Comment Text Char"/>
    <w:basedOn w:val="DefaultParagraphFont"/>
    <w:link w:val="CommentText"/>
    <w:uiPriority w:val="99"/>
    <w:semiHidden/>
    <w:rsid w:val="002E3F4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E3F45"/>
    <w:rPr>
      <w:b/>
      <w:bCs/>
    </w:rPr>
  </w:style>
  <w:style w:type="character" w:customStyle="1" w:styleId="CommentSubjectChar">
    <w:name w:val="Comment Subject Char"/>
    <w:basedOn w:val="CommentTextChar"/>
    <w:link w:val="CommentSubject"/>
    <w:uiPriority w:val="99"/>
    <w:semiHidden/>
    <w:rsid w:val="002E3F45"/>
    <w:rPr>
      <w:rFonts w:ascii="Tahoma" w:hAnsi="Tahoma" w:cs="Tahoma"/>
      <w:b/>
      <w:bCs/>
      <w:color w:val="000000" w:themeColor="text1"/>
      <w:sz w:val="20"/>
      <w:szCs w:val="20"/>
    </w:rPr>
  </w:style>
  <w:style w:type="paragraph" w:styleId="Revision">
    <w:name w:val="Revision"/>
    <w:hidden/>
    <w:uiPriority w:val="99"/>
    <w:semiHidden/>
    <w:rsid w:val="000D31D2"/>
    <w:rPr>
      <w:rFonts w:ascii="Tahoma" w:hAnsi="Tahoma" w:cs="Tahoma"/>
      <w:color w:val="000000" w:themeColor="text1"/>
      <w:sz w:val="20"/>
      <w:szCs w:val="20"/>
    </w:rPr>
  </w:style>
  <w:style w:type="numbering" w:customStyle="1" w:styleId="ListTable1">
    <w:name w:val="__List Table1"/>
    <w:uiPriority w:val="99"/>
    <w:rsid w:val="008C39F6"/>
  </w:style>
  <w:style w:type="numbering" w:customStyle="1" w:styleId="ListTable2">
    <w:name w:val="__List Table2"/>
    <w:uiPriority w:val="99"/>
    <w:rsid w:val="0096060D"/>
  </w:style>
  <w:style w:type="numbering" w:customStyle="1" w:styleId="ListNumbers1">
    <w:name w:val="__List Numbers1"/>
    <w:basedOn w:val="NoList"/>
    <w:uiPriority w:val="99"/>
    <w:rsid w:val="004B751A"/>
  </w:style>
  <w:style w:type="numbering" w:customStyle="1" w:styleId="ListTable3">
    <w:name w:val="__List Table3"/>
    <w:uiPriority w:val="99"/>
    <w:rsid w:val="004B751A"/>
  </w:style>
  <w:style w:type="numbering" w:customStyle="1" w:styleId="ListNumbers2">
    <w:name w:val="__List Numbers2"/>
    <w:basedOn w:val="NoList"/>
    <w:uiPriority w:val="99"/>
    <w:rsid w:val="00631F2E"/>
    <w:pPr>
      <w:numPr>
        <w:numId w:val="4"/>
      </w:numPr>
    </w:pPr>
  </w:style>
  <w:style w:type="numbering" w:customStyle="1" w:styleId="ListTable4">
    <w:name w:val="__List Table4"/>
    <w:uiPriority w:val="99"/>
    <w:rsid w:val="00631F2E"/>
    <w:pPr>
      <w:numPr>
        <w:numId w:val="3"/>
      </w:numPr>
    </w:pPr>
  </w:style>
  <w:style w:type="numbering" w:customStyle="1" w:styleId="ListNumbers3">
    <w:name w:val="__List Numbers3"/>
    <w:basedOn w:val="NoList"/>
    <w:uiPriority w:val="99"/>
    <w:rsid w:val="007F07C5"/>
  </w:style>
  <w:style w:type="numbering" w:customStyle="1" w:styleId="ListTable5">
    <w:name w:val="__List Table5"/>
    <w:uiPriority w:val="99"/>
    <w:rsid w:val="007F07C5"/>
  </w:style>
  <w:style w:type="numbering" w:customStyle="1" w:styleId="ListNumbers4">
    <w:name w:val="__List Numbers4"/>
    <w:basedOn w:val="NoList"/>
    <w:uiPriority w:val="99"/>
    <w:rsid w:val="007F7099"/>
  </w:style>
  <w:style w:type="numbering" w:customStyle="1" w:styleId="ListTable6">
    <w:name w:val="__List Table6"/>
    <w:uiPriority w:val="99"/>
    <w:rsid w:val="007F7099"/>
  </w:style>
  <w:style w:type="numbering" w:customStyle="1" w:styleId="ListNumbers5">
    <w:name w:val="__List Numbers5"/>
    <w:basedOn w:val="NoList"/>
    <w:uiPriority w:val="99"/>
    <w:rsid w:val="004B6E52"/>
  </w:style>
  <w:style w:type="numbering" w:customStyle="1" w:styleId="ListTable7">
    <w:name w:val="__List Table7"/>
    <w:uiPriority w:val="99"/>
    <w:rsid w:val="004B6E52"/>
  </w:style>
  <w:style w:type="numbering" w:customStyle="1" w:styleId="ListNumbers6">
    <w:name w:val="__List Numbers6"/>
    <w:basedOn w:val="NoList"/>
    <w:uiPriority w:val="99"/>
    <w:rsid w:val="00683267"/>
  </w:style>
  <w:style w:type="numbering" w:customStyle="1" w:styleId="ListTable8">
    <w:name w:val="__List Table8"/>
    <w:uiPriority w:val="99"/>
    <w:rsid w:val="00683267"/>
  </w:style>
  <w:style w:type="numbering" w:customStyle="1" w:styleId="ListHeadings2">
    <w:name w:val="__List Headings2"/>
    <w:uiPriority w:val="99"/>
    <w:rsid w:val="0068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48F8DD80954495A0D9DCF3C827D074"/>
        <w:category>
          <w:name w:val="General"/>
          <w:gallery w:val="placeholder"/>
        </w:category>
        <w:types>
          <w:type w:val="bbPlcHdr"/>
        </w:types>
        <w:behaviors>
          <w:behavior w:val="content"/>
        </w:behaviors>
        <w:guid w:val="{988190B1-E4A9-403C-B737-21BB2DD2E4B2}"/>
      </w:docPartPr>
      <w:docPartBody>
        <w:p w:rsidR="00A71D59" w:rsidRDefault="00A71D59">
          <w:pPr>
            <w:pStyle w:val="AA48F8DD80954495A0D9DCF3C827D074"/>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9"/>
    <w:rsid w:val="00A7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48F8DD80954495A0D9DCF3C827D074">
    <w:name w:val="AA48F8DD80954495A0D9DCF3C827D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48F8DD80954495A0D9DCF3C827D074">
    <w:name w:val="AA48F8DD80954495A0D9DCF3C827D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0177-574B-40D0-83EC-7DA092AB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Nicola Dempsey</dc:creator>
  <cp:lastModifiedBy>Jessica Porter</cp:lastModifiedBy>
  <cp:revision>6</cp:revision>
  <cp:lastPrinted>2015-05-01T09:24:00Z</cp:lastPrinted>
  <dcterms:created xsi:type="dcterms:W3CDTF">2015-06-03T12:50:00Z</dcterms:created>
  <dcterms:modified xsi:type="dcterms:W3CDTF">2015-07-30T14:23:00Z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