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460860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E03ADD">
              <w:t>40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6544C6" w:rsidP="00460860">
            <w:pPr>
              <w:pStyle w:val="Date"/>
            </w:pPr>
            <w:r>
              <w:t>1</w:t>
            </w:r>
            <w:r w:rsidR="00E03ADD">
              <w:t>2</w:t>
            </w:r>
            <w:r>
              <w:t xml:space="preserve"> </w:t>
            </w:r>
            <w:r w:rsidR="00E03ADD">
              <w:t>November</w:t>
            </w:r>
            <w:r w:rsidR="00223592">
              <w:t xml:space="preserve"> 2014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E85D91" w:rsidP="006A74C3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00540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5416F4">
                <w:rPr>
                  <w:noProof/>
                </w:rPr>
                <w:t>3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517D06" w:rsidP="00F17887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E85D91">
              <w:t>2</w:t>
            </w:r>
            <w:r>
              <w:t xml:space="preserve"> </w:t>
            </w:r>
            <w:r w:rsidR="00E85D91">
              <w:t>November</w:t>
            </w:r>
            <w:r w:rsidR="00223592">
              <w:t xml:space="preserve"> 2014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AF71E0">
              <w:rPr>
                <w:noProof/>
              </w:rPr>
              <w:t>2014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E03ADD">
        <w:t>16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223592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E03ADD" w:rsidP="00C07404">
            <w:pPr>
              <w:pStyle w:val="Tabletext"/>
            </w:pPr>
            <w:r>
              <w:t>M2258</w:t>
            </w:r>
          </w:p>
        </w:tc>
        <w:tc>
          <w:tcPr>
            <w:tcW w:w="1211" w:type="dxa"/>
            <w:vAlign w:val="center"/>
          </w:tcPr>
          <w:p w:rsidR="00223592" w:rsidRPr="00C07404" w:rsidRDefault="00E03ADD" w:rsidP="00546589">
            <w:pPr>
              <w:pStyle w:val="Tabletext"/>
            </w:pPr>
            <w:r>
              <w:t>EMEB</w:t>
            </w:r>
          </w:p>
        </w:tc>
        <w:tc>
          <w:tcPr>
            <w:tcW w:w="7974" w:type="dxa"/>
            <w:vAlign w:val="center"/>
          </w:tcPr>
          <w:p w:rsidR="003C11E1" w:rsidRDefault="003C11E1" w:rsidP="00AF71E0">
            <w:pPr>
              <w:pStyle w:val="Tabletext"/>
              <w:ind w:left="0"/>
            </w:pPr>
            <w:r>
              <w:t xml:space="preserve">Creation of </w:t>
            </w:r>
            <w:r w:rsidR="005B37DF">
              <w:t>new additional Site Specific LLFC’s and associated MTC/LLFC combination</w:t>
            </w:r>
          </w:p>
          <w:p w:rsidR="00105471" w:rsidRPr="00105471" w:rsidRDefault="005B37DF" w:rsidP="00AF71E0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from: 01/04/2015</w:t>
            </w:r>
          </w:p>
        </w:tc>
      </w:tr>
      <w:tr w:rsidR="00C820E0" w:rsidRPr="004E05C5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C07404" w:rsidRDefault="00E03ADD" w:rsidP="00C07404">
            <w:pPr>
              <w:pStyle w:val="Tabletext"/>
            </w:pPr>
            <w:r>
              <w:t>M2259</w:t>
            </w:r>
          </w:p>
        </w:tc>
        <w:tc>
          <w:tcPr>
            <w:tcW w:w="1211" w:type="dxa"/>
            <w:vAlign w:val="center"/>
          </w:tcPr>
          <w:p w:rsidR="00C820E0" w:rsidRPr="00C07404" w:rsidRDefault="00E03ADD" w:rsidP="00546589">
            <w:pPr>
              <w:pStyle w:val="Tabletext"/>
            </w:pPr>
            <w:r>
              <w:t>MIDE</w:t>
            </w:r>
          </w:p>
        </w:tc>
        <w:tc>
          <w:tcPr>
            <w:tcW w:w="7974" w:type="dxa"/>
            <w:vAlign w:val="center"/>
          </w:tcPr>
          <w:p w:rsidR="00CC2661" w:rsidRDefault="00CC2661" w:rsidP="00AF71E0">
            <w:pPr>
              <w:pStyle w:val="Tabletext"/>
              <w:ind w:left="0"/>
            </w:pPr>
            <w:r>
              <w:t xml:space="preserve">Creation of </w:t>
            </w:r>
            <w:r w:rsidR="005B37DF">
              <w:t>new additional L</w:t>
            </w:r>
            <w:r w:rsidR="001B2E0D">
              <w:t xml:space="preserve">ine </w:t>
            </w:r>
            <w:r w:rsidR="005B37DF">
              <w:t>L</w:t>
            </w:r>
            <w:r w:rsidR="001B2E0D">
              <w:t xml:space="preserve">oss </w:t>
            </w:r>
            <w:r w:rsidR="005B37DF">
              <w:t>F</w:t>
            </w:r>
            <w:r w:rsidR="001B2E0D">
              <w:t xml:space="preserve">actor </w:t>
            </w:r>
            <w:r w:rsidR="005B37DF">
              <w:t>C</w:t>
            </w:r>
            <w:r w:rsidR="001B2E0D">
              <w:t>lasses</w:t>
            </w:r>
          </w:p>
          <w:p w:rsidR="00C820E0" w:rsidRPr="00105471" w:rsidRDefault="00CC2661" w:rsidP="001B2E0D">
            <w:pPr>
              <w:pStyle w:val="Tabletext"/>
              <w:ind w:left="0"/>
            </w:pPr>
            <w:r>
              <w:rPr>
                <w:i/>
              </w:rPr>
              <w:t xml:space="preserve">Effective from: </w:t>
            </w:r>
            <w:r w:rsidR="005B37DF">
              <w:rPr>
                <w:i/>
              </w:rPr>
              <w:t>01/04/2015</w:t>
            </w:r>
          </w:p>
        </w:tc>
      </w:tr>
      <w:tr w:rsidR="00C820E0" w:rsidRPr="000970E4" w:rsidTr="00C66641">
        <w:trPr>
          <w:cantSplit/>
          <w:trHeight w:val="641"/>
        </w:trPr>
        <w:tc>
          <w:tcPr>
            <w:tcW w:w="1328" w:type="dxa"/>
            <w:vAlign w:val="center"/>
          </w:tcPr>
          <w:p w:rsidR="00C820E0" w:rsidRPr="00C07404" w:rsidRDefault="00E03ADD" w:rsidP="00C07404">
            <w:pPr>
              <w:pStyle w:val="Tabletext"/>
            </w:pPr>
            <w:r>
              <w:t>M2260</w:t>
            </w:r>
          </w:p>
        </w:tc>
        <w:tc>
          <w:tcPr>
            <w:tcW w:w="1211" w:type="dxa"/>
            <w:vAlign w:val="center"/>
          </w:tcPr>
          <w:p w:rsidR="00C820E0" w:rsidRPr="00C07404" w:rsidRDefault="00E03ADD" w:rsidP="006544C6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C820E0" w:rsidRDefault="005B37DF" w:rsidP="00AF71E0">
            <w:pPr>
              <w:pStyle w:val="Tabletext"/>
              <w:ind w:left="0"/>
            </w:pPr>
            <w:r>
              <w:t xml:space="preserve">MDD Annual </w:t>
            </w:r>
            <w:proofErr w:type="spellStart"/>
            <w:r>
              <w:t>Cleardown</w:t>
            </w:r>
            <w:proofErr w:type="spellEnd"/>
          </w:p>
          <w:p w:rsidR="00C820E0" w:rsidRPr="00105471" w:rsidRDefault="00C820E0" w:rsidP="00AF71E0">
            <w:pPr>
              <w:pStyle w:val="Tabletext"/>
              <w:ind w:left="0"/>
            </w:pPr>
            <w:r>
              <w:rPr>
                <w:i/>
              </w:rPr>
              <w:t>Effective from: 1</w:t>
            </w:r>
            <w:r w:rsidR="00AF71E0">
              <w:rPr>
                <w:i/>
              </w:rPr>
              <w:t>7</w:t>
            </w:r>
            <w:r>
              <w:rPr>
                <w:i/>
              </w:rPr>
              <w:t>/</w:t>
            </w:r>
            <w:r w:rsidR="00AF71E0">
              <w:rPr>
                <w:i/>
              </w:rPr>
              <w:t>12</w:t>
            </w:r>
            <w:r>
              <w:rPr>
                <w:i/>
              </w:rPr>
              <w:t>/201</w:t>
            </w:r>
            <w:r w:rsidR="00AF71E0">
              <w:rPr>
                <w:i/>
              </w:rPr>
              <w:t>4</w:t>
            </w:r>
          </w:p>
        </w:tc>
      </w:tr>
      <w:tr w:rsidR="00C820E0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055D1A" w:rsidRDefault="00E03ADD" w:rsidP="00C07404">
            <w:pPr>
              <w:pStyle w:val="Tabletext"/>
            </w:pPr>
            <w:r w:rsidRPr="00055D1A">
              <w:t>M2261</w:t>
            </w:r>
          </w:p>
        </w:tc>
        <w:tc>
          <w:tcPr>
            <w:tcW w:w="1211" w:type="dxa"/>
            <w:vAlign w:val="center"/>
          </w:tcPr>
          <w:p w:rsidR="00C820E0" w:rsidRPr="00055D1A" w:rsidRDefault="00E03ADD" w:rsidP="00546589">
            <w:pPr>
              <w:pStyle w:val="Tabletext"/>
            </w:pPr>
            <w:r w:rsidRPr="00055D1A">
              <w:t>UUNL</w:t>
            </w:r>
          </w:p>
        </w:tc>
        <w:tc>
          <w:tcPr>
            <w:tcW w:w="7974" w:type="dxa"/>
            <w:vAlign w:val="center"/>
          </w:tcPr>
          <w:p w:rsidR="001B2E0D" w:rsidRDefault="001B2E0D" w:rsidP="001B2E0D">
            <w:pPr>
              <w:pStyle w:val="TableText0"/>
            </w:pPr>
            <w:r>
              <w:t xml:space="preserve">Change of Market Participant Name </w:t>
            </w:r>
          </w:p>
          <w:p w:rsidR="00C820E0" w:rsidRPr="00055D1A" w:rsidRDefault="004C60C2" w:rsidP="00AF71E0">
            <w:pPr>
              <w:pStyle w:val="Tabletext"/>
              <w:ind w:left="0"/>
            </w:pPr>
            <w:r w:rsidRPr="00055D1A">
              <w:rPr>
                <w:i/>
              </w:rPr>
              <w:t>E</w:t>
            </w:r>
            <w:r w:rsidR="0091209A" w:rsidRPr="00055D1A">
              <w:rPr>
                <w:i/>
              </w:rPr>
              <w:t xml:space="preserve">ffective from: </w:t>
            </w:r>
            <w:r w:rsidRPr="00055D1A">
              <w:rPr>
                <w:i/>
              </w:rPr>
              <w:t>1</w:t>
            </w:r>
            <w:r w:rsidR="0091209A" w:rsidRPr="00055D1A">
              <w:rPr>
                <w:i/>
              </w:rPr>
              <w:t>7/12/2014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055D1A" w:rsidRDefault="00E03ADD" w:rsidP="00C07404">
            <w:pPr>
              <w:pStyle w:val="Tabletext"/>
            </w:pPr>
            <w:r w:rsidRPr="00055D1A">
              <w:t>M2262</w:t>
            </w:r>
          </w:p>
        </w:tc>
        <w:tc>
          <w:tcPr>
            <w:tcW w:w="1211" w:type="dxa"/>
            <w:vAlign w:val="center"/>
          </w:tcPr>
          <w:p w:rsidR="00C820E0" w:rsidRPr="00055D1A" w:rsidRDefault="00E03ADD" w:rsidP="00546589">
            <w:pPr>
              <w:pStyle w:val="Tabletext"/>
            </w:pPr>
            <w:r w:rsidRPr="00055D1A">
              <w:t>NORW</w:t>
            </w:r>
          </w:p>
        </w:tc>
        <w:tc>
          <w:tcPr>
            <w:tcW w:w="7974" w:type="dxa"/>
            <w:vAlign w:val="center"/>
          </w:tcPr>
          <w:p w:rsidR="001B2E0D" w:rsidRDefault="001B2E0D" w:rsidP="001B2E0D">
            <w:pPr>
              <w:pStyle w:val="TableText0"/>
            </w:pPr>
            <w:r>
              <w:t xml:space="preserve">Change of Market Participant Name </w:t>
            </w:r>
          </w:p>
          <w:p w:rsidR="00C820E0" w:rsidRPr="00055D1A" w:rsidRDefault="004C60C2" w:rsidP="00AF71E0">
            <w:pPr>
              <w:pStyle w:val="Tabletext"/>
              <w:ind w:left="0"/>
            </w:pPr>
            <w:r w:rsidRPr="00055D1A">
              <w:rPr>
                <w:i/>
              </w:rPr>
              <w:t>E</w:t>
            </w:r>
            <w:r w:rsidR="0091209A" w:rsidRPr="00055D1A">
              <w:rPr>
                <w:i/>
              </w:rPr>
              <w:t>ffective from: 17/12/2014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055D1A" w:rsidRDefault="00E03ADD" w:rsidP="00C07404">
            <w:pPr>
              <w:pStyle w:val="Tabletext"/>
            </w:pPr>
            <w:r w:rsidRPr="00055D1A">
              <w:t>M2263</w:t>
            </w:r>
          </w:p>
        </w:tc>
        <w:tc>
          <w:tcPr>
            <w:tcW w:w="1211" w:type="dxa"/>
            <w:vAlign w:val="center"/>
          </w:tcPr>
          <w:p w:rsidR="00C820E0" w:rsidRPr="00055D1A" w:rsidRDefault="00E03ADD" w:rsidP="00546589">
            <w:pPr>
              <w:pStyle w:val="Tabletext"/>
            </w:pPr>
            <w:r w:rsidRPr="00055D1A">
              <w:t>SOUT</w:t>
            </w:r>
          </w:p>
        </w:tc>
        <w:tc>
          <w:tcPr>
            <w:tcW w:w="7974" w:type="dxa"/>
            <w:vAlign w:val="center"/>
          </w:tcPr>
          <w:p w:rsidR="001B2E0D" w:rsidRDefault="001B2E0D" w:rsidP="001B2E0D">
            <w:pPr>
              <w:pStyle w:val="Tabletext"/>
              <w:ind w:left="0"/>
            </w:pPr>
            <w:r>
              <w:t>Creation of new additional Line Loss Factor Classes</w:t>
            </w:r>
          </w:p>
          <w:p w:rsidR="00C820E0" w:rsidRPr="00055D1A" w:rsidRDefault="00055D1A" w:rsidP="00AF71E0">
            <w:pPr>
              <w:pStyle w:val="Tabletext"/>
              <w:ind w:left="0"/>
            </w:pPr>
            <w:r w:rsidRPr="00055D1A">
              <w:rPr>
                <w:i/>
              </w:rPr>
              <w:t xml:space="preserve">Effective from: </w:t>
            </w:r>
            <w:r w:rsidR="004C60C2" w:rsidRPr="00055D1A">
              <w:rPr>
                <w:i/>
              </w:rPr>
              <w:t>1</w:t>
            </w:r>
            <w:r w:rsidRPr="00055D1A">
              <w:rPr>
                <w:i/>
              </w:rPr>
              <w:t>7/12/2014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055D1A" w:rsidRDefault="00E03ADD" w:rsidP="00C07404">
            <w:pPr>
              <w:pStyle w:val="Tabletext"/>
            </w:pPr>
            <w:r w:rsidRPr="00055D1A">
              <w:t>M2264</w:t>
            </w:r>
          </w:p>
        </w:tc>
        <w:tc>
          <w:tcPr>
            <w:tcW w:w="1211" w:type="dxa"/>
            <w:vAlign w:val="center"/>
          </w:tcPr>
          <w:p w:rsidR="00C820E0" w:rsidRPr="00055D1A" w:rsidRDefault="00E03ADD" w:rsidP="00546589">
            <w:pPr>
              <w:pStyle w:val="Tabletext"/>
            </w:pPr>
            <w:r w:rsidRPr="00055D1A">
              <w:t>UTFL</w:t>
            </w:r>
          </w:p>
        </w:tc>
        <w:tc>
          <w:tcPr>
            <w:tcW w:w="7974" w:type="dxa"/>
            <w:vAlign w:val="center"/>
          </w:tcPr>
          <w:p w:rsidR="001B2E0D" w:rsidRDefault="001B2E0D" w:rsidP="001B2E0D">
            <w:pPr>
              <w:pStyle w:val="TableText0"/>
            </w:pPr>
            <w:r>
              <w:t xml:space="preserve">Change of Market Participant Name </w:t>
            </w:r>
            <w:bookmarkStart w:id="0" w:name="_GoBack"/>
            <w:bookmarkEnd w:id="0"/>
          </w:p>
          <w:p w:rsidR="00C820E0" w:rsidRPr="00055D1A" w:rsidRDefault="004E5B0E" w:rsidP="00AF71E0">
            <w:pPr>
              <w:pStyle w:val="Tabletext"/>
              <w:ind w:left="0"/>
            </w:pPr>
            <w:r w:rsidRPr="00055D1A">
              <w:rPr>
                <w:i/>
              </w:rPr>
              <w:t xml:space="preserve">Effective </w:t>
            </w:r>
            <w:r w:rsidR="0091209A" w:rsidRPr="00055D1A">
              <w:rPr>
                <w:i/>
              </w:rPr>
              <w:t xml:space="preserve">from: </w:t>
            </w:r>
            <w:r w:rsidRPr="00055D1A">
              <w:rPr>
                <w:i/>
              </w:rPr>
              <w:t>1</w:t>
            </w:r>
            <w:r w:rsidR="0091209A" w:rsidRPr="00055D1A">
              <w:rPr>
                <w:i/>
              </w:rPr>
              <w:t>7/12/2014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C07404" w:rsidRDefault="00E03ADD" w:rsidP="00C07404">
            <w:pPr>
              <w:pStyle w:val="Tabletext"/>
            </w:pPr>
            <w:r>
              <w:t>M2265</w:t>
            </w:r>
          </w:p>
        </w:tc>
        <w:tc>
          <w:tcPr>
            <w:tcW w:w="1211" w:type="dxa"/>
            <w:vAlign w:val="center"/>
          </w:tcPr>
          <w:p w:rsidR="00C820E0" w:rsidRPr="00C07404" w:rsidRDefault="00E03ADD" w:rsidP="00546589">
            <w:pPr>
              <w:pStyle w:val="Tabletext"/>
            </w:pPr>
            <w:r>
              <w:t>UUCO</w:t>
            </w:r>
          </w:p>
        </w:tc>
        <w:tc>
          <w:tcPr>
            <w:tcW w:w="7974" w:type="dxa"/>
            <w:vAlign w:val="center"/>
          </w:tcPr>
          <w:p w:rsidR="001B2E0D" w:rsidRDefault="001B2E0D" w:rsidP="001B2E0D">
            <w:pPr>
              <w:pStyle w:val="TableText0"/>
            </w:pPr>
            <w:r>
              <w:t xml:space="preserve">Change of Market Participant Name </w:t>
            </w:r>
          </w:p>
          <w:p w:rsidR="00C820E0" w:rsidRPr="00105471" w:rsidRDefault="0076630D" w:rsidP="00AF71E0">
            <w:pPr>
              <w:pStyle w:val="Tabletext"/>
              <w:ind w:left="0"/>
            </w:pPr>
            <w:r>
              <w:rPr>
                <w:i/>
              </w:rPr>
              <w:t>Effective from: 01/04/2015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Default="00E03ADD" w:rsidP="00431962">
            <w:pPr>
              <w:pStyle w:val="Tabletext"/>
            </w:pPr>
            <w:r>
              <w:t>M2266</w:t>
            </w:r>
          </w:p>
        </w:tc>
        <w:tc>
          <w:tcPr>
            <w:tcW w:w="1211" w:type="dxa"/>
            <w:vAlign w:val="center"/>
          </w:tcPr>
          <w:p w:rsidR="00C820E0" w:rsidRPr="00C66641" w:rsidRDefault="00E03ADD" w:rsidP="00546589">
            <w:pPr>
              <w:pStyle w:val="Tabletext"/>
            </w:pPr>
            <w:r>
              <w:t>UUMO</w:t>
            </w:r>
          </w:p>
        </w:tc>
        <w:tc>
          <w:tcPr>
            <w:tcW w:w="7974" w:type="dxa"/>
            <w:vAlign w:val="center"/>
          </w:tcPr>
          <w:p w:rsidR="001B2E0D" w:rsidRDefault="001B2E0D" w:rsidP="001B2E0D">
            <w:pPr>
              <w:pStyle w:val="TableText0"/>
            </w:pPr>
            <w:r>
              <w:t xml:space="preserve">Change of Market Participant Name </w:t>
            </w:r>
          </w:p>
          <w:p w:rsidR="00C820E0" w:rsidRPr="00105471" w:rsidRDefault="0076630D" w:rsidP="00AF71E0">
            <w:pPr>
              <w:pStyle w:val="Tabletext"/>
              <w:ind w:left="0"/>
            </w:pPr>
            <w:r>
              <w:rPr>
                <w:i/>
              </w:rPr>
              <w:t>Effective from: 01/04/2015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Default="00E03ADD" w:rsidP="00431962">
            <w:pPr>
              <w:pStyle w:val="Tabletext"/>
            </w:pPr>
            <w:r>
              <w:t>M2267</w:t>
            </w:r>
          </w:p>
        </w:tc>
        <w:tc>
          <w:tcPr>
            <w:tcW w:w="1211" w:type="dxa"/>
            <w:vAlign w:val="center"/>
          </w:tcPr>
          <w:p w:rsidR="00C820E0" w:rsidRPr="00C66641" w:rsidRDefault="00E03ADD" w:rsidP="00546589">
            <w:pPr>
              <w:pStyle w:val="Tabletext"/>
            </w:pPr>
            <w:r>
              <w:t>YELG</w:t>
            </w:r>
          </w:p>
        </w:tc>
        <w:tc>
          <w:tcPr>
            <w:tcW w:w="7974" w:type="dxa"/>
            <w:vAlign w:val="center"/>
          </w:tcPr>
          <w:p w:rsidR="001B2E0D" w:rsidRPr="007B594F" w:rsidRDefault="001B2E0D" w:rsidP="001B2E0D">
            <w:pPr>
              <w:pStyle w:val="TableText0"/>
            </w:pPr>
            <w:r w:rsidRPr="007B594F">
              <w:t xml:space="preserve">Creation of new </w:t>
            </w:r>
            <w:r w:rsidRPr="006E6E34">
              <w:t>Valid MTC SSC Combinations</w:t>
            </w:r>
            <w:r>
              <w:t xml:space="preserve">, </w:t>
            </w:r>
            <w:r w:rsidRPr="006E6E34">
              <w:t>Valid MTC SSC LLFC Combinations</w:t>
            </w:r>
            <w:r>
              <w:t xml:space="preserve"> and</w:t>
            </w:r>
            <w:r w:rsidRPr="007B594F">
              <w:t xml:space="preserve"> Valid MTC LLFC SSC PC Combinations</w:t>
            </w:r>
          </w:p>
          <w:p w:rsidR="00C820E0" w:rsidRPr="00105471" w:rsidRDefault="00A6787D" w:rsidP="00AF71E0">
            <w:pPr>
              <w:pStyle w:val="Tabletext"/>
              <w:ind w:left="0"/>
            </w:pPr>
            <w:r>
              <w:rPr>
                <w:i/>
              </w:rPr>
              <w:t xml:space="preserve">Effective from: </w:t>
            </w:r>
            <w:r w:rsidR="00D44370">
              <w:rPr>
                <w:i/>
              </w:rPr>
              <w:t>1</w:t>
            </w:r>
            <w:r>
              <w:rPr>
                <w:i/>
              </w:rPr>
              <w:t>7/12/2014</w:t>
            </w:r>
          </w:p>
        </w:tc>
      </w:tr>
      <w:tr w:rsidR="00767E34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767E34" w:rsidRDefault="00E03ADD" w:rsidP="00431962">
            <w:pPr>
              <w:pStyle w:val="Tabletext"/>
            </w:pPr>
            <w:r>
              <w:t>M2268</w:t>
            </w:r>
          </w:p>
        </w:tc>
        <w:tc>
          <w:tcPr>
            <w:tcW w:w="1211" w:type="dxa"/>
            <w:vAlign w:val="center"/>
          </w:tcPr>
          <w:p w:rsidR="00767E34" w:rsidRPr="00C66641" w:rsidRDefault="00E03ADD" w:rsidP="00546589">
            <w:pPr>
              <w:pStyle w:val="Tabletext"/>
            </w:pPr>
            <w:r>
              <w:t>NEEB</w:t>
            </w:r>
          </w:p>
        </w:tc>
        <w:tc>
          <w:tcPr>
            <w:tcW w:w="7974" w:type="dxa"/>
            <w:vAlign w:val="center"/>
          </w:tcPr>
          <w:p w:rsidR="001B2E0D" w:rsidRPr="007B594F" w:rsidRDefault="001B2E0D" w:rsidP="001B2E0D">
            <w:pPr>
              <w:pStyle w:val="TableText0"/>
            </w:pPr>
            <w:r w:rsidRPr="007B594F">
              <w:t xml:space="preserve">Creation of new </w:t>
            </w:r>
            <w:r w:rsidRPr="006E6E34">
              <w:t>Valid MTC SSC Combinations</w:t>
            </w:r>
            <w:r>
              <w:t xml:space="preserve">, </w:t>
            </w:r>
            <w:r w:rsidRPr="006E6E34">
              <w:t>Valid MTC SSC LLFC Combinations</w:t>
            </w:r>
            <w:r>
              <w:t xml:space="preserve"> and</w:t>
            </w:r>
            <w:r w:rsidRPr="007B594F">
              <w:t xml:space="preserve"> Valid MTC LLFC SSC PC Combinations</w:t>
            </w:r>
          </w:p>
          <w:p w:rsidR="00767E34" w:rsidRPr="00457030" w:rsidRDefault="00A6787D" w:rsidP="00AF71E0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 xml:space="preserve">Effective From: </w:t>
            </w:r>
            <w:r w:rsidR="00767E34">
              <w:rPr>
                <w:i/>
              </w:rPr>
              <w:t>1</w:t>
            </w:r>
            <w:r>
              <w:rPr>
                <w:i/>
              </w:rPr>
              <w:t>7/12/2014</w:t>
            </w:r>
          </w:p>
        </w:tc>
      </w:tr>
      <w:tr w:rsidR="00767E34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767E34" w:rsidRDefault="00E03ADD" w:rsidP="00431962">
            <w:pPr>
              <w:pStyle w:val="Tabletext"/>
            </w:pPr>
            <w:r>
              <w:t>M2269</w:t>
            </w:r>
          </w:p>
        </w:tc>
        <w:tc>
          <w:tcPr>
            <w:tcW w:w="1211" w:type="dxa"/>
            <w:vAlign w:val="center"/>
          </w:tcPr>
          <w:p w:rsidR="00767E34" w:rsidRPr="00C66641" w:rsidRDefault="00E03ADD" w:rsidP="00546589">
            <w:pPr>
              <w:pStyle w:val="Tabletext"/>
            </w:pPr>
            <w:r>
              <w:t>EDFI</w:t>
            </w:r>
          </w:p>
        </w:tc>
        <w:tc>
          <w:tcPr>
            <w:tcW w:w="7974" w:type="dxa"/>
            <w:vAlign w:val="center"/>
          </w:tcPr>
          <w:p w:rsidR="00A6787D" w:rsidRDefault="00A6787D" w:rsidP="00AF71E0">
            <w:pPr>
              <w:pStyle w:val="Tabletext"/>
              <w:ind w:left="0"/>
            </w:pPr>
            <w:r>
              <w:t>End-dating of all MDD data associated with EDFI</w:t>
            </w:r>
          </w:p>
          <w:p w:rsidR="00767E34" w:rsidRPr="00105471" w:rsidRDefault="00A6787D" w:rsidP="00AF71E0">
            <w:pPr>
              <w:pStyle w:val="Tabletext"/>
              <w:ind w:left="0"/>
            </w:pPr>
            <w:r>
              <w:rPr>
                <w:i/>
              </w:rPr>
              <w:t>Effective From: 17/12</w:t>
            </w:r>
            <w:r w:rsidR="00767E34">
              <w:rPr>
                <w:i/>
              </w:rPr>
              <w:t>/2014</w:t>
            </w:r>
          </w:p>
        </w:tc>
      </w:tr>
      <w:tr w:rsidR="00E03ADD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E03ADD" w:rsidRDefault="00E03ADD" w:rsidP="00431962">
            <w:pPr>
              <w:pStyle w:val="Tabletext"/>
            </w:pPr>
            <w:r>
              <w:lastRenderedPageBreak/>
              <w:t>M2270</w:t>
            </w:r>
          </w:p>
        </w:tc>
        <w:tc>
          <w:tcPr>
            <w:tcW w:w="1211" w:type="dxa"/>
            <w:vAlign w:val="center"/>
          </w:tcPr>
          <w:p w:rsidR="00E03ADD" w:rsidRDefault="00E03ADD" w:rsidP="00546589">
            <w:pPr>
              <w:pStyle w:val="Tabletext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E03ADD" w:rsidRDefault="00A6787D" w:rsidP="00AF71E0">
            <w:pPr>
              <w:pStyle w:val="Tabletext"/>
              <w:ind w:left="0"/>
            </w:pPr>
            <w:r>
              <w:t xml:space="preserve">Re-opening of two and renaming of three </w:t>
            </w:r>
            <w:r w:rsidR="001B2E0D">
              <w:t>Line Loss Factor Classes</w:t>
            </w:r>
          </w:p>
          <w:p w:rsidR="00A6787D" w:rsidRPr="00AF71E0" w:rsidRDefault="00A6787D" w:rsidP="00AF71E0">
            <w:pPr>
              <w:pStyle w:val="Tabletext"/>
              <w:ind w:left="0"/>
              <w:rPr>
                <w:i/>
              </w:rPr>
            </w:pPr>
            <w:r w:rsidRPr="00AF71E0">
              <w:rPr>
                <w:i/>
              </w:rPr>
              <w:t>Effective From: 01/04/2015</w:t>
            </w:r>
          </w:p>
        </w:tc>
      </w:tr>
      <w:tr w:rsidR="00E03ADD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E03ADD" w:rsidRDefault="00E03ADD" w:rsidP="00431962">
            <w:pPr>
              <w:pStyle w:val="Tabletext"/>
            </w:pPr>
            <w:r>
              <w:t>M2271</w:t>
            </w:r>
          </w:p>
        </w:tc>
        <w:tc>
          <w:tcPr>
            <w:tcW w:w="1211" w:type="dxa"/>
            <w:vAlign w:val="center"/>
          </w:tcPr>
          <w:p w:rsidR="00E03ADD" w:rsidRDefault="00E03ADD" w:rsidP="00546589">
            <w:pPr>
              <w:pStyle w:val="Tabletext"/>
            </w:pPr>
            <w:r>
              <w:t>SEEB</w:t>
            </w:r>
          </w:p>
        </w:tc>
        <w:tc>
          <w:tcPr>
            <w:tcW w:w="7974" w:type="dxa"/>
            <w:vAlign w:val="center"/>
          </w:tcPr>
          <w:p w:rsidR="00E03ADD" w:rsidRDefault="00A6787D" w:rsidP="00AF71E0">
            <w:pPr>
              <w:pStyle w:val="Tabletext"/>
              <w:ind w:left="0"/>
            </w:pPr>
            <w:r>
              <w:t xml:space="preserve">Re-opening of two and renaming of three </w:t>
            </w:r>
            <w:r w:rsidR="001B2E0D">
              <w:t>Line Loss Factor Classes</w:t>
            </w:r>
          </w:p>
          <w:p w:rsidR="00A6787D" w:rsidRPr="00AF71E0" w:rsidRDefault="00A6787D" w:rsidP="00AF71E0">
            <w:pPr>
              <w:pStyle w:val="Tabletext"/>
              <w:ind w:left="0"/>
              <w:rPr>
                <w:i/>
              </w:rPr>
            </w:pPr>
            <w:r w:rsidRPr="00AF71E0">
              <w:rPr>
                <w:i/>
              </w:rPr>
              <w:t>Effective From: 01/04/2015</w:t>
            </w:r>
          </w:p>
        </w:tc>
      </w:tr>
      <w:tr w:rsidR="00E03ADD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E03ADD" w:rsidRDefault="00E03ADD" w:rsidP="00431962">
            <w:pPr>
              <w:pStyle w:val="Tabletext"/>
            </w:pPr>
            <w:r>
              <w:t>M2272</w:t>
            </w:r>
          </w:p>
        </w:tc>
        <w:tc>
          <w:tcPr>
            <w:tcW w:w="1211" w:type="dxa"/>
            <w:vAlign w:val="center"/>
          </w:tcPr>
          <w:p w:rsidR="00E03ADD" w:rsidRDefault="00E03ADD" w:rsidP="00546589">
            <w:pPr>
              <w:pStyle w:val="Tabletext"/>
            </w:pPr>
            <w:r>
              <w:t>EELC</w:t>
            </w:r>
          </w:p>
        </w:tc>
        <w:tc>
          <w:tcPr>
            <w:tcW w:w="7974" w:type="dxa"/>
            <w:vAlign w:val="center"/>
          </w:tcPr>
          <w:p w:rsidR="00E03ADD" w:rsidRDefault="00A6787D" w:rsidP="00AF71E0">
            <w:pPr>
              <w:pStyle w:val="Tabletext"/>
              <w:ind w:left="0"/>
            </w:pPr>
            <w:r>
              <w:t xml:space="preserve">Re-opening of two and renaming of three </w:t>
            </w:r>
            <w:r w:rsidR="001B2E0D">
              <w:t>Line Loss Factor Classes</w:t>
            </w:r>
          </w:p>
          <w:p w:rsidR="00A6787D" w:rsidRPr="00AF71E0" w:rsidRDefault="00A6787D" w:rsidP="00AF71E0">
            <w:pPr>
              <w:pStyle w:val="Tabletext"/>
              <w:ind w:left="0"/>
              <w:rPr>
                <w:i/>
              </w:rPr>
            </w:pPr>
            <w:r w:rsidRPr="00AF71E0">
              <w:rPr>
                <w:i/>
              </w:rPr>
              <w:t>Effective From: 01/04/2015</w:t>
            </w:r>
          </w:p>
        </w:tc>
      </w:tr>
      <w:tr w:rsidR="00E03ADD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E03ADD" w:rsidRDefault="00E03ADD" w:rsidP="00431962">
            <w:pPr>
              <w:pStyle w:val="Tabletext"/>
            </w:pPr>
            <w:r>
              <w:t>M2273</w:t>
            </w:r>
          </w:p>
        </w:tc>
        <w:tc>
          <w:tcPr>
            <w:tcW w:w="1211" w:type="dxa"/>
            <w:vAlign w:val="center"/>
          </w:tcPr>
          <w:p w:rsidR="00E03ADD" w:rsidRDefault="00E03ADD" w:rsidP="00546589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E03ADD" w:rsidRDefault="0091209A" w:rsidP="00AF71E0">
            <w:pPr>
              <w:pStyle w:val="Tabletext"/>
              <w:ind w:left="0"/>
            </w:pPr>
            <w:r>
              <w:t>Creation of new UMS Charge Codes</w:t>
            </w:r>
          </w:p>
          <w:p w:rsidR="0091209A" w:rsidRPr="00AF71E0" w:rsidRDefault="0091209A" w:rsidP="00AF71E0">
            <w:pPr>
              <w:pStyle w:val="Tabletext"/>
              <w:ind w:left="0"/>
              <w:rPr>
                <w:i/>
              </w:rPr>
            </w:pPr>
            <w:r w:rsidRPr="00AF71E0">
              <w:rPr>
                <w:i/>
              </w:rPr>
              <w:t>Effective From: 17/12/2014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 Supplier Volume Al</w:t>
      </w:r>
      <w:r w:rsidR="00CC649C">
        <w:t>location Group (SVG) meeting 16</w:t>
      </w:r>
      <w:r w:rsidR="00055D1A">
        <w:t>6</w:t>
      </w:r>
      <w:r>
        <w:t xml:space="preserve"> on </w:t>
      </w:r>
      <w:r w:rsidR="00D62DB7">
        <w:t>0</w:t>
      </w:r>
      <w:r w:rsidR="00055D1A">
        <w:t>2</w:t>
      </w:r>
      <w:r w:rsidR="00CC649C">
        <w:t xml:space="preserve"> </w:t>
      </w:r>
      <w:r w:rsidR="00055D1A">
        <w:t>December</w:t>
      </w:r>
      <w:r w:rsidR="002477AF">
        <w:t xml:space="preserve"> </w:t>
      </w:r>
      <w:r>
        <w:t>2014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E4546D">
        <w:rPr>
          <w:b/>
        </w:rPr>
        <w:t>19</w:t>
      </w:r>
      <w:r w:rsidR="00D62DB7">
        <w:rPr>
          <w:b/>
        </w:rPr>
        <w:t xml:space="preserve"> </w:t>
      </w:r>
      <w:r w:rsidR="00E4546D">
        <w:rPr>
          <w:b/>
        </w:rPr>
        <w:t>November</w:t>
      </w:r>
      <w:r w:rsidR="00D62DB7">
        <w:rPr>
          <w:b/>
        </w:rPr>
        <w:t xml:space="preserve"> </w:t>
      </w:r>
      <w:r w:rsidRPr="00223592">
        <w:rPr>
          <w:b/>
        </w:rPr>
        <w:t>2014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 w:rsidR="0020613C">
        <w:t>ersion 22</w:t>
      </w:r>
      <w:r w:rsidR="00E4546D">
        <w:t>3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223592" w:rsidP="00C07404">
      <w:pPr>
        <w:pStyle w:val="BodyText"/>
      </w:pPr>
    </w:p>
    <w:p w:rsidR="00055D1A" w:rsidRDefault="00055D1A" w:rsidP="00C07404">
      <w:pPr>
        <w:pStyle w:val="BodyText"/>
      </w:pPr>
      <w:r>
        <w:t>Gideon Odubayo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223592" w:rsidRDefault="00223592" w:rsidP="00C07404">
      <w:pPr>
        <w:pStyle w:val="BodyText"/>
      </w:pPr>
      <w:r>
        <w:t>Attachment A – Change Requests</w:t>
      </w:r>
    </w:p>
    <w:p w:rsidR="00223592" w:rsidRDefault="00223592" w:rsidP="00C07404">
      <w:pPr>
        <w:pStyle w:val="BodyText"/>
      </w:pPr>
      <w:r>
        <w:t>Attachment B – UMS Charge Code Documentation</w:t>
      </w:r>
    </w:p>
    <w:p w:rsidR="004E3A21" w:rsidRDefault="004E3A21" w:rsidP="00C07404">
      <w:pPr>
        <w:pStyle w:val="BodyText"/>
      </w:pP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E4546D">
        <w:rPr>
          <w:b/>
        </w:rPr>
        <w:t>19</w:t>
      </w:r>
      <w:r w:rsidR="000606F3">
        <w:rPr>
          <w:b/>
        </w:rPr>
        <w:t xml:space="preserve"> </w:t>
      </w:r>
      <w:r w:rsidR="00E85D91">
        <w:rPr>
          <w:b/>
        </w:rPr>
        <w:t>November</w:t>
      </w:r>
      <w:r w:rsidR="00223592" w:rsidRPr="00223592">
        <w:rPr>
          <w:b/>
        </w:rPr>
        <w:t xml:space="preserve"> 2014.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E4546D">
        <w:t>Gideon Odubayo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lastRenderedPageBreak/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9B4C84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517D06">
        <w:t xml:space="preserve">the changes proposed in </w:t>
      </w:r>
      <w:r w:rsidR="00055D1A">
        <w:t>M2258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517D06">
        <w:t xml:space="preserve">with the changes proposed in </w:t>
      </w:r>
      <w:r w:rsidR="00055D1A">
        <w:t>M2259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517D06">
        <w:t xml:space="preserve">th the changes proposed in </w:t>
      </w:r>
      <w:r w:rsidR="00055D1A">
        <w:t>M2260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055D1A">
        <w:t>M2261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055D1A">
        <w:t>M2262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055D1A">
        <w:t>M2263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055D1A">
        <w:t>M2264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055D1A">
        <w:t>M2265</w:t>
      </w:r>
    </w:p>
    <w:p w:rsidR="005416F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055D1A">
        <w:t>M2266</w:t>
      </w:r>
    </w:p>
    <w:p w:rsidR="00C170A3" w:rsidRPr="009B4C84" w:rsidRDefault="00C170A3" w:rsidP="00C170A3">
      <w:pPr>
        <w:pStyle w:val="ListBullet"/>
      </w:pPr>
      <w:r w:rsidRPr="009B4C84">
        <w:t>I agree/disagree* w</w:t>
      </w:r>
      <w:r>
        <w:t xml:space="preserve">ith the changes </w:t>
      </w:r>
      <w:r w:rsidR="00055D1A">
        <w:t>proposed in M2267</w:t>
      </w:r>
    </w:p>
    <w:p w:rsidR="00C170A3" w:rsidRPr="009B4C84" w:rsidRDefault="00C170A3" w:rsidP="00C170A3">
      <w:pPr>
        <w:pStyle w:val="ListBullet"/>
      </w:pPr>
      <w:r w:rsidRPr="009B4C84">
        <w:t>I agree/disagree* w</w:t>
      </w:r>
      <w:r>
        <w:t>i</w:t>
      </w:r>
      <w:r w:rsidR="00055D1A">
        <w:t>th the changes proposed in M2268</w:t>
      </w:r>
    </w:p>
    <w:p w:rsidR="00517D06" w:rsidRPr="00055D1A" w:rsidRDefault="00C170A3" w:rsidP="00C07404">
      <w:pPr>
        <w:pStyle w:val="ListBullet"/>
        <w:rPr>
          <w:b/>
        </w:rPr>
      </w:pPr>
      <w:r w:rsidRPr="009B4C84">
        <w:t>I agree/disagree* w</w:t>
      </w:r>
      <w:r w:rsidR="00055D1A">
        <w:t>ith the changes proposed in M2269</w:t>
      </w:r>
    </w:p>
    <w:p w:rsidR="00055D1A" w:rsidRPr="00055D1A" w:rsidRDefault="00055D1A" w:rsidP="00055D1A">
      <w:pPr>
        <w:pStyle w:val="ListBullet"/>
        <w:rPr>
          <w:b/>
        </w:rPr>
      </w:pPr>
      <w:r w:rsidRPr="009B4C84">
        <w:t>I agree/disagree* w</w:t>
      </w:r>
      <w:r>
        <w:t>ith the changes proposed in M2270</w:t>
      </w:r>
    </w:p>
    <w:p w:rsidR="00055D1A" w:rsidRPr="00055D1A" w:rsidRDefault="00055D1A" w:rsidP="00055D1A">
      <w:pPr>
        <w:pStyle w:val="ListBullet"/>
        <w:rPr>
          <w:b/>
        </w:rPr>
      </w:pPr>
      <w:r w:rsidRPr="009B4C84">
        <w:t>I agree/disagree* w</w:t>
      </w:r>
      <w:r>
        <w:t>ith the changes proposed in M2271</w:t>
      </w:r>
    </w:p>
    <w:p w:rsidR="00055D1A" w:rsidRPr="00055D1A" w:rsidRDefault="00055D1A" w:rsidP="00055D1A">
      <w:pPr>
        <w:pStyle w:val="ListBullet"/>
        <w:rPr>
          <w:b/>
        </w:rPr>
      </w:pPr>
      <w:r w:rsidRPr="009B4C84">
        <w:t>I agree/disagree* w</w:t>
      </w:r>
      <w:r>
        <w:t>ith the changes proposed in M2272</w:t>
      </w:r>
    </w:p>
    <w:p w:rsidR="00055D1A" w:rsidRPr="00055D1A" w:rsidRDefault="00055D1A" w:rsidP="00055D1A">
      <w:pPr>
        <w:pStyle w:val="ListBullet"/>
        <w:rPr>
          <w:b/>
        </w:rPr>
      </w:pPr>
      <w:r w:rsidRPr="009B4C84">
        <w:t>I agree/disagree* w</w:t>
      </w:r>
      <w:r>
        <w:t>ith the changes proposed in M2273</w:t>
      </w:r>
    </w:p>
    <w:p w:rsidR="00055D1A" w:rsidRPr="00C170A3" w:rsidRDefault="00055D1A" w:rsidP="00055D1A">
      <w:pPr>
        <w:pStyle w:val="ListBullet"/>
        <w:numPr>
          <w:ilvl w:val="0"/>
          <w:numId w:val="0"/>
        </w:numPr>
        <w:ind w:left="1021"/>
        <w:rPr>
          <w:b/>
        </w:rPr>
      </w:pPr>
    </w:p>
    <w:p w:rsidR="00517D06" w:rsidRPr="00223592" w:rsidRDefault="00517D06" w:rsidP="00C07404">
      <w:pPr>
        <w:pStyle w:val="BodyText"/>
        <w:rPr>
          <w:b/>
        </w:r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B5" w:rsidRDefault="007C72B5" w:rsidP="00D00160">
      <w:pPr>
        <w:spacing w:after="0"/>
      </w:pPr>
      <w:r>
        <w:separator/>
      </w:r>
    </w:p>
    <w:p w:rsidR="007C72B5" w:rsidRDefault="007C72B5"/>
    <w:p w:rsidR="007C72B5" w:rsidRDefault="007C72B5"/>
  </w:endnote>
  <w:endnote w:type="continuationSeparator" w:id="0">
    <w:p w:rsidR="007C72B5" w:rsidRDefault="007C72B5" w:rsidP="00D00160">
      <w:pPr>
        <w:spacing w:after="0"/>
      </w:pPr>
      <w:r>
        <w:continuationSeparator/>
      </w:r>
    </w:p>
    <w:p w:rsidR="007C72B5" w:rsidRDefault="007C72B5"/>
    <w:p w:rsidR="007C72B5" w:rsidRDefault="007C7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7C72B5" w:rsidP="00223592">
          <w:pPr>
            <w:pStyle w:val="Footer"/>
          </w:pPr>
          <w:fldSimple w:instr=" STYLEREF  &quot;Footer Ref 1&quot;  \* MERGEFORMAT ">
            <w:r w:rsidR="00AF71E0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E4546D" w:rsidP="00E63D4A">
          <w:pPr>
            <w:pStyle w:val="Footer"/>
          </w:pPr>
          <w:r>
            <w:t>00540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8F4A220" wp14:editId="7BFC69E2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F71E0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AF71E0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7C72B5" w:rsidP="00D43A7C">
          <w:pPr>
            <w:pStyle w:val="Footer"/>
            <w:rPr>
              <w:noProof/>
            </w:rPr>
          </w:pPr>
          <w:fldSimple w:instr=" STYLEREF  &quot;Footer Date&quot;  \* MERGEFORMAT ">
            <w:r w:rsidR="00AF71E0">
              <w:rPr>
                <w:noProof/>
              </w:rPr>
              <w:t>12 November 2014</w:t>
            </w:r>
          </w:fldSimple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AF71E0">
            <w:rPr>
              <w:noProof/>
            </w:rPr>
            <w:t>2014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B5" w:rsidRDefault="007C72B5" w:rsidP="00D00160">
      <w:pPr>
        <w:spacing w:after="0"/>
      </w:pPr>
      <w:r>
        <w:separator/>
      </w:r>
    </w:p>
    <w:p w:rsidR="007C72B5" w:rsidRDefault="007C72B5"/>
    <w:p w:rsidR="007C72B5" w:rsidRDefault="007C72B5"/>
  </w:footnote>
  <w:footnote w:type="continuationSeparator" w:id="0">
    <w:p w:rsidR="007C72B5" w:rsidRDefault="007C72B5" w:rsidP="00D00160">
      <w:pPr>
        <w:spacing w:after="0"/>
      </w:pPr>
      <w:r>
        <w:continuationSeparator/>
      </w:r>
    </w:p>
    <w:p w:rsidR="007C72B5" w:rsidRDefault="007C72B5"/>
    <w:p w:rsidR="007C72B5" w:rsidRDefault="007C72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7C72B5" w:rsidP="009D47D6">
          <w:pPr>
            <w:pStyle w:val="Title"/>
          </w:pPr>
          <w:fldSimple w:instr=" STYLEREF  Title  \* MERGEFORMAT ">
            <w:r w:rsidR="00AF71E0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A28EC53E"/>
    <w:numStyleLink w:val="ListHeadings"/>
  </w:abstractNum>
  <w:abstractNum w:abstractNumId="7">
    <w:nsid w:val="73D63850"/>
    <w:multiLevelType w:val="multilevel"/>
    <w:tmpl w:val="269C7F9C"/>
    <w:numStyleLink w:val="ListTable"/>
  </w:abstractNum>
  <w:abstractNum w:abstractNumId="8">
    <w:nsid w:val="7D004CA6"/>
    <w:multiLevelType w:val="multilevel"/>
    <w:tmpl w:val="2E4EC6B8"/>
    <w:numStyleLink w:val="ListBullets"/>
  </w:abstractNum>
  <w:abstractNum w:abstractNumId="9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trackRevisions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09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83A4B"/>
    <w:rsid w:val="0009083C"/>
    <w:rsid w:val="000935AD"/>
    <w:rsid w:val="00094609"/>
    <w:rsid w:val="000A32E3"/>
    <w:rsid w:val="000B0BF6"/>
    <w:rsid w:val="000B64DB"/>
    <w:rsid w:val="000B6CE1"/>
    <w:rsid w:val="000C0795"/>
    <w:rsid w:val="000C4DC9"/>
    <w:rsid w:val="000C4F41"/>
    <w:rsid w:val="000C543E"/>
    <w:rsid w:val="000D4049"/>
    <w:rsid w:val="000D559A"/>
    <w:rsid w:val="000E08CC"/>
    <w:rsid w:val="000E25F9"/>
    <w:rsid w:val="000E49FA"/>
    <w:rsid w:val="000E6DC0"/>
    <w:rsid w:val="000F670D"/>
    <w:rsid w:val="001002D2"/>
    <w:rsid w:val="0010547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5418"/>
    <w:rsid w:val="001B01E6"/>
    <w:rsid w:val="001B2E0D"/>
    <w:rsid w:val="001D222B"/>
    <w:rsid w:val="001D362E"/>
    <w:rsid w:val="001E0DED"/>
    <w:rsid w:val="001E2050"/>
    <w:rsid w:val="001E2D33"/>
    <w:rsid w:val="001F5FF8"/>
    <w:rsid w:val="00200719"/>
    <w:rsid w:val="002050E1"/>
    <w:rsid w:val="0020613C"/>
    <w:rsid w:val="00223592"/>
    <w:rsid w:val="00224CBF"/>
    <w:rsid w:val="00227464"/>
    <w:rsid w:val="0023574C"/>
    <w:rsid w:val="00241ED6"/>
    <w:rsid w:val="00243F75"/>
    <w:rsid w:val="002477AF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B2467"/>
    <w:rsid w:val="002B60FA"/>
    <w:rsid w:val="002B64C3"/>
    <w:rsid w:val="002B7FD7"/>
    <w:rsid w:val="002C1E7E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87850"/>
    <w:rsid w:val="003A5A5F"/>
    <w:rsid w:val="003A60F6"/>
    <w:rsid w:val="003B566A"/>
    <w:rsid w:val="003C11E1"/>
    <w:rsid w:val="003C2435"/>
    <w:rsid w:val="003D20BC"/>
    <w:rsid w:val="003D2F63"/>
    <w:rsid w:val="003E3D26"/>
    <w:rsid w:val="003F0ED5"/>
    <w:rsid w:val="0040030D"/>
    <w:rsid w:val="00401A30"/>
    <w:rsid w:val="004022EE"/>
    <w:rsid w:val="00404192"/>
    <w:rsid w:val="00412CE1"/>
    <w:rsid w:val="004204F4"/>
    <w:rsid w:val="00431962"/>
    <w:rsid w:val="0043259F"/>
    <w:rsid w:val="0043358D"/>
    <w:rsid w:val="004523D9"/>
    <w:rsid w:val="00457030"/>
    <w:rsid w:val="00460860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C4F"/>
    <w:rsid w:val="004E2C04"/>
    <w:rsid w:val="004E3651"/>
    <w:rsid w:val="004E3A21"/>
    <w:rsid w:val="004E5B0E"/>
    <w:rsid w:val="005013E0"/>
    <w:rsid w:val="00510487"/>
    <w:rsid w:val="00511557"/>
    <w:rsid w:val="00517D06"/>
    <w:rsid w:val="00526528"/>
    <w:rsid w:val="00526D98"/>
    <w:rsid w:val="00532209"/>
    <w:rsid w:val="005416F4"/>
    <w:rsid w:val="00541E77"/>
    <w:rsid w:val="00546589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93D67"/>
    <w:rsid w:val="00596B83"/>
    <w:rsid w:val="005A3992"/>
    <w:rsid w:val="005A3FBE"/>
    <w:rsid w:val="005A5015"/>
    <w:rsid w:val="005B37DF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119C2"/>
    <w:rsid w:val="00617BEE"/>
    <w:rsid w:val="00627B7E"/>
    <w:rsid w:val="006402D8"/>
    <w:rsid w:val="00643DB1"/>
    <w:rsid w:val="006544C6"/>
    <w:rsid w:val="00660CB1"/>
    <w:rsid w:val="00666FC2"/>
    <w:rsid w:val="006713C4"/>
    <w:rsid w:val="00671888"/>
    <w:rsid w:val="00672811"/>
    <w:rsid w:val="0067742B"/>
    <w:rsid w:val="006807CF"/>
    <w:rsid w:val="00691A37"/>
    <w:rsid w:val="00693B09"/>
    <w:rsid w:val="006954B6"/>
    <w:rsid w:val="0069564B"/>
    <w:rsid w:val="00696C07"/>
    <w:rsid w:val="006A27CE"/>
    <w:rsid w:val="006A3242"/>
    <w:rsid w:val="006A74C3"/>
    <w:rsid w:val="006B2BFE"/>
    <w:rsid w:val="006B6C0F"/>
    <w:rsid w:val="006C0DD4"/>
    <w:rsid w:val="006C2D4C"/>
    <w:rsid w:val="006D188B"/>
    <w:rsid w:val="006E1377"/>
    <w:rsid w:val="006E1499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5B02"/>
    <w:rsid w:val="0075650A"/>
    <w:rsid w:val="007620A9"/>
    <w:rsid w:val="0076388D"/>
    <w:rsid w:val="0076630D"/>
    <w:rsid w:val="00767E34"/>
    <w:rsid w:val="0077420B"/>
    <w:rsid w:val="00776261"/>
    <w:rsid w:val="00783E00"/>
    <w:rsid w:val="007845B9"/>
    <w:rsid w:val="00793CE4"/>
    <w:rsid w:val="00794941"/>
    <w:rsid w:val="007A750B"/>
    <w:rsid w:val="007B1DAF"/>
    <w:rsid w:val="007C16D2"/>
    <w:rsid w:val="007C72B5"/>
    <w:rsid w:val="007C73F7"/>
    <w:rsid w:val="007D0E52"/>
    <w:rsid w:val="007D30AA"/>
    <w:rsid w:val="007D59DF"/>
    <w:rsid w:val="007E25A4"/>
    <w:rsid w:val="007F32EE"/>
    <w:rsid w:val="00804D02"/>
    <w:rsid w:val="008143D3"/>
    <w:rsid w:val="00822B99"/>
    <w:rsid w:val="00823B4C"/>
    <w:rsid w:val="0082633E"/>
    <w:rsid w:val="0084235C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4235"/>
    <w:rsid w:val="008B638A"/>
    <w:rsid w:val="008C340B"/>
    <w:rsid w:val="008C3527"/>
    <w:rsid w:val="008C6D28"/>
    <w:rsid w:val="008C73C7"/>
    <w:rsid w:val="008D59F5"/>
    <w:rsid w:val="008D707A"/>
    <w:rsid w:val="008E61DD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767A7"/>
    <w:rsid w:val="009845EB"/>
    <w:rsid w:val="009933A5"/>
    <w:rsid w:val="009963D8"/>
    <w:rsid w:val="009A2B72"/>
    <w:rsid w:val="009A62F2"/>
    <w:rsid w:val="009B0B9A"/>
    <w:rsid w:val="009B4C84"/>
    <w:rsid w:val="009B55EE"/>
    <w:rsid w:val="009C201C"/>
    <w:rsid w:val="009D47D6"/>
    <w:rsid w:val="009D6D19"/>
    <w:rsid w:val="009E54D2"/>
    <w:rsid w:val="009E60A3"/>
    <w:rsid w:val="009F343D"/>
    <w:rsid w:val="009F5D5B"/>
    <w:rsid w:val="00A02821"/>
    <w:rsid w:val="00A07452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60255"/>
    <w:rsid w:val="00A611C5"/>
    <w:rsid w:val="00A611F4"/>
    <w:rsid w:val="00A6787D"/>
    <w:rsid w:val="00A67F56"/>
    <w:rsid w:val="00A73B33"/>
    <w:rsid w:val="00A750A5"/>
    <w:rsid w:val="00A856D3"/>
    <w:rsid w:val="00A85FF7"/>
    <w:rsid w:val="00A87081"/>
    <w:rsid w:val="00A87F66"/>
    <w:rsid w:val="00A96528"/>
    <w:rsid w:val="00AA6E0D"/>
    <w:rsid w:val="00AB167D"/>
    <w:rsid w:val="00AC4182"/>
    <w:rsid w:val="00AE0441"/>
    <w:rsid w:val="00AE7AB6"/>
    <w:rsid w:val="00AF1D0B"/>
    <w:rsid w:val="00AF71E0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4922"/>
    <w:rsid w:val="00B9589B"/>
    <w:rsid w:val="00BA2E49"/>
    <w:rsid w:val="00BA3308"/>
    <w:rsid w:val="00BA785C"/>
    <w:rsid w:val="00BB4AA3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37641"/>
    <w:rsid w:val="00C460D2"/>
    <w:rsid w:val="00C47F59"/>
    <w:rsid w:val="00C6596A"/>
    <w:rsid w:val="00C66641"/>
    <w:rsid w:val="00C71BF5"/>
    <w:rsid w:val="00C75A66"/>
    <w:rsid w:val="00C76D37"/>
    <w:rsid w:val="00C820E0"/>
    <w:rsid w:val="00C82766"/>
    <w:rsid w:val="00C875DE"/>
    <w:rsid w:val="00C93633"/>
    <w:rsid w:val="00C940BA"/>
    <w:rsid w:val="00C95E62"/>
    <w:rsid w:val="00CB515A"/>
    <w:rsid w:val="00CB7A8B"/>
    <w:rsid w:val="00CC2661"/>
    <w:rsid w:val="00CC3E06"/>
    <w:rsid w:val="00CC649C"/>
    <w:rsid w:val="00CD3EF7"/>
    <w:rsid w:val="00CE6FD6"/>
    <w:rsid w:val="00CF1DAF"/>
    <w:rsid w:val="00CF22B8"/>
    <w:rsid w:val="00CF5112"/>
    <w:rsid w:val="00CF6F1A"/>
    <w:rsid w:val="00D00160"/>
    <w:rsid w:val="00D00244"/>
    <w:rsid w:val="00D0366B"/>
    <w:rsid w:val="00D0445E"/>
    <w:rsid w:val="00D11E7F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5D00"/>
    <w:rsid w:val="00D5644A"/>
    <w:rsid w:val="00D565CB"/>
    <w:rsid w:val="00D62DB7"/>
    <w:rsid w:val="00D65E4C"/>
    <w:rsid w:val="00D77398"/>
    <w:rsid w:val="00D85CD8"/>
    <w:rsid w:val="00D87210"/>
    <w:rsid w:val="00DB17C4"/>
    <w:rsid w:val="00DC1F44"/>
    <w:rsid w:val="00DC2EFA"/>
    <w:rsid w:val="00DC354E"/>
    <w:rsid w:val="00DC4705"/>
    <w:rsid w:val="00DD1C68"/>
    <w:rsid w:val="00DD4319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03ADD"/>
    <w:rsid w:val="00E12272"/>
    <w:rsid w:val="00E24332"/>
    <w:rsid w:val="00E25D80"/>
    <w:rsid w:val="00E32335"/>
    <w:rsid w:val="00E437C6"/>
    <w:rsid w:val="00E4546D"/>
    <w:rsid w:val="00E53D37"/>
    <w:rsid w:val="00E564AD"/>
    <w:rsid w:val="00E63D4A"/>
    <w:rsid w:val="00E63D63"/>
    <w:rsid w:val="00E66CE7"/>
    <w:rsid w:val="00E677BA"/>
    <w:rsid w:val="00E7331F"/>
    <w:rsid w:val="00E73AB4"/>
    <w:rsid w:val="00E85D91"/>
    <w:rsid w:val="00E87AB5"/>
    <w:rsid w:val="00EA24D5"/>
    <w:rsid w:val="00EA2D22"/>
    <w:rsid w:val="00EA720B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F1568"/>
    <w:rsid w:val="00EF2549"/>
    <w:rsid w:val="00F11B7F"/>
    <w:rsid w:val="00F1614F"/>
    <w:rsid w:val="00F16C0B"/>
    <w:rsid w:val="00F16F05"/>
    <w:rsid w:val="00F17887"/>
    <w:rsid w:val="00F2113E"/>
    <w:rsid w:val="00F25698"/>
    <w:rsid w:val="00F26D0B"/>
    <w:rsid w:val="00F50671"/>
    <w:rsid w:val="00F57A62"/>
    <w:rsid w:val="00F57B58"/>
    <w:rsid w:val="00F7272D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546A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28FC-33B8-4EFC-ACFB-E72D25F6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Gideon Odubayo</cp:lastModifiedBy>
  <cp:revision>2</cp:revision>
  <cp:lastPrinted>2014-02-10T12:24:00Z</cp:lastPrinted>
  <dcterms:created xsi:type="dcterms:W3CDTF">2014-11-12T16:47:00Z</dcterms:created>
  <dcterms:modified xsi:type="dcterms:W3CDTF">2014-11-12T16:47:00Z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