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4C71DF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E03ADD">
              <w:t>4</w:t>
            </w:r>
            <w:r w:rsidR="00857B67">
              <w:t>2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6544C6" w:rsidP="004C71DF">
            <w:pPr>
              <w:pStyle w:val="Date"/>
            </w:pPr>
            <w:r>
              <w:t>1</w:t>
            </w:r>
            <w:r w:rsidR="004C71DF">
              <w:t>0</w:t>
            </w:r>
            <w:r>
              <w:t xml:space="preserve"> </w:t>
            </w:r>
            <w:r w:rsidR="004C71DF">
              <w:t>Decem</w:t>
            </w:r>
            <w:r w:rsidR="00E03ADD">
              <w:t>ber</w:t>
            </w:r>
            <w:r w:rsidR="00223592">
              <w:t xml:space="preserve"> 2014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857B67" w:rsidP="006A74C3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00542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5416F4">
                <w:rPr>
                  <w:noProof/>
                </w:rPr>
                <w:t>3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517D06" w:rsidP="00F17887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E85D91">
              <w:t>2</w:t>
            </w:r>
            <w:r>
              <w:t xml:space="preserve"> </w:t>
            </w:r>
            <w:r w:rsidR="00E85D91">
              <w:t>November</w:t>
            </w:r>
            <w:r w:rsidR="00223592">
              <w:t xml:space="preserve"> 2014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FB386F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127B49">
        <w:t>6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FB386F" w:rsidP="00C07404">
            <w:pPr>
              <w:pStyle w:val="Tabletext"/>
            </w:pPr>
            <w:r>
              <w:t>M2280</w:t>
            </w:r>
          </w:p>
        </w:tc>
        <w:tc>
          <w:tcPr>
            <w:tcW w:w="1211" w:type="dxa"/>
            <w:vAlign w:val="center"/>
          </w:tcPr>
          <w:p w:rsidR="00223592" w:rsidRPr="00C07404" w:rsidRDefault="00FB386F" w:rsidP="00546589">
            <w:pPr>
              <w:pStyle w:val="Tabletext"/>
            </w:pPr>
            <w:r>
              <w:t>NORW</w:t>
            </w:r>
          </w:p>
        </w:tc>
        <w:tc>
          <w:tcPr>
            <w:tcW w:w="7974" w:type="dxa"/>
            <w:vAlign w:val="center"/>
          </w:tcPr>
          <w:p w:rsidR="00AE27CB" w:rsidRDefault="00AE27CB" w:rsidP="00AE27CB">
            <w:pPr>
              <w:pStyle w:val="Tabletext"/>
              <w:ind w:left="0"/>
            </w:pPr>
            <w:r>
              <w:t>Creation of new additional Site Specific LLFC’s and associated MTC/LLFC combination</w:t>
            </w:r>
          </w:p>
          <w:p w:rsidR="00105471" w:rsidRPr="00105471" w:rsidRDefault="00AE27CB" w:rsidP="00AE27CB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from: 21</w:t>
            </w:r>
            <w:r>
              <w:rPr>
                <w:i/>
              </w:rPr>
              <w:t>/0</w:t>
            </w:r>
            <w:r>
              <w:rPr>
                <w:i/>
              </w:rPr>
              <w:t>1</w:t>
            </w:r>
            <w:r>
              <w:rPr>
                <w:i/>
              </w:rPr>
              <w:t>/2015</w:t>
            </w:r>
          </w:p>
        </w:tc>
      </w:tr>
      <w:tr w:rsidR="00C820E0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C07404" w:rsidRDefault="00FB386F" w:rsidP="00C07404">
            <w:pPr>
              <w:pStyle w:val="Tabletext"/>
            </w:pPr>
            <w:r>
              <w:t>M2281</w:t>
            </w:r>
          </w:p>
        </w:tc>
        <w:tc>
          <w:tcPr>
            <w:tcW w:w="1211" w:type="dxa"/>
            <w:vAlign w:val="center"/>
          </w:tcPr>
          <w:p w:rsidR="00C820E0" w:rsidRPr="00C07404" w:rsidRDefault="00FB386F" w:rsidP="00546589">
            <w:pPr>
              <w:pStyle w:val="Tabletext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AE27CB" w:rsidRDefault="00AE27CB" w:rsidP="00AE27CB">
            <w:pPr>
              <w:pStyle w:val="Tabletext"/>
              <w:ind w:left="0"/>
            </w:pPr>
            <w:r>
              <w:t>Creation of new additional Site Specific LLFC’s and associated MTC/LLFC</w:t>
            </w:r>
            <w:r>
              <w:t xml:space="preserve"> and MTC/LLFC/SSC/PC</w:t>
            </w:r>
            <w:r>
              <w:t xml:space="preserve"> combination</w:t>
            </w:r>
          </w:p>
          <w:p w:rsidR="00C820E0" w:rsidRPr="00105471" w:rsidRDefault="00AE27CB" w:rsidP="00AE27CB">
            <w:pPr>
              <w:pStyle w:val="Tabletext"/>
              <w:ind w:left="0"/>
            </w:pPr>
            <w:r>
              <w:rPr>
                <w:i/>
              </w:rPr>
              <w:t>Effective from: 21/01/2015</w:t>
            </w:r>
          </w:p>
        </w:tc>
      </w:tr>
      <w:tr w:rsidR="00C820E0" w:rsidRPr="000970E4" w:rsidTr="00C66641">
        <w:trPr>
          <w:cantSplit/>
          <w:trHeight w:val="641"/>
        </w:trPr>
        <w:tc>
          <w:tcPr>
            <w:tcW w:w="1328" w:type="dxa"/>
            <w:vAlign w:val="center"/>
          </w:tcPr>
          <w:p w:rsidR="00C820E0" w:rsidRPr="00C07404" w:rsidRDefault="00FB386F" w:rsidP="00C07404">
            <w:pPr>
              <w:pStyle w:val="Tabletext"/>
            </w:pPr>
            <w:r>
              <w:t>M2282</w:t>
            </w:r>
          </w:p>
        </w:tc>
        <w:tc>
          <w:tcPr>
            <w:tcW w:w="1211" w:type="dxa"/>
            <w:vAlign w:val="center"/>
          </w:tcPr>
          <w:p w:rsidR="00C820E0" w:rsidRPr="00C07404" w:rsidRDefault="00FB386F" w:rsidP="006544C6">
            <w:pPr>
              <w:pStyle w:val="Tabletext"/>
            </w:pPr>
            <w:r>
              <w:t>GDCC</w:t>
            </w:r>
          </w:p>
        </w:tc>
        <w:tc>
          <w:tcPr>
            <w:tcW w:w="7974" w:type="dxa"/>
            <w:vAlign w:val="center"/>
          </w:tcPr>
          <w:p w:rsidR="00696BC9" w:rsidRPr="00696BC9" w:rsidRDefault="00696BC9" w:rsidP="00AF71E0">
            <w:pPr>
              <w:pStyle w:val="Tabletext"/>
              <w:ind w:left="0"/>
            </w:pPr>
            <w:r>
              <w:t xml:space="preserve">Change of Market Participant Address and </w:t>
            </w:r>
            <w:r w:rsidRPr="002B151C">
              <w:t>Assignment of Market Participants to Green Deal Market Participant Roles</w:t>
            </w:r>
          </w:p>
          <w:p w:rsidR="00C820E0" w:rsidRPr="00105471" w:rsidRDefault="00696BC9" w:rsidP="00AF71E0">
            <w:pPr>
              <w:pStyle w:val="Tabletext"/>
              <w:ind w:left="0"/>
            </w:pPr>
            <w:r>
              <w:rPr>
                <w:i/>
              </w:rPr>
              <w:t>Effective from: 21/01/2015</w:t>
            </w:r>
          </w:p>
        </w:tc>
      </w:tr>
      <w:tr w:rsidR="00AE27CB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AE27CB" w:rsidRPr="00055D1A" w:rsidRDefault="00AE27CB" w:rsidP="00C07404">
            <w:pPr>
              <w:pStyle w:val="Tabletext"/>
            </w:pPr>
            <w:r>
              <w:t>M2283</w:t>
            </w:r>
          </w:p>
        </w:tc>
        <w:tc>
          <w:tcPr>
            <w:tcW w:w="1211" w:type="dxa"/>
            <w:vAlign w:val="center"/>
          </w:tcPr>
          <w:p w:rsidR="00AE27CB" w:rsidRPr="00055D1A" w:rsidRDefault="00AE27CB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AE27CB" w:rsidRDefault="00AE27CB" w:rsidP="000323C8">
            <w:r>
              <w:t>A</w:t>
            </w:r>
            <w:r>
              <w:t xml:space="preserve">rchive </w:t>
            </w:r>
            <w:r w:rsidR="0025223B">
              <w:t xml:space="preserve">of </w:t>
            </w:r>
            <w:r>
              <w:t>records</w:t>
            </w:r>
            <w:r w:rsidR="0025223B">
              <w:t xml:space="preserve"> in the MDD database</w:t>
            </w:r>
            <w:r>
              <w:t xml:space="preserve"> </w:t>
            </w:r>
            <w:r>
              <w:t>where Effective To Date is earlier than 22/09/2011,</w:t>
            </w:r>
            <w:r>
              <w:t xml:space="preserve"> </w:t>
            </w:r>
            <w:r w:rsidR="0025223B">
              <w:t>to maintain</w:t>
            </w:r>
            <w:r>
              <w:t xml:space="preserve"> referential integrity of the MDD database.</w:t>
            </w:r>
            <w:bookmarkStart w:id="0" w:name="_GoBack"/>
            <w:bookmarkEnd w:id="0"/>
          </w:p>
          <w:p w:rsidR="00AE27CB" w:rsidRPr="00105471" w:rsidRDefault="00AE27CB" w:rsidP="000323C8">
            <w:pPr>
              <w:pStyle w:val="Tabletext"/>
              <w:ind w:left="0"/>
            </w:pPr>
            <w:r>
              <w:rPr>
                <w:i/>
              </w:rPr>
              <w:t>Effective from: 21/01/2015</w:t>
            </w:r>
          </w:p>
        </w:tc>
      </w:tr>
      <w:tr w:rsidR="00AE27CB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AE27CB" w:rsidRPr="00055D1A" w:rsidRDefault="00AE27CB" w:rsidP="00C07404">
            <w:pPr>
              <w:pStyle w:val="Tabletext"/>
            </w:pPr>
            <w:r>
              <w:t>M2284</w:t>
            </w:r>
          </w:p>
        </w:tc>
        <w:tc>
          <w:tcPr>
            <w:tcW w:w="1211" w:type="dxa"/>
            <w:vAlign w:val="center"/>
          </w:tcPr>
          <w:p w:rsidR="00AE27CB" w:rsidRPr="00055D1A" w:rsidRDefault="00AE27CB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AE27CB" w:rsidRDefault="00AE27CB" w:rsidP="000323C8">
            <w:pPr>
              <w:pStyle w:val="Tabletext"/>
              <w:ind w:left="0"/>
            </w:pPr>
            <w:r>
              <w:t>Deletion</w:t>
            </w:r>
            <w:r>
              <w:t xml:space="preserve"> of Role Codes in MDD and reassigning Role Codes in MDD</w:t>
            </w:r>
          </w:p>
          <w:p w:rsidR="00AE27CB" w:rsidRPr="00055D1A" w:rsidRDefault="00AE27CB" w:rsidP="000323C8">
            <w:pPr>
              <w:pStyle w:val="Tabletext"/>
              <w:ind w:left="0"/>
            </w:pPr>
            <w:r>
              <w:rPr>
                <w:i/>
              </w:rPr>
              <w:t>Effective from: 21/01/2015</w:t>
            </w:r>
          </w:p>
        </w:tc>
      </w:tr>
      <w:tr w:rsidR="00AE27CB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AE27CB" w:rsidRDefault="00AE27CB" w:rsidP="00C07404">
            <w:pPr>
              <w:pStyle w:val="Tabletext"/>
            </w:pPr>
            <w:r>
              <w:t>M2285</w:t>
            </w:r>
          </w:p>
        </w:tc>
        <w:tc>
          <w:tcPr>
            <w:tcW w:w="1211" w:type="dxa"/>
            <w:vAlign w:val="center"/>
          </w:tcPr>
          <w:p w:rsidR="00AE27CB" w:rsidRDefault="00AE27CB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AE27CB" w:rsidRDefault="00AE27CB" w:rsidP="00AF71E0">
            <w:pPr>
              <w:pStyle w:val="Tabletext"/>
              <w:ind w:left="0"/>
            </w:pPr>
            <w:r>
              <w:t>Adding new UMS charge codes</w:t>
            </w:r>
          </w:p>
          <w:p w:rsidR="00AE27CB" w:rsidRPr="00055D1A" w:rsidRDefault="00AE27CB" w:rsidP="00AF71E0">
            <w:pPr>
              <w:pStyle w:val="Tabletext"/>
              <w:ind w:left="0"/>
            </w:pPr>
            <w:r>
              <w:rPr>
                <w:i/>
              </w:rPr>
              <w:t>Effective from: 21/01/2015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 Supplier Volume Al</w:t>
      </w:r>
      <w:r w:rsidR="00CC649C">
        <w:t>location Group (SVG) meeting 16</w:t>
      </w:r>
      <w:r w:rsidR="004C71DF">
        <w:t>8</w:t>
      </w:r>
      <w:r>
        <w:t xml:space="preserve"> on </w:t>
      </w:r>
      <w:r w:rsidR="00D62DB7">
        <w:t>0</w:t>
      </w:r>
      <w:r w:rsidR="004C71DF">
        <w:t>6</w:t>
      </w:r>
      <w:r w:rsidR="00CC649C">
        <w:t xml:space="preserve"> </w:t>
      </w:r>
      <w:r w:rsidR="004C71DF">
        <w:t>January 2015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E4546D">
        <w:rPr>
          <w:b/>
        </w:rPr>
        <w:t>1</w:t>
      </w:r>
      <w:r w:rsidR="004C71DF">
        <w:rPr>
          <w:b/>
        </w:rPr>
        <w:t>7</w:t>
      </w:r>
      <w:r w:rsidR="00D62DB7">
        <w:rPr>
          <w:b/>
        </w:rPr>
        <w:t xml:space="preserve"> </w:t>
      </w:r>
      <w:r w:rsidR="004C71DF">
        <w:rPr>
          <w:b/>
        </w:rPr>
        <w:t>Decem</w:t>
      </w:r>
      <w:r w:rsidR="00E4546D">
        <w:rPr>
          <w:b/>
        </w:rPr>
        <w:t>ber</w:t>
      </w:r>
      <w:r w:rsidR="00D62DB7">
        <w:rPr>
          <w:b/>
        </w:rPr>
        <w:t xml:space="preserve"> </w:t>
      </w:r>
      <w:r w:rsidRPr="00223592">
        <w:rPr>
          <w:b/>
        </w:rPr>
        <w:t>2014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20613C">
        <w:t>ersion 22</w:t>
      </w:r>
      <w:r w:rsidR="004C71DF">
        <w:t>4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4C71DF" w:rsidRDefault="004C71DF" w:rsidP="004C71DF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223592" w:rsidRDefault="00223592" w:rsidP="00C07404">
      <w:pPr>
        <w:pStyle w:val="BodyText"/>
      </w:pPr>
      <w:r>
        <w:t>Attachment A – Change Requests</w:t>
      </w:r>
    </w:p>
    <w:p w:rsidR="00223592" w:rsidRDefault="00223592" w:rsidP="00C07404">
      <w:pPr>
        <w:pStyle w:val="BodyText"/>
      </w:pPr>
      <w:r>
        <w:t>Attachment B – UMS Charge Code Documentation</w:t>
      </w:r>
    </w:p>
    <w:p w:rsidR="00223592" w:rsidRDefault="00223592" w:rsidP="00C07404">
      <w:pPr>
        <w:pStyle w:val="BodyText"/>
      </w:pPr>
    </w:p>
    <w:p w:rsidR="004C71DF" w:rsidRDefault="004C71DF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E4546D">
        <w:rPr>
          <w:b/>
        </w:rPr>
        <w:t>1</w:t>
      </w:r>
      <w:r w:rsidR="004C71DF">
        <w:rPr>
          <w:b/>
        </w:rPr>
        <w:t>7</w:t>
      </w:r>
      <w:r w:rsidR="000606F3">
        <w:rPr>
          <w:b/>
        </w:rPr>
        <w:t xml:space="preserve"> </w:t>
      </w:r>
      <w:r w:rsidR="004C71DF">
        <w:rPr>
          <w:b/>
        </w:rPr>
        <w:t>Decem</w:t>
      </w:r>
      <w:r w:rsidR="00E85D91">
        <w:rPr>
          <w:b/>
        </w:rPr>
        <w:t>ber</w:t>
      </w:r>
      <w:r w:rsidR="00223592" w:rsidRPr="00223592">
        <w:rPr>
          <w:b/>
        </w:rPr>
        <w:t xml:space="preserve"> 2014.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4C71DF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9B4C84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055D1A">
        <w:t>M22</w:t>
      </w:r>
      <w:r w:rsidR="00F41F46">
        <w:t>80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055D1A">
        <w:t>M22</w:t>
      </w:r>
      <w:r w:rsidR="00F41F46">
        <w:t>81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055D1A">
        <w:t>M22</w:t>
      </w:r>
      <w:r w:rsidR="00F41F46">
        <w:t>82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055D1A">
        <w:t>M22</w:t>
      </w:r>
      <w:r w:rsidR="00F41F46">
        <w:t>83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055D1A">
        <w:t>M22</w:t>
      </w:r>
      <w:r w:rsidR="00F41F46">
        <w:t>84</w:t>
      </w:r>
    </w:p>
    <w:p w:rsidR="00517D06" w:rsidRPr="00223592" w:rsidRDefault="00517D06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B5" w:rsidRDefault="007C72B5" w:rsidP="00D00160">
      <w:pPr>
        <w:spacing w:after="0"/>
      </w:pPr>
      <w:r>
        <w:separator/>
      </w:r>
    </w:p>
    <w:p w:rsidR="007C72B5" w:rsidRDefault="007C72B5"/>
    <w:p w:rsidR="007C72B5" w:rsidRDefault="007C72B5"/>
  </w:endnote>
  <w:endnote w:type="continuationSeparator" w:id="0">
    <w:p w:rsidR="007C72B5" w:rsidRDefault="007C72B5" w:rsidP="00D00160">
      <w:pPr>
        <w:spacing w:after="0"/>
      </w:pPr>
      <w:r>
        <w:continuationSeparator/>
      </w:r>
    </w:p>
    <w:p w:rsidR="007C72B5" w:rsidRDefault="007C72B5"/>
    <w:p w:rsidR="007C72B5" w:rsidRDefault="007C7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857B67" w:rsidP="00223592">
          <w:pPr>
            <w:pStyle w:val="Footer"/>
          </w:pPr>
          <w:fldSimple w:instr=" STYLEREF  &quot;Footer Ref 1&quot;  \* MERGEFORMAT ">
            <w:r w:rsidR="0025223B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857B67" w:rsidP="00E63D4A">
          <w:pPr>
            <w:pStyle w:val="Footer"/>
          </w:pPr>
          <w:r>
            <w:t>00542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506B2EC" wp14:editId="6D0ABC08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22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25223B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857B67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25223B">
              <w:rPr>
                <w:noProof/>
              </w:rPr>
              <w:t>12 November 2014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FB386F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B5" w:rsidRDefault="007C72B5" w:rsidP="00D00160">
      <w:pPr>
        <w:spacing w:after="0"/>
      </w:pPr>
      <w:r>
        <w:separator/>
      </w:r>
    </w:p>
    <w:p w:rsidR="007C72B5" w:rsidRDefault="007C72B5"/>
    <w:p w:rsidR="007C72B5" w:rsidRDefault="007C72B5"/>
  </w:footnote>
  <w:footnote w:type="continuationSeparator" w:id="0">
    <w:p w:rsidR="007C72B5" w:rsidRDefault="007C72B5" w:rsidP="00D00160">
      <w:pPr>
        <w:spacing w:after="0"/>
      </w:pPr>
      <w:r>
        <w:continuationSeparator/>
      </w:r>
    </w:p>
    <w:p w:rsidR="007C72B5" w:rsidRDefault="007C72B5"/>
    <w:p w:rsidR="007C72B5" w:rsidRDefault="007C72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857B67" w:rsidP="009D47D6">
          <w:pPr>
            <w:pStyle w:val="Title"/>
          </w:pPr>
          <w:fldSimple w:instr=" STYLEREF  Title  \* MERGEFORMAT ">
            <w:r w:rsidR="0025223B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abstractNum w:abstractNumId="9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819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83A4B"/>
    <w:rsid w:val="0009083C"/>
    <w:rsid w:val="000935AD"/>
    <w:rsid w:val="00094609"/>
    <w:rsid w:val="000A32E3"/>
    <w:rsid w:val="000B0BF6"/>
    <w:rsid w:val="000B64DB"/>
    <w:rsid w:val="000B6CE1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E6DC0"/>
    <w:rsid w:val="000F670D"/>
    <w:rsid w:val="001002D2"/>
    <w:rsid w:val="0010547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B49"/>
    <w:rsid w:val="00127CD0"/>
    <w:rsid w:val="00130B0E"/>
    <w:rsid w:val="00151EA9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5418"/>
    <w:rsid w:val="001B01E6"/>
    <w:rsid w:val="001B2E0D"/>
    <w:rsid w:val="001D222B"/>
    <w:rsid w:val="001D362E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574C"/>
    <w:rsid w:val="00241ED6"/>
    <w:rsid w:val="00243F75"/>
    <w:rsid w:val="002477AF"/>
    <w:rsid w:val="0025223B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B7FD7"/>
    <w:rsid w:val="002C1E7E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11E1"/>
    <w:rsid w:val="003C2435"/>
    <w:rsid w:val="003D20BC"/>
    <w:rsid w:val="003D2F63"/>
    <w:rsid w:val="003E3D26"/>
    <w:rsid w:val="003F0ED5"/>
    <w:rsid w:val="0040030D"/>
    <w:rsid w:val="00401A30"/>
    <w:rsid w:val="004022EE"/>
    <w:rsid w:val="00404192"/>
    <w:rsid w:val="00412CE1"/>
    <w:rsid w:val="004204F4"/>
    <w:rsid w:val="00431962"/>
    <w:rsid w:val="0043259F"/>
    <w:rsid w:val="0043358D"/>
    <w:rsid w:val="004523D9"/>
    <w:rsid w:val="00457030"/>
    <w:rsid w:val="0046086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1DF"/>
    <w:rsid w:val="004C753B"/>
    <w:rsid w:val="004D4201"/>
    <w:rsid w:val="004D4C4F"/>
    <w:rsid w:val="004E2C04"/>
    <w:rsid w:val="004E3651"/>
    <w:rsid w:val="004E3A21"/>
    <w:rsid w:val="004E5B0E"/>
    <w:rsid w:val="005013E0"/>
    <w:rsid w:val="00510487"/>
    <w:rsid w:val="00511557"/>
    <w:rsid w:val="00517D06"/>
    <w:rsid w:val="00526528"/>
    <w:rsid w:val="00526D98"/>
    <w:rsid w:val="00532209"/>
    <w:rsid w:val="005416F4"/>
    <w:rsid w:val="00541E77"/>
    <w:rsid w:val="00546589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B37DF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119C2"/>
    <w:rsid w:val="00617BEE"/>
    <w:rsid w:val="00627B7E"/>
    <w:rsid w:val="006402D8"/>
    <w:rsid w:val="00643DB1"/>
    <w:rsid w:val="006544C6"/>
    <w:rsid w:val="00660CB1"/>
    <w:rsid w:val="00666FC2"/>
    <w:rsid w:val="006713C4"/>
    <w:rsid w:val="00671888"/>
    <w:rsid w:val="00672811"/>
    <w:rsid w:val="0067742B"/>
    <w:rsid w:val="006807CF"/>
    <w:rsid w:val="00691A37"/>
    <w:rsid w:val="00693B09"/>
    <w:rsid w:val="006954B6"/>
    <w:rsid w:val="0069564B"/>
    <w:rsid w:val="00696BC9"/>
    <w:rsid w:val="00696C07"/>
    <w:rsid w:val="006A27CE"/>
    <w:rsid w:val="006A3242"/>
    <w:rsid w:val="006A74C3"/>
    <w:rsid w:val="006B2BFE"/>
    <w:rsid w:val="006B6C0F"/>
    <w:rsid w:val="006C0DD4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5B02"/>
    <w:rsid w:val="0075650A"/>
    <w:rsid w:val="007620A9"/>
    <w:rsid w:val="0076388D"/>
    <w:rsid w:val="0076630D"/>
    <w:rsid w:val="00767E34"/>
    <w:rsid w:val="0077420B"/>
    <w:rsid w:val="00776261"/>
    <w:rsid w:val="00783E00"/>
    <w:rsid w:val="007845B9"/>
    <w:rsid w:val="00793CE4"/>
    <w:rsid w:val="00794941"/>
    <w:rsid w:val="007A750B"/>
    <w:rsid w:val="007B1DAF"/>
    <w:rsid w:val="007C16D2"/>
    <w:rsid w:val="007C72B5"/>
    <w:rsid w:val="007C73F7"/>
    <w:rsid w:val="007D0E52"/>
    <w:rsid w:val="007D30AA"/>
    <w:rsid w:val="007D59DF"/>
    <w:rsid w:val="007E25A4"/>
    <w:rsid w:val="007F32EE"/>
    <w:rsid w:val="00804D02"/>
    <w:rsid w:val="008143D3"/>
    <w:rsid w:val="00822B99"/>
    <w:rsid w:val="00823B4C"/>
    <w:rsid w:val="0082633E"/>
    <w:rsid w:val="0084235C"/>
    <w:rsid w:val="00857B67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61DD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767A7"/>
    <w:rsid w:val="009845EB"/>
    <w:rsid w:val="009933A5"/>
    <w:rsid w:val="009963D8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22973"/>
    <w:rsid w:val="00A24BDB"/>
    <w:rsid w:val="00A27D31"/>
    <w:rsid w:val="00A32F4E"/>
    <w:rsid w:val="00A34C37"/>
    <w:rsid w:val="00A3760C"/>
    <w:rsid w:val="00A426A7"/>
    <w:rsid w:val="00A437F9"/>
    <w:rsid w:val="00A44D3F"/>
    <w:rsid w:val="00A547DC"/>
    <w:rsid w:val="00A60255"/>
    <w:rsid w:val="00A611C5"/>
    <w:rsid w:val="00A611F4"/>
    <w:rsid w:val="00A6787D"/>
    <w:rsid w:val="00A67F56"/>
    <w:rsid w:val="00A73B33"/>
    <w:rsid w:val="00A750A5"/>
    <w:rsid w:val="00A80468"/>
    <w:rsid w:val="00A856D3"/>
    <w:rsid w:val="00A85FF7"/>
    <w:rsid w:val="00A87081"/>
    <w:rsid w:val="00A87F66"/>
    <w:rsid w:val="00A96528"/>
    <w:rsid w:val="00AA6E0D"/>
    <w:rsid w:val="00AB167D"/>
    <w:rsid w:val="00AC4182"/>
    <w:rsid w:val="00AE0441"/>
    <w:rsid w:val="00AE27CB"/>
    <w:rsid w:val="00AE7AB6"/>
    <w:rsid w:val="00AF1D0B"/>
    <w:rsid w:val="00AF71E0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4922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7641"/>
    <w:rsid w:val="00C460D2"/>
    <w:rsid w:val="00C47F59"/>
    <w:rsid w:val="00C6596A"/>
    <w:rsid w:val="00C66641"/>
    <w:rsid w:val="00C71BF5"/>
    <w:rsid w:val="00C75A66"/>
    <w:rsid w:val="00C76D37"/>
    <w:rsid w:val="00C820E0"/>
    <w:rsid w:val="00C82766"/>
    <w:rsid w:val="00C875DE"/>
    <w:rsid w:val="00C93633"/>
    <w:rsid w:val="00C940BA"/>
    <w:rsid w:val="00C95E62"/>
    <w:rsid w:val="00CB515A"/>
    <w:rsid w:val="00CB7A8B"/>
    <w:rsid w:val="00CC2661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5D00"/>
    <w:rsid w:val="00D5644A"/>
    <w:rsid w:val="00D565CB"/>
    <w:rsid w:val="00D62DB7"/>
    <w:rsid w:val="00D65E4C"/>
    <w:rsid w:val="00D77398"/>
    <w:rsid w:val="00D85CD8"/>
    <w:rsid w:val="00D87210"/>
    <w:rsid w:val="00DB17C4"/>
    <w:rsid w:val="00DC1F44"/>
    <w:rsid w:val="00DC2EFA"/>
    <w:rsid w:val="00DC354E"/>
    <w:rsid w:val="00DC4705"/>
    <w:rsid w:val="00DD1C68"/>
    <w:rsid w:val="00DD4319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03ADD"/>
    <w:rsid w:val="00E12272"/>
    <w:rsid w:val="00E24332"/>
    <w:rsid w:val="00E25D80"/>
    <w:rsid w:val="00E32335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5D91"/>
    <w:rsid w:val="00E87AB5"/>
    <w:rsid w:val="00EA24D5"/>
    <w:rsid w:val="00EA2D22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17887"/>
    <w:rsid w:val="00F2113E"/>
    <w:rsid w:val="00F25698"/>
    <w:rsid w:val="00F26D0B"/>
    <w:rsid w:val="00F41F46"/>
    <w:rsid w:val="00F50671"/>
    <w:rsid w:val="00F57A62"/>
    <w:rsid w:val="00F57B58"/>
    <w:rsid w:val="00F7272D"/>
    <w:rsid w:val="00F73B18"/>
    <w:rsid w:val="00F764F7"/>
    <w:rsid w:val="00F8313F"/>
    <w:rsid w:val="00F86E2F"/>
    <w:rsid w:val="00F9052B"/>
    <w:rsid w:val="00F96D9D"/>
    <w:rsid w:val="00FA790F"/>
    <w:rsid w:val="00FB13C1"/>
    <w:rsid w:val="00FB386F"/>
    <w:rsid w:val="00FB7E85"/>
    <w:rsid w:val="00FC2EA5"/>
    <w:rsid w:val="00FC37B4"/>
    <w:rsid w:val="00FD188E"/>
    <w:rsid w:val="00FD3155"/>
    <w:rsid w:val="00FD546A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E14E-5A64-4545-855B-9949582B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13</cp:revision>
  <cp:lastPrinted>2014-02-10T12:24:00Z</cp:lastPrinted>
  <dcterms:created xsi:type="dcterms:W3CDTF">2014-11-12T16:47:00Z</dcterms:created>
  <dcterms:modified xsi:type="dcterms:W3CDTF">2014-12-10T12:27:00Z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