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B85DEE">
            <w:pPr>
              <w:pStyle w:val="Introtabletext"/>
            </w:pPr>
            <w:r w:rsidRPr="00223592">
              <w:t xml:space="preserve">MDD Circular </w:t>
            </w:r>
            <w:r w:rsidR="00167FE3">
              <w:t>005</w:t>
            </w:r>
            <w:r w:rsidR="004B393E">
              <w:t>98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046873" w:rsidP="00046873">
            <w:pPr>
              <w:pStyle w:val="Date"/>
            </w:pPr>
            <w:r>
              <w:t>08 Febr</w:t>
            </w:r>
            <w:r w:rsidR="00D15E3C">
              <w:t>uary</w:t>
            </w:r>
            <w:r w:rsidR="00B85DEE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81291" w:rsidP="004046A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261CA">
              <w:t>9</w:t>
            </w:r>
            <w:r w:rsidR="004046AD">
              <w:t>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ED107C">
              <w:t>of 3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4046AD" w:rsidP="004046A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08 February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35A33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4046AD">
        <w:t xml:space="preserve">12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046873">
            <w:pPr>
              <w:pStyle w:val="Tabletext"/>
              <w:jc w:val="center"/>
            </w:pPr>
            <w:r>
              <w:t>M2</w:t>
            </w:r>
            <w:r w:rsidR="00046873">
              <w:t>815</w:t>
            </w:r>
          </w:p>
        </w:tc>
        <w:tc>
          <w:tcPr>
            <w:tcW w:w="1489" w:type="dxa"/>
            <w:vAlign w:val="center"/>
          </w:tcPr>
          <w:p w:rsidR="00C07035" w:rsidRDefault="00046873" w:rsidP="00977FC5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400" w:type="dxa"/>
            <w:vAlign w:val="center"/>
          </w:tcPr>
          <w:p w:rsidR="00D15E3C" w:rsidRDefault="0076347B" w:rsidP="00E81D25">
            <w:pPr>
              <w:pStyle w:val="Tabletext"/>
              <w:ind w:left="0"/>
            </w:pPr>
            <w:r>
              <w:t xml:space="preserve">End dating </w:t>
            </w:r>
            <w:r w:rsidR="00D15E3C" w:rsidRPr="00D15E3C">
              <w:t xml:space="preserve">LLFCs and </w:t>
            </w:r>
            <w:r w:rsidR="00B9119E">
              <w:t xml:space="preserve">Valid </w:t>
            </w:r>
            <w:r>
              <w:t xml:space="preserve">MTC LLFC </w:t>
            </w:r>
            <w:r w:rsidR="005C3A04">
              <w:t>C</w:t>
            </w:r>
            <w:r w:rsidR="00D15E3C" w:rsidRPr="00D15E3C">
              <w:t xml:space="preserve">ombinations </w:t>
            </w:r>
          </w:p>
          <w:p w:rsidR="00C07035" w:rsidRDefault="00EA6B33" w:rsidP="0076347B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 w:rsidR="0076347B"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 w:rsidR="0076347B">
              <w:rPr>
                <w:i/>
                <w:color w:val="auto"/>
              </w:rPr>
              <w:t>31/03</w:t>
            </w:r>
            <w:r w:rsidRPr="0076347B">
              <w:rPr>
                <w:i/>
                <w:color w:val="auto"/>
              </w:rPr>
              <w:t xml:space="preserve">/2018 (this is the effective </w:t>
            </w:r>
            <w:r w:rsidR="0076347B"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 for these valid LLFCs and Combinations – the change will still be implemented in MDD 25</w:t>
            </w:r>
            <w:r w:rsidR="0076347B"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 w:rsidR="0076347B"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046873">
            <w:pPr>
              <w:pStyle w:val="Tabletext"/>
              <w:jc w:val="center"/>
            </w:pPr>
            <w:r>
              <w:t>M2</w:t>
            </w:r>
            <w:r w:rsidR="00046873">
              <w:t>816</w:t>
            </w:r>
          </w:p>
        </w:tc>
        <w:tc>
          <w:tcPr>
            <w:tcW w:w="1489" w:type="dxa"/>
            <w:vAlign w:val="center"/>
          </w:tcPr>
          <w:p w:rsidR="00C07035" w:rsidRDefault="0076347B" w:rsidP="00977FC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76347B" w:rsidRDefault="0076347B" w:rsidP="0076347B">
            <w:pPr>
              <w:pStyle w:val="Tabletext"/>
              <w:ind w:left="0"/>
            </w:pPr>
            <w:r>
              <w:t xml:space="preserve">Creation of new LLFCs and new valid MTC LLFC Combinations </w:t>
            </w:r>
          </w:p>
          <w:p w:rsidR="0076347B" w:rsidRDefault="0076347B" w:rsidP="0076347B">
            <w:pPr>
              <w:pStyle w:val="Tabletext"/>
              <w:ind w:left="0"/>
            </w:pPr>
            <w:r>
              <w:t>End dating 2 LLFC’s</w:t>
            </w:r>
            <w:r w:rsidR="005C3A04">
              <w:t xml:space="preserve">, </w:t>
            </w:r>
            <w:r>
              <w:t xml:space="preserve">then reopening the same LLFC’s </w:t>
            </w:r>
            <w:r w:rsidR="005C3A04">
              <w:t xml:space="preserve">with new LLFC Description, </w:t>
            </w:r>
            <w:r>
              <w:t xml:space="preserve">and </w:t>
            </w:r>
            <w:r w:rsidR="005C3A04">
              <w:t xml:space="preserve">new Valid </w:t>
            </w:r>
            <w:r>
              <w:t xml:space="preserve">MTC </w:t>
            </w:r>
            <w:r w:rsidR="005C3A04">
              <w:t>LLFC C</w:t>
            </w:r>
            <w:r>
              <w:t>ombinations</w:t>
            </w:r>
          </w:p>
          <w:p w:rsidR="007C3A06" w:rsidRPr="007C3A06" w:rsidRDefault="0076347B" w:rsidP="0076347B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 xml:space="preserve">Effective from Date: 01/04/2017 (this is the effective from date for these valid LLFCs and Combinations – </w:t>
            </w:r>
            <w:r w:rsidR="00EA2D77" w:rsidRPr="0076347B">
              <w:rPr>
                <w:i/>
                <w:color w:val="auto"/>
              </w:rPr>
              <w:t>the change will still be implemented in MDD 25</w:t>
            </w:r>
            <w:r w:rsidR="00EA2D77">
              <w:rPr>
                <w:i/>
                <w:color w:val="auto"/>
              </w:rPr>
              <w:t>2</w:t>
            </w:r>
            <w:r w:rsidR="00EA2D77" w:rsidRPr="0076347B">
              <w:rPr>
                <w:i/>
                <w:color w:val="auto"/>
              </w:rPr>
              <w:t xml:space="preserve"> on 15/0</w:t>
            </w:r>
            <w:r w:rsidR="00EA2D77">
              <w:rPr>
                <w:i/>
                <w:color w:val="auto"/>
              </w:rPr>
              <w:t>3</w:t>
            </w:r>
            <w:r w:rsidR="00EA2D77" w:rsidRPr="0076347B">
              <w:rPr>
                <w:i/>
                <w:color w:val="auto"/>
              </w:rPr>
              <w:t>/2017)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046873">
            <w:pPr>
              <w:pStyle w:val="Tabletext"/>
              <w:jc w:val="center"/>
            </w:pPr>
            <w:r>
              <w:t>M2</w:t>
            </w:r>
            <w:r w:rsidR="00046873">
              <w:t>817</w:t>
            </w:r>
          </w:p>
        </w:tc>
        <w:tc>
          <w:tcPr>
            <w:tcW w:w="1489" w:type="dxa"/>
            <w:vAlign w:val="center"/>
          </w:tcPr>
          <w:p w:rsidR="00C07035" w:rsidRDefault="00EA2D77" w:rsidP="00B85DEE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EA2D77" w:rsidRDefault="00EA2D77" w:rsidP="00EA2D77">
            <w:pPr>
              <w:pStyle w:val="Tabletext"/>
              <w:ind w:left="0"/>
            </w:pPr>
            <w:r>
              <w:t xml:space="preserve">Creation of new LLFCs and new valid MTC LLFC Combinations </w:t>
            </w:r>
          </w:p>
          <w:p w:rsidR="00C07035" w:rsidRDefault="00EA2D77" w:rsidP="00EA2D77">
            <w:pPr>
              <w:pStyle w:val="Tabletext"/>
              <w:ind w:left="0"/>
            </w:pPr>
            <w:r>
              <w:rPr>
                <w:i/>
              </w:rPr>
              <w:t xml:space="preserve">Effective from Date: 01/04/2017 (this is the effective from date for these valid LLFCs and Combinations – </w:t>
            </w:r>
            <w:r w:rsidRPr="0076347B">
              <w:rPr>
                <w:i/>
                <w:color w:val="auto"/>
              </w:rPr>
              <w:t>the 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F11D7E" w:rsidRDefault="00D15E3C" w:rsidP="00046873">
            <w:pPr>
              <w:pStyle w:val="Tabletext"/>
              <w:jc w:val="center"/>
            </w:pPr>
            <w:r>
              <w:t>M28</w:t>
            </w:r>
            <w:r w:rsidR="00046873">
              <w:t>18</w:t>
            </w:r>
          </w:p>
        </w:tc>
        <w:tc>
          <w:tcPr>
            <w:tcW w:w="1489" w:type="dxa"/>
            <w:vAlign w:val="center"/>
          </w:tcPr>
          <w:p w:rsidR="00E529EB" w:rsidRDefault="00E529EB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E529EB" w:rsidRDefault="00EA2D77" w:rsidP="00EA2D77">
            <w:pPr>
              <w:spacing w:after="0"/>
              <w:ind w:right="113"/>
            </w:pPr>
            <w:r>
              <w:t xml:space="preserve">Creation of Profile Administrator’s ‘Technical Product Deliverables’ (TPDs) </w:t>
            </w:r>
            <w:r>
              <w:rPr>
                <w:i/>
              </w:rPr>
              <w:t xml:space="preserve">Effective from Date: 01/04/2017 (this is the effective from date for these TPDs – </w:t>
            </w:r>
            <w:r w:rsidRPr="0076347B">
              <w:rPr>
                <w:i/>
                <w:color w:val="auto"/>
              </w:rPr>
              <w:t>the 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</w:p>
        </w:tc>
      </w:tr>
      <w:tr w:rsidR="00046873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046873" w:rsidRDefault="00046873" w:rsidP="00046873">
            <w:pPr>
              <w:pStyle w:val="Tabletext"/>
              <w:jc w:val="center"/>
            </w:pPr>
            <w:r>
              <w:t>M2819</w:t>
            </w:r>
          </w:p>
        </w:tc>
        <w:tc>
          <w:tcPr>
            <w:tcW w:w="1489" w:type="dxa"/>
            <w:vAlign w:val="center"/>
          </w:tcPr>
          <w:p w:rsidR="00046873" w:rsidRDefault="00EA2D77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B9119E" w:rsidRDefault="00B9119E" w:rsidP="00B9119E">
            <w:r>
              <w:t xml:space="preserve">Addition of new Consumption Component Classes, </w:t>
            </w:r>
            <w:r w:rsidR="005C3A04">
              <w:t>a</w:t>
            </w:r>
            <w:r>
              <w:t xml:space="preserve">ddition of new </w:t>
            </w:r>
            <w:r w:rsidRPr="005462F0">
              <w:t>GSP Group Correction Scaling Factors</w:t>
            </w:r>
            <w:r>
              <w:t xml:space="preserve"> (as per Modification P339) </w:t>
            </w:r>
          </w:p>
          <w:p w:rsidR="00046873" w:rsidRDefault="00B9119E" w:rsidP="00B9119E">
            <w:pPr>
              <w:pStyle w:val="Tabletext"/>
              <w:ind w:left="0"/>
            </w:pPr>
            <w:r>
              <w:rPr>
                <w:i/>
              </w:rPr>
              <w:t xml:space="preserve">Effective from Date: 01/04/2017 (this is the effective from date for these </w:t>
            </w:r>
            <w:r w:rsidR="005C3A04">
              <w:rPr>
                <w:i/>
              </w:rPr>
              <w:t xml:space="preserve">new items </w:t>
            </w:r>
            <w:r>
              <w:rPr>
                <w:i/>
              </w:rPr>
              <w:t xml:space="preserve">- </w:t>
            </w:r>
            <w:r w:rsidRPr="0076347B">
              <w:rPr>
                <w:i/>
                <w:color w:val="auto"/>
              </w:rPr>
              <w:t xml:space="preserve"> </w:t>
            </w:r>
            <w:r w:rsidR="005C3A04">
              <w:rPr>
                <w:i/>
                <w:color w:val="auto"/>
              </w:rPr>
              <w:t xml:space="preserve">the </w:t>
            </w:r>
            <w:r w:rsidRPr="0076347B">
              <w:rPr>
                <w:i/>
                <w:color w:val="auto"/>
              </w:rPr>
              <w:t>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</w:p>
        </w:tc>
      </w:tr>
      <w:tr w:rsidR="00046873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046873" w:rsidRDefault="00046873" w:rsidP="00046873">
            <w:pPr>
              <w:pStyle w:val="Tabletext"/>
              <w:jc w:val="center"/>
            </w:pPr>
            <w:r>
              <w:t>M2820</w:t>
            </w:r>
          </w:p>
        </w:tc>
        <w:tc>
          <w:tcPr>
            <w:tcW w:w="1489" w:type="dxa"/>
            <w:vAlign w:val="center"/>
          </w:tcPr>
          <w:p w:rsidR="00046873" w:rsidRDefault="00EA2D77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B9119E" w:rsidRDefault="00B9119E" w:rsidP="00B9119E">
            <w:pPr>
              <w:spacing w:after="0"/>
              <w:ind w:right="113"/>
            </w:pPr>
            <w:r>
              <w:t>Inclusion of 2017/18 Supplier Volume Allocation Agent (SVAA) Calendar</w:t>
            </w:r>
          </w:p>
          <w:p w:rsidR="00046873" w:rsidRDefault="00B9119E" w:rsidP="00B9119E">
            <w:pPr>
              <w:pStyle w:val="Tabletext"/>
              <w:ind w:left="0"/>
            </w:pPr>
            <w:r>
              <w:rPr>
                <w:i/>
              </w:rPr>
              <w:t xml:space="preserve">Effective from Date: 01/04/2017 (this is the effective from date of the SVAA Calendar – </w:t>
            </w:r>
            <w:r w:rsidRPr="0076347B">
              <w:rPr>
                <w:i/>
                <w:color w:val="auto"/>
              </w:rPr>
              <w:t>the 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</w:p>
        </w:tc>
      </w:tr>
      <w:tr w:rsidR="00046873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046873" w:rsidRDefault="00046873" w:rsidP="00046873">
            <w:pPr>
              <w:pStyle w:val="Tabletext"/>
              <w:jc w:val="center"/>
            </w:pPr>
            <w:r>
              <w:t>M2821</w:t>
            </w:r>
          </w:p>
        </w:tc>
        <w:tc>
          <w:tcPr>
            <w:tcW w:w="1489" w:type="dxa"/>
            <w:vAlign w:val="center"/>
          </w:tcPr>
          <w:p w:rsidR="00046873" w:rsidRDefault="00B9119E" w:rsidP="001666D8">
            <w:pPr>
              <w:pStyle w:val="Tabletext"/>
              <w:jc w:val="center"/>
            </w:pPr>
            <w:r>
              <w:t>GUCL</w:t>
            </w:r>
          </w:p>
        </w:tc>
        <w:tc>
          <w:tcPr>
            <w:tcW w:w="7400" w:type="dxa"/>
            <w:vAlign w:val="center"/>
          </w:tcPr>
          <w:p w:rsidR="00B9119E" w:rsidRDefault="00B9119E" w:rsidP="00B9119E">
            <w:pPr>
              <w:pStyle w:val="Tabletext"/>
              <w:ind w:left="0"/>
            </w:pPr>
            <w:r>
              <w:t xml:space="preserve">End dating 1 </w:t>
            </w:r>
            <w:r w:rsidRPr="00D15E3C">
              <w:t xml:space="preserve">LLFC and </w:t>
            </w:r>
            <w:r>
              <w:t xml:space="preserve">Valid MTC LLFC </w:t>
            </w:r>
            <w:r w:rsidR="000E4B1B">
              <w:t>C</w:t>
            </w:r>
            <w:r w:rsidRPr="00D15E3C">
              <w:t xml:space="preserve">ombinations </w:t>
            </w:r>
          </w:p>
          <w:p w:rsidR="00046873" w:rsidRDefault="00B9119E" w:rsidP="00B9119E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Date: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</w:t>
            </w:r>
          </w:p>
        </w:tc>
      </w:tr>
      <w:tr w:rsidR="00046873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046873" w:rsidRDefault="00046873" w:rsidP="00046873">
            <w:pPr>
              <w:pStyle w:val="Tabletext"/>
              <w:jc w:val="center"/>
            </w:pPr>
            <w:r>
              <w:lastRenderedPageBreak/>
              <w:t>M2822</w:t>
            </w:r>
          </w:p>
          <w:p w:rsidR="00046873" w:rsidRDefault="00046873" w:rsidP="00046873">
            <w:pPr>
              <w:pStyle w:val="Tabletext"/>
              <w:jc w:val="center"/>
            </w:pPr>
          </w:p>
        </w:tc>
        <w:tc>
          <w:tcPr>
            <w:tcW w:w="1489" w:type="dxa"/>
            <w:vAlign w:val="center"/>
          </w:tcPr>
          <w:p w:rsidR="00046873" w:rsidRDefault="005464DE" w:rsidP="001666D8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D568E8" w:rsidRDefault="005464DE" w:rsidP="00D568E8">
            <w:pPr>
              <w:pStyle w:val="Tabletext"/>
              <w:ind w:left="0"/>
            </w:pPr>
            <w:r>
              <w:t>Creation of new Valid MTC LLFC Combinations</w:t>
            </w:r>
            <w:r w:rsidR="00D568E8">
              <w:t xml:space="preserve"> </w:t>
            </w:r>
          </w:p>
          <w:p w:rsidR="00D568E8" w:rsidRDefault="00D568E8" w:rsidP="00D568E8">
            <w:pPr>
              <w:pStyle w:val="Tabletext"/>
              <w:ind w:left="0"/>
            </w:pPr>
            <w:r>
              <w:rPr>
                <w:i/>
              </w:rPr>
              <w:t>Effective from Date: 01/04/2017</w:t>
            </w:r>
            <w:r w:rsidR="005C3A04">
              <w:rPr>
                <w:i/>
              </w:rPr>
              <w:t xml:space="preserve"> </w:t>
            </w:r>
            <w:r>
              <w:rPr>
                <w:i/>
              </w:rPr>
              <w:t xml:space="preserve"> (this is the effective from date for these valid LLFCs and Combinations – </w:t>
            </w:r>
            <w:r w:rsidRPr="0076347B">
              <w:rPr>
                <w:i/>
                <w:color w:val="auto"/>
              </w:rPr>
              <w:t>the 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  <w:r w:rsidR="005464DE">
              <w:t xml:space="preserve"> </w:t>
            </w:r>
          </w:p>
          <w:p w:rsidR="00046873" w:rsidRDefault="005464DE" w:rsidP="00D568E8">
            <w:pPr>
              <w:pStyle w:val="Tabletext"/>
              <w:ind w:left="0"/>
            </w:pPr>
            <w:r>
              <w:t>Creation of new Valid MTC LLFC SSC</w:t>
            </w:r>
            <w:r w:rsidR="00D568E8">
              <w:t xml:space="preserve">, </w:t>
            </w:r>
            <w:r>
              <w:t>and MTC SSC LLFC PC Combinations</w:t>
            </w:r>
            <w:r>
              <w:rPr>
                <w:i/>
              </w:rPr>
              <w:t xml:space="preserve"> Effective from Date: </w:t>
            </w:r>
            <w:r w:rsidR="00D568E8">
              <w:rPr>
                <w:i/>
              </w:rPr>
              <w:t>15/03/2017</w:t>
            </w:r>
          </w:p>
        </w:tc>
      </w:tr>
      <w:tr w:rsidR="00D568E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D568E8" w:rsidRDefault="00D568E8" w:rsidP="00046873">
            <w:pPr>
              <w:pStyle w:val="Tabletext"/>
              <w:jc w:val="center"/>
            </w:pPr>
            <w:r>
              <w:t>M2823</w:t>
            </w:r>
          </w:p>
        </w:tc>
        <w:tc>
          <w:tcPr>
            <w:tcW w:w="1489" w:type="dxa"/>
            <w:vAlign w:val="center"/>
          </w:tcPr>
          <w:p w:rsidR="00D568E8" w:rsidRDefault="00D568E8" w:rsidP="000707AD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D568E8" w:rsidRDefault="00D568E8" w:rsidP="000707AD">
            <w:pPr>
              <w:pStyle w:val="Tabletext"/>
              <w:ind w:left="0"/>
            </w:pPr>
            <w:r>
              <w:t xml:space="preserve">Creation of new Valid MTC LLFC Combinations </w:t>
            </w:r>
          </w:p>
          <w:p w:rsidR="00D568E8" w:rsidRDefault="00D568E8" w:rsidP="000707AD">
            <w:pPr>
              <w:pStyle w:val="Tabletext"/>
              <w:ind w:left="0"/>
            </w:pPr>
            <w:r>
              <w:rPr>
                <w:i/>
              </w:rPr>
              <w:t>Effective from Date: 01/04/2017</w:t>
            </w:r>
            <w:r w:rsidR="005C3A04">
              <w:rPr>
                <w:i/>
              </w:rPr>
              <w:t xml:space="preserve"> </w:t>
            </w:r>
            <w:r>
              <w:rPr>
                <w:i/>
              </w:rPr>
              <w:t xml:space="preserve"> (this is the effective from date for these valid LLFCs and Combinations – </w:t>
            </w:r>
            <w:r w:rsidRPr="0076347B">
              <w:rPr>
                <w:i/>
                <w:color w:val="auto"/>
              </w:rPr>
              <w:t>the 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  <w:r>
              <w:t xml:space="preserve"> </w:t>
            </w:r>
          </w:p>
          <w:p w:rsidR="00D568E8" w:rsidRDefault="00D568E8" w:rsidP="000707AD">
            <w:pPr>
              <w:pStyle w:val="Tabletext"/>
              <w:ind w:left="0"/>
            </w:pPr>
            <w:r>
              <w:t>Creation of new Valid MTC LLFC SSC, and MTC SSC LLFC PC Combinations</w:t>
            </w:r>
            <w:r>
              <w:rPr>
                <w:i/>
              </w:rPr>
              <w:t xml:space="preserve"> Effective from Date: 15/03/2017</w:t>
            </w:r>
          </w:p>
        </w:tc>
      </w:tr>
      <w:tr w:rsidR="00D568E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D568E8" w:rsidRDefault="00D568E8" w:rsidP="00046873">
            <w:pPr>
              <w:pStyle w:val="Tabletext"/>
              <w:jc w:val="center"/>
            </w:pPr>
            <w:r>
              <w:t>M2824</w:t>
            </w:r>
          </w:p>
        </w:tc>
        <w:tc>
          <w:tcPr>
            <w:tcW w:w="1489" w:type="dxa"/>
            <w:vAlign w:val="center"/>
          </w:tcPr>
          <w:p w:rsidR="00D568E8" w:rsidRDefault="00D568E8" w:rsidP="001666D8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D568E8" w:rsidRDefault="00D568E8" w:rsidP="00D568E8">
            <w:pPr>
              <w:pStyle w:val="Tabletext"/>
              <w:ind w:left="0"/>
            </w:pPr>
            <w:r>
              <w:t xml:space="preserve">Creation of new LLFCs and new valid </w:t>
            </w:r>
            <w:r w:rsidR="004046AD">
              <w:t>MTC LLFC SSC, and MTC SSC LLFC PC</w:t>
            </w:r>
            <w:r w:rsidR="005C3A04">
              <w:t xml:space="preserve"> Combinations</w:t>
            </w:r>
            <w:bookmarkStart w:id="0" w:name="_GoBack"/>
            <w:bookmarkEnd w:id="0"/>
            <w:r>
              <w:t xml:space="preserve"> </w:t>
            </w:r>
          </w:p>
          <w:p w:rsidR="00D568E8" w:rsidRDefault="00D568E8" w:rsidP="00D568E8">
            <w:pPr>
              <w:pStyle w:val="Tabletext"/>
              <w:ind w:left="0"/>
            </w:pPr>
            <w:r>
              <w:t xml:space="preserve">End dating 2 LLFC’s and associated MTC combinations, then reopening of the same LLFC’s </w:t>
            </w:r>
            <w:r w:rsidR="000E4B1B">
              <w:t xml:space="preserve">with new MTC LLFC SSC, and MTC SSC LLFC PC Combinations </w:t>
            </w:r>
          </w:p>
          <w:p w:rsidR="00D568E8" w:rsidRDefault="00D568E8" w:rsidP="000E4B1B">
            <w:pPr>
              <w:pStyle w:val="Tabletext"/>
              <w:ind w:left="0"/>
            </w:pPr>
            <w:r>
              <w:rPr>
                <w:i/>
              </w:rPr>
              <w:t xml:space="preserve">Effective from Date: </w:t>
            </w:r>
            <w:r w:rsidRPr="0076347B">
              <w:rPr>
                <w:i/>
                <w:color w:val="auto"/>
              </w:rPr>
              <w:t>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</w:t>
            </w:r>
          </w:p>
        </w:tc>
      </w:tr>
      <w:tr w:rsidR="00D568E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D568E8" w:rsidRDefault="00D568E8" w:rsidP="00046873">
            <w:pPr>
              <w:pStyle w:val="Tabletext"/>
              <w:jc w:val="center"/>
            </w:pPr>
            <w:r>
              <w:t>M2825</w:t>
            </w:r>
          </w:p>
        </w:tc>
        <w:tc>
          <w:tcPr>
            <w:tcW w:w="1489" w:type="dxa"/>
            <w:vAlign w:val="center"/>
          </w:tcPr>
          <w:p w:rsidR="00D568E8" w:rsidRDefault="004046AD" w:rsidP="001666D8">
            <w:pPr>
              <w:pStyle w:val="Tabletext"/>
              <w:jc w:val="center"/>
            </w:pPr>
            <w:r>
              <w:t>HARL</w:t>
            </w:r>
          </w:p>
        </w:tc>
        <w:tc>
          <w:tcPr>
            <w:tcW w:w="7400" w:type="dxa"/>
            <w:vAlign w:val="center"/>
          </w:tcPr>
          <w:p w:rsidR="004046AD" w:rsidRDefault="004046AD" w:rsidP="004046AD">
            <w:pPr>
              <w:pStyle w:val="Tabletext"/>
              <w:ind w:left="0"/>
            </w:pPr>
            <w:r>
              <w:t xml:space="preserve">End dating </w:t>
            </w:r>
            <w:r w:rsidRPr="00D15E3C">
              <w:t xml:space="preserve">LLFCs and </w:t>
            </w:r>
            <w:r>
              <w:t xml:space="preserve">Valid MTC LLFC </w:t>
            </w:r>
            <w:r w:rsidR="000E4B1B">
              <w:t>C</w:t>
            </w:r>
            <w:r w:rsidRPr="00D15E3C">
              <w:t xml:space="preserve">ombinations </w:t>
            </w:r>
          </w:p>
          <w:p w:rsidR="00D568E8" w:rsidRDefault="004046AD" w:rsidP="004046AD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31/03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  <w:r w:rsidRPr="0076347B">
              <w:rPr>
                <w:i/>
                <w:color w:val="auto"/>
              </w:rPr>
              <w:t xml:space="preserve"> (this is the effective</w:t>
            </w:r>
            <w:r>
              <w:rPr>
                <w:i/>
                <w:color w:val="auto"/>
              </w:rPr>
              <w:t xml:space="preserve"> to </w:t>
            </w:r>
            <w:r w:rsidRPr="0076347B">
              <w:rPr>
                <w:i/>
                <w:color w:val="auto"/>
              </w:rPr>
              <w:t>date for these valid LLFCs and Combinations – the change will still be implemented in MDD 25</w:t>
            </w:r>
            <w:r>
              <w:rPr>
                <w:i/>
                <w:color w:val="auto"/>
              </w:rPr>
              <w:t>2</w:t>
            </w:r>
            <w:r w:rsidRPr="0076347B">
              <w:rPr>
                <w:i/>
                <w:color w:val="auto"/>
              </w:rPr>
              <w:t xml:space="preserve"> on 15/0</w:t>
            </w:r>
            <w:r>
              <w:rPr>
                <w:i/>
                <w:color w:val="auto"/>
              </w:rPr>
              <w:t>3</w:t>
            </w:r>
            <w:r w:rsidRPr="0076347B">
              <w:rPr>
                <w:i/>
                <w:color w:val="auto"/>
              </w:rPr>
              <w:t>/2017)</w:t>
            </w:r>
          </w:p>
        </w:tc>
      </w:tr>
      <w:tr w:rsidR="00D568E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D568E8" w:rsidRDefault="00D568E8" w:rsidP="00046873">
            <w:pPr>
              <w:pStyle w:val="Tabletext"/>
              <w:jc w:val="center"/>
            </w:pPr>
            <w:r>
              <w:t>M2826</w:t>
            </w:r>
          </w:p>
        </w:tc>
        <w:tc>
          <w:tcPr>
            <w:tcW w:w="1489" w:type="dxa"/>
            <w:vAlign w:val="center"/>
          </w:tcPr>
          <w:p w:rsidR="00D568E8" w:rsidRDefault="00D568E8" w:rsidP="000707AD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D568E8" w:rsidRDefault="00D568E8" w:rsidP="000707AD">
            <w:pPr>
              <w:pStyle w:val="Tabletext"/>
              <w:ind w:left="0"/>
            </w:pPr>
            <w:r>
              <w:t>Inclusion of Charge Codes and Switch Regimes</w:t>
            </w:r>
          </w:p>
          <w:p w:rsidR="00D568E8" w:rsidRDefault="00D568E8" w:rsidP="000707AD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15/03/2017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4046AD">
        <w:t>3</w:t>
      </w:r>
      <w:r>
        <w:t xml:space="preserve"> on </w:t>
      </w:r>
      <w:r w:rsidR="004046AD">
        <w:t xml:space="preserve">28 February </w:t>
      </w:r>
      <w:r w:rsidR="00094785">
        <w:t>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D15E3C">
        <w:rPr>
          <w:b/>
        </w:rPr>
        <w:t>1</w:t>
      </w:r>
      <w:r w:rsidR="004046AD">
        <w:rPr>
          <w:b/>
        </w:rPr>
        <w:t>5</w:t>
      </w:r>
      <w:r w:rsidR="0016598E">
        <w:rPr>
          <w:b/>
        </w:rPr>
        <w:t xml:space="preserve"> </w:t>
      </w:r>
      <w:r w:rsidR="004046AD">
        <w:rPr>
          <w:b/>
        </w:rPr>
        <w:t xml:space="preserve">February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</w:t>
      </w:r>
      <w:r w:rsidR="004046AD">
        <w:t>2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13432" w:rsidRDefault="00313432" w:rsidP="00C07404">
      <w:pPr>
        <w:pStyle w:val="BodyText"/>
      </w:pP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387029" w:rsidP="00C07404">
      <w:pPr>
        <w:pStyle w:val="BodyText"/>
      </w:pPr>
      <w:r>
        <w:lastRenderedPageBreak/>
        <w:br/>
      </w:r>
      <w:r>
        <w:br/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313432" w:rsidRDefault="00313432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4046AD">
        <w:rPr>
          <w:b/>
        </w:rPr>
        <w:t>15</w:t>
      </w:r>
      <w:r w:rsidR="00CF1869">
        <w:rPr>
          <w:b/>
        </w:rPr>
        <w:t xml:space="preserve"> </w:t>
      </w:r>
      <w:r w:rsidR="004046AD">
        <w:rPr>
          <w:b/>
        </w:rPr>
        <w:t>Febru</w:t>
      </w:r>
      <w:r w:rsidR="00CF1869">
        <w:rPr>
          <w:b/>
        </w:rPr>
        <w:t>ary</w:t>
      </w:r>
      <w:r w:rsidR="00BE7A7D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ED107C">
        <w:t>815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ED107C">
        <w:t>816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ED107C">
        <w:t>817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F1869">
        <w:t>8</w:t>
      </w:r>
      <w:r w:rsidR="00ED107C">
        <w:t>18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819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820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821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822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823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824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825</w:t>
      </w:r>
    </w:p>
    <w:p w:rsidR="00ED107C" w:rsidRDefault="00ED107C" w:rsidP="00ED107C">
      <w:pPr>
        <w:pStyle w:val="ListBullet"/>
      </w:pPr>
      <w:r w:rsidRPr="009E0620">
        <w:t>I agree/disagree* with the changes proposed in M2</w:t>
      </w:r>
      <w:r>
        <w:t>826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035A33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81291" w:rsidP="004046AD">
          <w:pPr>
            <w:pStyle w:val="Footer"/>
          </w:pPr>
          <w:r>
            <w:t>005</w:t>
          </w:r>
          <w:r w:rsidR="008261CA">
            <w:t>9</w:t>
          </w:r>
          <w:r w:rsidR="004046AD">
            <w:t>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3E27909" wp14:editId="7249FC46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5A3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035A33">
            <w:fldChar w:fldCharType="begin"/>
          </w:r>
          <w:r w:rsidR="00035A33">
            <w:instrText xml:space="preserve"> NUMPAGES  \* Arabic  \* MERGEFORMAT </w:instrText>
          </w:r>
          <w:r w:rsidR="00035A33">
            <w:fldChar w:fldCharType="separate"/>
          </w:r>
          <w:r w:rsidR="00035A33">
            <w:rPr>
              <w:noProof/>
            </w:rPr>
            <w:t>3</w:t>
          </w:r>
          <w:r w:rsidR="00035A33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4046AD" w:rsidP="007F70A8">
          <w:pPr>
            <w:pStyle w:val="Footer"/>
            <w:rPr>
              <w:noProof/>
            </w:rPr>
          </w:pPr>
          <w:r>
            <w:t>08 February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35A33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035A33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7168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5ACF"/>
    <w:rsid w:val="00ED5B33"/>
    <w:rsid w:val="00EE0612"/>
    <w:rsid w:val="00EE0A4D"/>
    <w:rsid w:val="00EE1AF2"/>
    <w:rsid w:val="00EE2050"/>
    <w:rsid w:val="00EE2F91"/>
    <w:rsid w:val="00EE59C0"/>
    <w:rsid w:val="00EF1568"/>
    <w:rsid w:val="00EF2549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1FA3-568B-4241-8F5A-B99196F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7</cp:revision>
  <cp:lastPrinted>2014-02-10T12:24:00Z</cp:lastPrinted>
  <dcterms:created xsi:type="dcterms:W3CDTF">2017-01-11T13:23:00Z</dcterms:created>
  <dcterms:modified xsi:type="dcterms:W3CDTF">2017-02-08T11:47:00Z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