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FE3A07">
              <w:t>00615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FE3A07" w:rsidP="00FE3A07">
            <w:pPr>
              <w:pStyle w:val="Date"/>
            </w:pPr>
            <w:r>
              <w:t>13</w:t>
            </w:r>
            <w:r w:rsidR="00A92A89">
              <w:t xml:space="preserve"> </w:t>
            </w:r>
            <w:r>
              <w:t>September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FE3A07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00615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FE3A07" w:rsidP="00FE3A0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</w:t>
            </w:r>
            <w:r w:rsidR="002A722D">
              <w:t xml:space="preserve"> </w:t>
            </w:r>
            <w:r>
              <w:t>September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9D5CF7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FE3A07">
        <w:t>four</w:t>
      </w:r>
      <w:r w:rsidR="002A722D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FE3A07" w:rsidP="004D3294">
            <w:pPr>
              <w:pStyle w:val="Tabletext"/>
              <w:jc w:val="center"/>
            </w:pPr>
            <w:r w:rsidRPr="00FE3A07">
              <w:t>M2958</w:t>
            </w:r>
          </w:p>
        </w:tc>
        <w:tc>
          <w:tcPr>
            <w:tcW w:w="1489" w:type="dxa"/>
            <w:vAlign w:val="center"/>
          </w:tcPr>
          <w:p w:rsidR="00750CEA" w:rsidRDefault="00FE3A07" w:rsidP="007474DA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112D8A" w:rsidRPr="00EE4C62" w:rsidRDefault="00112D8A" w:rsidP="00112D8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</w:t>
            </w:r>
            <w:r w:rsidRPr="00EE4C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LLFCs and associated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112D8A" w:rsidRDefault="00112D8A" w:rsidP="000038C3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31/03/2018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MDD 2</w:t>
            </w:r>
            <w:r>
              <w:rPr>
                <w:i/>
                <w:color w:val="auto"/>
              </w:rPr>
              <w:t xml:space="preserve">61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18/10/17)</w:t>
            </w:r>
          </w:p>
          <w:p w:rsidR="00750CEA" w:rsidRDefault="00750CEA" w:rsidP="000038C3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112D8A" w:rsidP="00112D8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2</w:t>
            </w:r>
            <w:r>
              <w:rPr>
                <w:i/>
                <w:color w:val="auto"/>
              </w:rPr>
              <w:t xml:space="preserve">61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18/10/17)</w:t>
            </w:r>
          </w:p>
        </w:tc>
      </w:tr>
      <w:tr w:rsidR="00750CEA" w:rsidRPr="000970E4" w:rsidTr="00A92A89">
        <w:trPr>
          <w:cantSplit/>
          <w:trHeight w:val="725"/>
        </w:trPr>
        <w:tc>
          <w:tcPr>
            <w:tcW w:w="1624" w:type="dxa"/>
            <w:vAlign w:val="center"/>
          </w:tcPr>
          <w:p w:rsidR="00750CEA" w:rsidRDefault="00FE3A07" w:rsidP="004D3294">
            <w:pPr>
              <w:pStyle w:val="Tabletext"/>
              <w:jc w:val="center"/>
            </w:pPr>
            <w:r>
              <w:t>M2959</w:t>
            </w:r>
          </w:p>
        </w:tc>
        <w:tc>
          <w:tcPr>
            <w:tcW w:w="1489" w:type="dxa"/>
            <w:vAlign w:val="center"/>
          </w:tcPr>
          <w:p w:rsidR="00750CEA" w:rsidRDefault="00FE3A07" w:rsidP="000707AD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112D8A" w:rsidRPr="00EE4C62" w:rsidRDefault="00112D8A" w:rsidP="00112D8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</w:t>
            </w:r>
            <w:r w:rsidRPr="00EE4C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LLFCs and associated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112D8A" w:rsidRDefault="00112D8A" w:rsidP="00112D8A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31/03/2018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MDD 2</w:t>
            </w:r>
            <w:r>
              <w:rPr>
                <w:i/>
                <w:color w:val="auto"/>
              </w:rPr>
              <w:t xml:space="preserve">61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18/10/17)</w:t>
            </w:r>
          </w:p>
          <w:p w:rsidR="00112D8A" w:rsidRDefault="00112D8A" w:rsidP="00112D8A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112D8A" w:rsidP="00112D8A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2</w:t>
            </w:r>
            <w:r>
              <w:rPr>
                <w:i/>
                <w:color w:val="auto"/>
              </w:rPr>
              <w:t xml:space="preserve">61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18/10/17)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FE3A07" w:rsidP="004D3294">
            <w:pPr>
              <w:pStyle w:val="Tabletext"/>
              <w:jc w:val="center"/>
            </w:pPr>
            <w:r>
              <w:t>M2960</w:t>
            </w:r>
          </w:p>
        </w:tc>
        <w:tc>
          <w:tcPr>
            <w:tcW w:w="1489" w:type="dxa"/>
            <w:vAlign w:val="center"/>
          </w:tcPr>
          <w:p w:rsidR="00750CEA" w:rsidRDefault="00FE3A07" w:rsidP="000707AD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750CEA" w:rsidRDefault="00750CEA" w:rsidP="00750CEA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 w:rsidR="00FE3A07">
              <w:rPr>
                <w:color w:val="auto"/>
              </w:rPr>
              <w:t>MTC in PES Area</w:t>
            </w:r>
          </w:p>
          <w:p w:rsidR="00750CEA" w:rsidRDefault="00750CEA" w:rsidP="00750CEA">
            <w:pPr>
              <w:pStyle w:val="Tabletext"/>
              <w:ind w:left="0"/>
              <w:rPr>
                <w:color w:val="auto"/>
              </w:rPr>
            </w:pPr>
            <w:r w:rsidRPr="00296E21">
              <w:rPr>
                <w:i/>
              </w:rPr>
              <w:t xml:space="preserve">Effective from Date: </w:t>
            </w:r>
            <w:r w:rsidR="00FE3A07">
              <w:rPr>
                <w:i/>
              </w:rPr>
              <w:t>18/10</w:t>
            </w:r>
            <w:r>
              <w:rPr>
                <w:i/>
              </w:rPr>
              <w:t>/2017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9D5CF7" w:rsidP="004D3294">
            <w:pPr>
              <w:pStyle w:val="Tabletext"/>
              <w:jc w:val="center"/>
            </w:pPr>
            <w:r>
              <w:t>M296</w:t>
            </w:r>
            <w:bookmarkStart w:id="0" w:name="_GoBack"/>
            <w:bookmarkEnd w:id="0"/>
            <w:r w:rsidR="00750CEA">
              <w:t>1</w:t>
            </w:r>
          </w:p>
        </w:tc>
        <w:tc>
          <w:tcPr>
            <w:tcW w:w="1489" w:type="dxa"/>
            <w:vAlign w:val="center"/>
          </w:tcPr>
          <w:p w:rsidR="00750CEA" w:rsidRDefault="00750CEA" w:rsidP="004024EE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750CEA" w:rsidRDefault="00750CEA" w:rsidP="004024EE">
            <w:pPr>
              <w:pStyle w:val="Tabletext"/>
              <w:ind w:left="0"/>
            </w:pPr>
            <w:r>
              <w:t>Inclusion of Charge Codes and Switch Regimes</w:t>
            </w:r>
          </w:p>
          <w:p w:rsidR="00750CEA" w:rsidRDefault="00750CEA" w:rsidP="004024EE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FE3A07">
              <w:rPr>
                <w:i/>
                <w:color w:val="auto"/>
              </w:rPr>
              <w:t>18/10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FE3A07">
        <w:t>location Group (SVG) meeting 200</w:t>
      </w:r>
      <w:r>
        <w:t xml:space="preserve"> on </w:t>
      </w:r>
      <w:r w:rsidR="00FE3A07">
        <w:t>03</w:t>
      </w:r>
      <w:r w:rsidR="00441920">
        <w:t xml:space="preserve"> </w:t>
      </w:r>
      <w:r w:rsidR="00FE3A07">
        <w:t>October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FE3A07">
        <w:rPr>
          <w:b/>
        </w:rPr>
        <w:t>20</w:t>
      </w:r>
      <w:r w:rsidR="005D4C13">
        <w:rPr>
          <w:b/>
        </w:rPr>
        <w:t xml:space="preserve"> </w:t>
      </w:r>
      <w:r w:rsidR="00FE3A07">
        <w:rPr>
          <w:b/>
        </w:rPr>
        <w:t>September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261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lastRenderedPageBreak/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  <w:r w:rsidR="00BE3A90">
        <w:t>part 1</w:t>
      </w:r>
    </w:p>
    <w:p w:rsidR="00BE3A90" w:rsidRDefault="00BE3A90" w:rsidP="00BE3A90">
      <w:pPr>
        <w:pStyle w:val="BodyText"/>
      </w:pPr>
      <w:r>
        <w:t>Attachment C - UMS Charge Code Documentation part 2</w:t>
      </w:r>
    </w:p>
    <w:p w:rsidR="004E3189" w:rsidRDefault="00FE3A07" w:rsidP="004E3189">
      <w:pPr>
        <w:pStyle w:val="BodyText"/>
      </w:pPr>
      <w:r>
        <w:t>Attachment C - UMS Charge Code Documentation part 3</w:t>
      </w:r>
    </w:p>
    <w:p w:rsidR="004E3189" w:rsidRDefault="004E3189" w:rsidP="004E318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FE3A07">
        <w:rPr>
          <w:b/>
        </w:rPr>
        <w:t>20</w:t>
      </w:r>
      <w:r w:rsidR="003760AD">
        <w:rPr>
          <w:b/>
        </w:rPr>
        <w:t xml:space="preserve"> </w:t>
      </w:r>
      <w:r w:rsidR="00FE3A07">
        <w:rPr>
          <w:b/>
        </w:rPr>
        <w:t>September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FE3A07" w:rsidRPr="00FE3A07">
        <w:t>M2958</w:t>
      </w:r>
    </w:p>
    <w:p w:rsidR="003E1581" w:rsidRDefault="003E1581" w:rsidP="003E1581">
      <w:pPr>
        <w:pStyle w:val="ListBullet"/>
      </w:pPr>
      <w:r w:rsidRPr="009E0620">
        <w:t>I agree/disagree* with the changes proposed in</w:t>
      </w:r>
      <w:r w:rsidR="00FE3A07" w:rsidRPr="00FE3A07">
        <w:t xml:space="preserve"> </w:t>
      </w:r>
      <w:r w:rsidR="00FE3A07">
        <w:t>M2959</w:t>
      </w:r>
    </w:p>
    <w:p w:rsidR="000D7FD3" w:rsidRPr="009E0620" w:rsidRDefault="000D7FD3" w:rsidP="000D7FD3">
      <w:pPr>
        <w:pStyle w:val="ListBullet"/>
      </w:pPr>
      <w:r w:rsidRPr="009E0620">
        <w:t xml:space="preserve">I agree/disagree* with the changes proposed in </w:t>
      </w:r>
      <w:r w:rsidR="00FE3A07">
        <w:t>M2960</w:t>
      </w:r>
    </w:p>
    <w:p w:rsidR="00750CEA" w:rsidRDefault="00750CEA" w:rsidP="00750CEA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 w:rsidR="00FE3A07">
        <w:t>M2961</w:t>
      </w:r>
    </w:p>
    <w:p w:rsidR="004D3294" w:rsidRDefault="004D3294" w:rsidP="004D329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9D5CF7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FE3A07" w:rsidP="00F20207">
          <w:pPr>
            <w:pStyle w:val="Footer"/>
          </w:pPr>
          <w:r>
            <w:t>00615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0CDA7E8" wp14:editId="1CAF75C8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5CF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9D5CF7">
            <w:fldChar w:fldCharType="begin"/>
          </w:r>
          <w:r w:rsidR="009D5CF7">
            <w:instrText xml:space="preserve"> NUMPAGES  \* Arabic  \* MERGEFORMAT </w:instrText>
          </w:r>
          <w:r w:rsidR="009D5CF7">
            <w:fldChar w:fldCharType="separate"/>
          </w:r>
          <w:r w:rsidR="009D5CF7">
            <w:rPr>
              <w:noProof/>
            </w:rPr>
            <w:t>2</w:t>
          </w:r>
          <w:r w:rsidR="009D5CF7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FE3A07" w:rsidP="008243DB">
          <w:pPr>
            <w:pStyle w:val="Footer"/>
            <w:rPr>
              <w:noProof/>
            </w:rPr>
          </w:pPr>
          <w:r>
            <w:t>13</w:t>
          </w:r>
          <w:r w:rsidR="004046AD">
            <w:t xml:space="preserve"> </w:t>
          </w:r>
          <w:r>
            <w:t>September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9D5CF7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9D5CF7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492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4711-B7A6-4DA2-856F-82DE61D9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28</cp:revision>
  <cp:lastPrinted>2017-03-15T09:16:00Z</cp:lastPrinted>
  <dcterms:created xsi:type="dcterms:W3CDTF">2017-03-16T08:36:00Z</dcterms:created>
  <dcterms:modified xsi:type="dcterms:W3CDTF">2017-09-13T12:56:00Z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