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31644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931644">
              <w:t>30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931644" w:rsidP="00931644">
            <w:pPr>
              <w:pStyle w:val="Date"/>
            </w:pPr>
            <w:r>
              <w:t xml:space="preserve">11 April </w:t>
            </w:r>
            <w:r w:rsidR="00C418EA">
              <w:t>2018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7AA" w:rsidP="00931644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</w:t>
            </w:r>
            <w:r w:rsidR="00931644">
              <w:t>30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31644" w:rsidP="00931644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 xml:space="preserve">11 April </w:t>
            </w:r>
            <w:r w:rsidR="00C021A1">
              <w:t>2018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931644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587"/>
        <w:gridCol w:w="7400"/>
      </w:tblGrid>
      <w:tr w:rsidR="00223592" w:rsidRPr="00A6150F" w:rsidTr="00C540AE">
        <w:trPr>
          <w:cantSplit/>
          <w:trHeight w:val="675"/>
          <w:tblHeader/>
        </w:trPr>
        <w:tc>
          <w:tcPr>
            <w:tcW w:w="1526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587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CB6B01" w:rsidRPr="000970E4" w:rsidTr="00C540AE">
        <w:trPr>
          <w:cantSplit/>
          <w:trHeight w:val="641"/>
        </w:trPr>
        <w:tc>
          <w:tcPr>
            <w:tcW w:w="1526" w:type="dxa"/>
            <w:vAlign w:val="center"/>
          </w:tcPr>
          <w:p w:rsidR="00CB6B01" w:rsidRDefault="006A5CC3" w:rsidP="00931644">
            <w:pPr>
              <w:pStyle w:val="Tabletext"/>
              <w:jc w:val="center"/>
            </w:pPr>
            <w:r>
              <w:t>M30</w:t>
            </w:r>
            <w:r w:rsidR="00931644">
              <w:t>9</w:t>
            </w:r>
            <w:r>
              <w:t>5</w:t>
            </w:r>
          </w:p>
        </w:tc>
        <w:tc>
          <w:tcPr>
            <w:tcW w:w="1587" w:type="dxa"/>
            <w:vAlign w:val="center"/>
          </w:tcPr>
          <w:p w:rsidR="00CB6B01" w:rsidRDefault="006A5CC3" w:rsidP="00457C6B">
            <w:pPr>
              <w:pStyle w:val="Tabletext"/>
              <w:jc w:val="center"/>
            </w:pPr>
            <w:r>
              <w:t>GGEN</w:t>
            </w:r>
          </w:p>
        </w:tc>
        <w:tc>
          <w:tcPr>
            <w:tcW w:w="7400" w:type="dxa"/>
            <w:vAlign w:val="center"/>
          </w:tcPr>
          <w:p w:rsidR="002A47AA" w:rsidRDefault="006A5CC3" w:rsidP="00E61BDE">
            <w:pPr>
              <w:pStyle w:val="Tabletext"/>
              <w:ind w:left="0"/>
            </w:pPr>
            <w:r>
              <w:t>Creation of new LLFCs, and new valid HH and NHH Combinations</w:t>
            </w:r>
          </w:p>
          <w:p w:rsidR="00CB6B01" w:rsidRDefault="006A5CC3" w:rsidP="00931644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931644">
              <w:rPr>
                <w:i/>
                <w:color w:val="auto"/>
              </w:rPr>
              <w:t>16/05</w:t>
            </w:r>
            <w:r>
              <w:rPr>
                <w:i/>
                <w:color w:val="auto"/>
              </w:rPr>
              <w:t>/</w:t>
            </w:r>
            <w:r>
              <w:rPr>
                <w:i/>
              </w:rPr>
              <w:t>2018</w:t>
            </w:r>
          </w:p>
        </w:tc>
      </w:tr>
      <w:tr w:rsidR="00CB6B01" w:rsidRPr="000970E4" w:rsidTr="00C540AE">
        <w:trPr>
          <w:cantSplit/>
          <w:trHeight w:val="641"/>
        </w:trPr>
        <w:tc>
          <w:tcPr>
            <w:tcW w:w="1526" w:type="dxa"/>
            <w:vAlign w:val="center"/>
          </w:tcPr>
          <w:p w:rsidR="00CB6B01" w:rsidRDefault="006A5CC3" w:rsidP="00931644">
            <w:pPr>
              <w:pStyle w:val="Tabletext"/>
              <w:jc w:val="center"/>
            </w:pPr>
            <w:r>
              <w:t>M30</w:t>
            </w:r>
            <w:r w:rsidR="00931644">
              <w:t>9</w:t>
            </w:r>
            <w:r>
              <w:t>6</w:t>
            </w:r>
          </w:p>
        </w:tc>
        <w:tc>
          <w:tcPr>
            <w:tcW w:w="1587" w:type="dxa"/>
            <w:vAlign w:val="center"/>
          </w:tcPr>
          <w:p w:rsidR="00CB6B01" w:rsidRDefault="00931644" w:rsidP="00931644">
            <w:pPr>
              <w:pStyle w:val="Tabletext"/>
              <w:jc w:val="center"/>
            </w:pPr>
            <w:r>
              <w:t>MANW</w:t>
            </w:r>
          </w:p>
        </w:tc>
        <w:tc>
          <w:tcPr>
            <w:tcW w:w="7400" w:type="dxa"/>
            <w:vAlign w:val="center"/>
          </w:tcPr>
          <w:p w:rsidR="006D792D" w:rsidRPr="006A5CC3" w:rsidRDefault="006D792D" w:rsidP="006D792D">
            <w:pPr>
              <w:pStyle w:val="Tabletext"/>
              <w:ind w:left="0"/>
            </w:pPr>
            <w:r>
              <w:t>Creation of new LLFCs and new valid HH Combinations</w:t>
            </w:r>
          </w:p>
          <w:p w:rsidR="006A5CC3" w:rsidRDefault="006D792D" w:rsidP="006D4F89">
            <w:pPr>
              <w:pStyle w:val="Tabletext"/>
              <w:ind w:left="0"/>
              <w:rPr>
                <w:i/>
                <w:color w:val="auto"/>
              </w:rPr>
            </w:pPr>
            <w:r>
              <w:t>Amendment to existing LLFC Descriptions</w:t>
            </w:r>
          </w:p>
          <w:p w:rsidR="00CB6B01" w:rsidRDefault="006A5CC3" w:rsidP="006D792D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6D792D">
              <w:rPr>
                <w:i/>
                <w:color w:val="auto"/>
              </w:rPr>
              <w:t>16/05/2018</w:t>
            </w:r>
          </w:p>
        </w:tc>
      </w:tr>
      <w:tr w:rsidR="00CB6B01" w:rsidRPr="000970E4" w:rsidTr="00C540AE">
        <w:trPr>
          <w:cantSplit/>
          <w:trHeight w:val="641"/>
        </w:trPr>
        <w:tc>
          <w:tcPr>
            <w:tcW w:w="1526" w:type="dxa"/>
            <w:vAlign w:val="center"/>
          </w:tcPr>
          <w:p w:rsidR="00CB6B01" w:rsidRPr="00A5734F" w:rsidRDefault="006A5CC3" w:rsidP="003343F4">
            <w:pPr>
              <w:pStyle w:val="Tabletext"/>
              <w:jc w:val="center"/>
            </w:pPr>
            <w:r>
              <w:t>M30</w:t>
            </w:r>
            <w:r w:rsidR="003343F4">
              <w:t>9</w:t>
            </w:r>
            <w:r>
              <w:t>7</w:t>
            </w:r>
          </w:p>
        </w:tc>
        <w:tc>
          <w:tcPr>
            <w:tcW w:w="1587" w:type="dxa"/>
            <w:vAlign w:val="center"/>
          </w:tcPr>
          <w:p w:rsidR="00CB6B01" w:rsidRDefault="006A5CC3" w:rsidP="00457C6B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400" w:type="dxa"/>
            <w:vAlign w:val="center"/>
          </w:tcPr>
          <w:p w:rsidR="006D792D" w:rsidRDefault="006D792D" w:rsidP="006D792D">
            <w:pPr>
              <w:pStyle w:val="Tabletext"/>
              <w:ind w:left="0"/>
            </w:pPr>
            <w:r>
              <w:t xml:space="preserve">Creation of new LLFCs, </w:t>
            </w:r>
            <w:r>
              <w:rPr>
                <w:color w:val="auto"/>
              </w:rPr>
              <w:t>new</w:t>
            </w:r>
            <w:r w:rsidRPr="00840F32">
              <w:rPr>
                <w:color w:val="auto"/>
              </w:rPr>
              <w:t xml:space="preserve"> MTC </w:t>
            </w:r>
            <w:r>
              <w:rPr>
                <w:color w:val="auto"/>
              </w:rPr>
              <w:t xml:space="preserve">in PES area, </w:t>
            </w:r>
            <w:r>
              <w:t xml:space="preserve"> and new valid NHH Combinations</w:t>
            </w:r>
          </w:p>
          <w:p w:rsidR="00CB6B01" w:rsidRDefault="006A5CC3" w:rsidP="00C46104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AF1A4E">
              <w:rPr>
                <w:i/>
                <w:color w:val="auto"/>
              </w:rPr>
              <w:t>16/05/2018</w:t>
            </w:r>
          </w:p>
        </w:tc>
      </w:tr>
      <w:tr w:rsidR="006A5CC3" w:rsidRPr="000970E4" w:rsidTr="00C540AE">
        <w:trPr>
          <w:cantSplit/>
          <w:trHeight w:val="641"/>
        </w:trPr>
        <w:tc>
          <w:tcPr>
            <w:tcW w:w="1526" w:type="dxa"/>
            <w:vAlign w:val="center"/>
          </w:tcPr>
          <w:p w:rsidR="006A5CC3" w:rsidRDefault="006A5CC3" w:rsidP="003343F4">
            <w:pPr>
              <w:pStyle w:val="Tabletext"/>
              <w:jc w:val="center"/>
            </w:pPr>
            <w:r>
              <w:t>M30</w:t>
            </w:r>
            <w:r w:rsidR="003343F4">
              <w:t>98</w:t>
            </w:r>
          </w:p>
        </w:tc>
        <w:tc>
          <w:tcPr>
            <w:tcW w:w="1587" w:type="dxa"/>
            <w:vAlign w:val="center"/>
          </w:tcPr>
          <w:p w:rsidR="006A5CC3" w:rsidRDefault="003343F4" w:rsidP="00457C6B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AF1A4E" w:rsidRDefault="003343F4" w:rsidP="00AF1A4E">
            <w:pPr>
              <w:pStyle w:val="Tabletext"/>
              <w:ind w:left="0"/>
            </w:pPr>
            <w:r>
              <w:t>Creation of new Average Fraction of Year</w:t>
            </w:r>
            <w:r>
              <w:t xml:space="preserve">ly Consumption Set, new Average </w:t>
            </w:r>
            <w:r>
              <w:t xml:space="preserve">Fraction of Yearly Consumption, new GSP Group Daily Profile Class Average EAC, </w:t>
            </w:r>
            <w:r w:rsidR="00AF1A4E">
              <w:rPr>
                <w:color w:val="auto"/>
              </w:rPr>
              <w:t>new</w:t>
            </w:r>
            <w:r w:rsidR="00AF1A4E" w:rsidRPr="00840F32">
              <w:rPr>
                <w:color w:val="auto"/>
              </w:rPr>
              <w:t xml:space="preserve"> MTC </w:t>
            </w:r>
            <w:r w:rsidR="00AF1A4E">
              <w:rPr>
                <w:color w:val="auto"/>
              </w:rPr>
              <w:t xml:space="preserve">in PES area, </w:t>
            </w:r>
            <w:r w:rsidR="00AF1A4E">
              <w:t xml:space="preserve"> and new valid NHH Combinations</w:t>
            </w:r>
          </w:p>
          <w:p w:rsidR="006A5CC3" w:rsidRDefault="006A5CC3" w:rsidP="00B16F6B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AF1A4E">
              <w:rPr>
                <w:i/>
                <w:color w:val="auto"/>
              </w:rPr>
              <w:t>16/05/2018</w:t>
            </w:r>
          </w:p>
        </w:tc>
      </w:tr>
      <w:tr w:rsidR="00AF1A4E" w:rsidRPr="000970E4" w:rsidTr="00C540AE">
        <w:trPr>
          <w:cantSplit/>
          <w:trHeight w:val="641"/>
        </w:trPr>
        <w:tc>
          <w:tcPr>
            <w:tcW w:w="1526" w:type="dxa"/>
            <w:vAlign w:val="center"/>
          </w:tcPr>
          <w:p w:rsidR="00AF1A4E" w:rsidRDefault="00AF1A4E" w:rsidP="003343F4">
            <w:pPr>
              <w:pStyle w:val="Tabletext"/>
              <w:jc w:val="center"/>
            </w:pPr>
            <w:r>
              <w:t>M3099</w:t>
            </w:r>
          </w:p>
        </w:tc>
        <w:tc>
          <w:tcPr>
            <w:tcW w:w="1587" w:type="dxa"/>
            <w:vAlign w:val="center"/>
          </w:tcPr>
          <w:p w:rsidR="00AF1A4E" w:rsidRDefault="00AF1A4E" w:rsidP="00457C6B">
            <w:pPr>
              <w:pStyle w:val="Tabletext"/>
              <w:jc w:val="center"/>
            </w:pPr>
            <w:r>
              <w:t>UKPD</w:t>
            </w:r>
          </w:p>
        </w:tc>
        <w:tc>
          <w:tcPr>
            <w:tcW w:w="7400" w:type="dxa"/>
            <w:vAlign w:val="center"/>
          </w:tcPr>
          <w:p w:rsidR="00AF1A4E" w:rsidRDefault="00AF1A4E" w:rsidP="00AF1A4E">
            <w:pPr>
              <w:pStyle w:val="Tabletext"/>
              <w:ind w:left="0"/>
            </w:pPr>
            <w:r>
              <w:t xml:space="preserve">Creation of new LLFCs, </w:t>
            </w:r>
            <w:r>
              <w:rPr>
                <w:color w:val="auto"/>
              </w:rPr>
              <w:t>new</w:t>
            </w:r>
            <w:r w:rsidRPr="00840F32">
              <w:rPr>
                <w:color w:val="auto"/>
              </w:rPr>
              <w:t xml:space="preserve"> MTC </w:t>
            </w:r>
            <w:r>
              <w:rPr>
                <w:color w:val="auto"/>
              </w:rPr>
              <w:t xml:space="preserve">in PES area, </w:t>
            </w:r>
            <w:r>
              <w:t xml:space="preserve"> and new valid NHH Combinations</w:t>
            </w:r>
          </w:p>
          <w:p w:rsidR="00AF1A4E" w:rsidRDefault="00AF1A4E" w:rsidP="00AF1A4E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16/05/2018</w:t>
            </w:r>
          </w:p>
        </w:tc>
      </w:tr>
      <w:tr w:rsidR="006A5CC3" w:rsidRPr="000970E4" w:rsidTr="00C540AE">
        <w:trPr>
          <w:cantSplit/>
          <w:trHeight w:val="641"/>
        </w:trPr>
        <w:tc>
          <w:tcPr>
            <w:tcW w:w="1526" w:type="dxa"/>
            <w:vAlign w:val="center"/>
          </w:tcPr>
          <w:p w:rsidR="006A5CC3" w:rsidRDefault="006A5CC3" w:rsidP="00AF1A4E">
            <w:pPr>
              <w:pStyle w:val="Tabletext"/>
              <w:jc w:val="center"/>
            </w:pPr>
            <w:r>
              <w:t>M3</w:t>
            </w:r>
            <w:r w:rsidR="00AF1A4E">
              <w:t>100</w:t>
            </w:r>
          </w:p>
        </w:tc>
        <w:tc>
          <w:tcPr>
            <w:tcW w:w="1587" w:type="dxa"/>
            <w:vAlign w:val="center"/>
          </w:tcPr>
          <w:p w:rsidR="006A5CC3" w:rsidRDefault="006A5CC3" w:rsidP="00713ADE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6A5CC3" w:rsidRDefault="006A5CC3" w:rsidP="00713ADE">
            <w:pPr>
              <w:pStyle w:val="Tabletext"/>
              <w:ind w:left="0"/>
            </w:pPr>
            <w:r>
              <w:t>Inclusion of Charge Codes and Switch Regimes</w:t>
            </w:r>
          </w:p>
          <w:p w:rsidR="006A5CC3" w:rsidRDefault="006A5CC3" w:rsidP="00713ADE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AF1A4E">
              <w:rPr>
                <w:i/>
                <w:color w:val="auto"/>
              </w:rPr>
              <w:t>16/05/2018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2A47AA">
        <w:t>location Group (SVG) meeting 20</w:t>
      </w:r>
      <w:r w:rsidR="00931644">
        <w:t>7</w:t>
      </w:r>
      <w:r>
        <w:t xml:space="preserve"> on </w:t>
      </w:r>
      <w:r w:rsidR="00931644">
        <w:t xml:space="preserve">01 May </w:t>
      </w:r>
      <w:r w:rsidR="00C021A1">
        <w:t>2018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931644">
        <w:rPr>
          <w:b/>
        </w:rPr>
        <w:t xml:space="preserve">18 April </w:t>
      </w:r>
      <w:r w:rsidR="00CF1869">
        <w:rPr>
          <w:b/>
        </w:rPr>
        <w:t>201</w:t>
      </w:r>
      <w:r w:rsidR="00C021A1">
        <w:rPr>
          <w:b/>
        </w:rPr>
        <w:t>8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FE3A07">
        <w:t>ersion 26</w:t>
      </w:r>
      <w:r w:rsidR="00931644">
        <w:t>8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lastRenderedPageBreak/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931644">
        <w:rPr>
          <w:b/>
        </w:rPr>
        <w:t xml:space="preserve">18 April </w:t>
      </w:r>
      <w:r w:rsidR="00C021A1">
        <w:rPr>
          <w:b/>
        </w:rPr>
        <w:t>2018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Default="00741AF4" w:rsidP="00741AF4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2A47AA">
        <w:t>M30</w:t>
      </w:r>
      <w:r w:rsidR="00AF1A4E">
        <w:t>9</w:t>
      </w:r>
      <w:r w:rsidR="002A47AA">
        <w:t>5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2A47AA">
        <w:t>M30</w:t>
      </w:r>
      <w:r w:rsidR="00AF1A4E">
        <w:t>9</w:t>
      </w:r>
      <w:r w:rsidR="002A47AA">
        <w:t>6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2A47AA">
        <w:t>M30</w:t>
      </w:r>
      <w:r w:rsidR="00AF1A4E">
        <w:t>9</w:t>
      </w:r>
      <w:r w:rsidR="002A47AA">
        <w:t>7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2A47AA">
        <w:t>M30</w:t>
      </w:r>
      <w:r w:rsidR="00AF1A4E">
        <w:t>9</w:t>
      </w:r>
      <w:r w:rsidR="002A47AA">
        <w:t>8</w:t>
      </w:r>
    </w:p>
    <w:p w:rsidR="00C021A1" w:rsidRDefault="00C021A1" w:rsidP="00C021A1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 w:rsidR="002A47AA">
        <w:t>M30</w:t>
      </w:r>
      <w:r w:rsidR="00AF1A4E">
        <w:t>9</w:t>
      </w:r>
      <w:r w:rsidR="002A47AA">
        <w:t>9</w:t>
      </w:r>
    </w:p>
    <w:p w:rsidR="00AF1A4E" w:rsidRDefault="00AF1A4E" w:rsidP="00AF1A4E">
      <w:pPr>
        <w:pStyle w:val="ListBullet"/>
      </w:pPr>
      <w:r w:rsidRPr="009E0620">
        <w:t>I agree/disagree* with the changes proposed in</w:t>
      </w:r>
      <w:r w:rsidRPr="00FE3A07">
        <w:t xml:space="preserve"> </w:t>
      </w:r>
      <w:r>
        <w:t>M3</w:t>
      </w:r>
      <w:r>
        <w:t>100</w:t>
      </w:r>
      <w:bookmarkStart w:id="0" w:name="_GoBack"/>
      <w:bookmarkEnd w:id="0"/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AF1A4E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931644">
          <w:pPr>
            <w:pStyle w:val="Footer"/>
          </w:pPr>
          <w:r>
            <w:t>006</w:t>
          </w:r>
          <w:r w:rsidR="00931644">
            <w:t>30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981E69A" wp14:editId="37789171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F1A4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AF1A4E">
            <w:fldChar w:fldCharType="begin"/>
          </w:r>
          <w:r w:rsidR="00AF1A4E">
            <w:instrText xml:space="preserve"> NUMPAGES  \* Arabic  \* MERGEFORMAT </w:instrText>
          </w:r>
          <w:r w:rsidR="00AF1A4E">
            <w:fldChar w:fldCharType="separate"/>
          </w:r>
          <w:r w:rsidR="00AF1A4E">
            <w:rPr>
              <w:noProof/>
            </w:rPr>
            <w:t>2</w:t>
          </w:r>
          <w:r w:rsidR="00AF1A4E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931644" w:rsidP="00931644">
          <w:pPr>
            <w:pStyle w:val="Footer"/>
            <w:rPr>
              <w:noProof/>
            </w:rPr>
          </w:pPr>
          <w:r>
            <w:rPr>
              <w:noProof/>
            </w:rPr>
            <w:t xml:space="preserve">11 April </w:t>
          </w:r>
          <w:r w:rsidR="00C021A1">
            <w:rPr>
              <w:noProof/>
            </w:rPr>
            <w:t>2018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931644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AF1A4E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5360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1002D2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2B59"/>
    <w:rsid w:val="0030519E"/>
    <w:rsid w:val="00305E9F"/>
    <w:rsid w:val="00306E69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647D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1920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F3E"/>
    <w:rsid w:val="006F2B4C"/>
    <w:rsid w:val="006F554D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2A89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A4E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576DD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0B8F"/>
    <w:rsid w:val="00FC2EA5"/>
    <w:rsid w:val="00FC37B4"/>
    <w:rsid w:val="00FD188E"/>
    <w:rsid w:val="00FD315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EED2-5CDE-4059-8F70-14283B14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8</cp:revision>
  <cp:lastPrinted>2017-03-15T09:16:00Z</cp:lastPrinted>
  <dcterms:created xsi:type="dcterms:W3CDTF">2018-02-07T10:25:00Z</dcterms:created>
  <dcterms:modified xsi:type="dcterms:W3CDTF">2018-04-11T09:02:00Z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