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10318"/>
      </w:tblGrid>
      <w:tr w:rsidR="00763AB3" w:rsidRPr="00D213E4" w14:paraId="36ADF2AE" w14:textId="77777777" w:rsidTr="009726E8">
        <w:trPr>
          <w:cantSplit/>
          <w:trHeight w:val="550"/>
        </w:trPr>
        <w:tc>
          <w:tcPr>
            <w:tcW w:w="10318" w:type="dxa"/>
            <w:tcBorders>
              <w:bottom w:val="single" w:sz="36" w:space="0" w:color="0090AB" w:themeColor="text2"/>
            </w:tcBorders>
          </w:tcPr>
          <w:p w14:paraId="3C3ACBEC" w14:textId="77777777" w:rsidR="00763AB3" w:rsidRDefault="00040A23" w:rsidP="00040A23">
            <w:pPr>
              <w:pStyle w:val="Title"/>
            </w:pPr>
            <w:bookmarkStart w:id="0" w:name="_GoBack"/>
            <w:bookmarkEnd w:id="0"/>
            <w:r>
              <w:t>P375/6 summary and actions</w:t>
            </w:r>
          </w:p>
        </w:tc>
      </w:tr>
    </w:tbl>
    <w:p w14:paraId="4A43BDCC" w14:textId="77777777" w:rsidR="00763AB3" w:rsidRDefault="00763AB3" w:rsidP="00763AB3">
      <w:pPr>
        <w:pStyle w:val="1pt"/>
      </w:pPr>
    </w:p>
    <w:p w14:paraId="23D52AFB" w14:textId="77777777" w:rsidR="00763AB3" w:rsidRDefault="00763AB3" w:rsidP="00763AB3">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14:paraId="2CBE1142" w14:textId="77777777" w:rsidTr="009726E8">
        <w:trPr>
          <w:trHeight w:val="159"/>
        </w:trPr>
        <w:tc>
          <w:tcPr>
            <w:tcW w:w="2296" w:type="dxa"/>
            <w:tcBorders>
              <w:top w:val="single" w:sz="36" w:space="0" w:color="0090AB" w:themeColor="text2"/>
            </w:tcBorders>
            <w:shd w:val="clear" w:color="auto" w:fill="FFFFFF" w:themeFill="background1"/>
          </w:tcPr>
          <w:p w14:paraId="43DE99ED" w14:textId="77777777" w:rsidR="00763AB3" w:rsidRDefault="00763AB3" w:rsidP="009726E8">
            <w:pPr>
              <w:pStyle w:val="1pt"/>
            </w:pPr>
          </w:p>
        </w:tc>
        <w:tc>
          <w:tcPr>
            <w:tcW w:w="284" w:type="dxa"/>
            <w:shd w:val="clear" w:color="auto" w:fill="FFFFFF" w:themeFill="background1"/>
          </w:tcPr>
          <w:p w14:paraId="4DC40285" w14:textId="77777777" w:rsidR="00763AB3" w:rsidRDefault="00763AB3" w:rsidP="009726E8">
            <w:pPr>
              <w:pStyle w:val="1pt"/>
            </w:pPr>
          </w:p>
        </w:tc>
        <w:tc>
          <w:tcPr>
            <w:tcW w:w="2714" w:type="dxa"/>
            <w:tcBorders>
              <w:top w:val="single" w:sz="36" w:space="0" w:color="0090AB" w:themeColor="text2"/>
            </w:tcBorders>
            <w:shd w:val="clear" w:color="auto" w:fill="FFFFFF" w:themeFill="background1"/>
          </w:tcPr>
          <w:p w14:paraId="73A197F5" w14:textId="77777777" w:rsidR="00763AB3" w:rsidRDefault="00763AB3" w:rsidP="009726E8">
            <w:pPr>
              <w:pStyle w:val="1pt"/>
            </w:pPr>
          </w:p>
        </w:tc>
        <w:tc>
          <w:tcPr>
            <w:tcW w:w="2712" w:type="dxa"/>
            <w:tcBorders>
              <w:top w:val="single" w:sz="36" w:space="0" w:color="0090AB" w:themeColor="text2"/>
            </w:tcBorders>
            <w:shd w:val="clear" w:color="auto" w:fill="FFFFFF" w:themeFill="background1"/>
          </w:tcPr>
          <w:p w14:paraId="194F8492" w14:textId="77777777" w:rsidR="00763AB3" w:rsidRDefault="00763AB3" w:rsidP="009726E8">
            <w:pPr>
              <w:pStyle w:val="1pt"/>
            </w:pPr>
          </w:p>
        </w:tc>
        <w:tc>
          <w:tcPr>
            <w:tcW w:w="2301" w:type="dxa"/>
            <w:tcBorders>
              <w:top w:val="single" w:sz="36" w:space="0" w:color="0090AB" w:themeColor="text2"/>
            </w:tcBorders>
            <w:shd w:val="clear" w:color="auto" w:fill="FFFFFF" w:themeFill="background1"/>
          </w:tcPr>
          <w:p w14:paraId="1A9DA48A" w14:textId="77777777" w:rsidR="00763AB3" w:rsidRPr="009845EB" w:rsidRDefault="00763AB3" w:rsidP="009726E8">
            <w:pPr>
              <w:pStyle w:val="1pt"/>
            </w:pPr>
          </w:p>
        </w:tc>
      </w:tr>
      <w:tr w:rsidR="00763AB3" w14:paraId="232A275E" w14:textId="77777777" w:rsidTr="009726E8">
        <w:trPr>
          <w:trHeight w:val="357"/>
        </w:trPr>
        <w:tc>
          <w:tcPr>
            <w:tcW w:w="2296" w:type="dxa"/>
            <w:shd w:val="clear" w:color="auto" w:fill="FFFFFF" w:themeFill="background1"/>
          </w:tcPr>
          <w:p w14:paraId="12A8E3A0" w14:textId="77777777" w:rsidR="00763AB3" w:rsidRPr="00BF573B" w:rsidRDefault="007979CF" w:rsidP="009726E8">
            <w:pPr>
              <w:pStyle w:val="FooterRef1"/>
              <w:framePr w:hSpace="0" w:wrap="auto" w:vAnchor="margin" w:hAnchor="text" w:yAlign="inline"/>
              <w:suppressOverlap w:val="0"/>
            </w:pPr>
            <w:r>
              <w:t>P375/6 Workgroup summary</w:t>
            </w:r>
          </w:p>
        </w:tc>
        <w:tc>
          <w:tcPr>
            <w:tcW w:w="284" w:type="dxa"/>
            <w:shd w:val="clear" w:color="auto" w:fill="FFFFFF" w:themeFill="background1"/>
          </w:tcPr>
          <w:p w14:paraId="74313203" w14:textId="77777777" w:rsidR="00763AB3" w:rsidRDefault="00763AB3" w:rsidP="009726E8">
            <w:pPr>
              <w:pStyle w:val="Footer"/>
            </w:pPr>
          </w:p>
        </w:tc>
        <w:tc>
          <w:tcPr>
            <w:tcW w:w="2714" w:type="dxa"/>
            <w:shd w:val="clear" w:color="auto" w:fill="FFFFFF" w:themeFill="background1"/>
          </w:tcPr>
          <w:p w14:paraId="1E588278" w14:textId="77777777" w:rsidR="00763AB3" w:rsidRPr="00B120C5" w:rsidRDefault="00763AB3" w:rsidP="00B31E58">
            <w:pPr>
              <w:pStyle w:val="FooterRef2"/>
              <w:framePr w:hSpace="0" w:wrap="auto" w:vAnchor="margin" w:hAnchor="text" w:yAlign="inline"/>
              <w:suppressOverlap w:val="0"/>
            </w:pPr>
          </w:p>
        </w:tc>
        <w:tc>
          <w:tcPr>
            <w:tcW w:w="2712" w:type="dxa"/>
            <w:shd w:val="clear" w:color="auto" w:fill="FFFFFF" w:themeFill="background1"/>
          </w:tcPr>
          <w:p w14:paraId="4492064B" w14:textId="77777777" w:rsidR="00763AB3" w:rsidRPr="00B120C5" w:rsidRDefault="00763AB3" w:rsidP="009726E8">
            <w:pPr>
              <w:pStyle w:val="FooterRef3"/>
              <w:framePr w:hSpace="0" w:wrap="auto" w:vAnchor="margin" w:hAnchor="text" w:yAlign="inline"/>
              <w:suppressOverlap w:val="0"/>
            </w:pPr>
          </w:p>
        </w:tc>
        <w:tc>
          <w:tcPr>
            <w:tcW w:w="2301" w:type="dxa"/>
            <w:vMerge w:val="restart"/>
            <w:shd w:val="clear" w:color="auto" w:fill="FFFFFF" w:themeFill="background1"/>
            <w:vAlign w:val="bottom"/>
          </w:tcPr>
          <w:p w14:paraId="310836C6" w14:textId="77777777" w:rsidR="00763AB3" w:rsidRDefault="00763AB3" w:rsidP="009726E8">
            <w:pPr>
              <w:pStyle w:val="Footer"/>
            </w:pPr>
            <w:r>
              <w:rPr>
                <w:rFonts w:hint="eastAsia"/>
                <w:noProof/>
                <w:lang w:eastAsia="en-GB"/>
              </w:rPr>
              <w:drawing>
                <wp:inline distT="0" distB="0" distL="0" distR="0" wp14:anchorId="0A7D8524" wp14:editId="0C695B3F">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14:paraId="7D3D9DE5" w14:textId="77777777" w:rsidTr="009726E8">
        <w:trPr>
          <w:trHeight w:val="295"/>
        </w:trPr>
        <w:tc>
          <w:tcPr>
            <w:tcW w:w="2296" w:type="dxa"/>
            <w:shd w:val="clear" w:color="auto" w:fill="FFFFFF" w:themeFill="background1"/>
          </w:tcPr>
          <w:p w14:paraId="23350808" w14:textId="77777777" w:rsidR="00763AB3" w:rsidRPr="004873F8" w:rsidRDefault="00763AB3" w:rsidP="009726E8">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9B34A8">
              <w:rPr>
                <w:noProof/>
              </w:rPr>
              <w:fldChar w:fldCharType="begin"/>
            </w:r>
            <w:r w:rsidR="009B34A8">
              <w:rPr>
                <w:noProof/>
              </w:rPr>
              <w:instrText xml:space="preserve"> NUMPAGES  \* Arabic  \* MERGEFORMAT </w:instrText>
            </w:r>
            <w:r w:rsidR="009B34A8">
              <w:rPr>
                <w:noProof/>
              </w:rPr>
              <w:fldChar w:fldCharType="separate"/>
            </w:r>
            <w:r w:rsidR="00040A23">
              <w:rPr>
                <w:noProof/>
              </w:rPr>
              <w:t>1</w:t>
            </w:r>
            <w:r w:rsidR="009B34A8">
              <w:rPr>
                <w:noProof/>
              </w:rPr>
              <w:fldChar w:fldCharType="end"/>
            </w:r>
          </w:p>
        </w:tc>
        <w:tc>
          <w:tcPr>
            <w:tcW w:w="284" w:type="dxa"/>
            <w:shd w:val="clear" w:color="auto" w:fill="FFFFFF" w:themeFill="background1"/>
          </w:tcPr>
          <w:p w14:paraId="4481EE4D" w14:textId="77777777" w:rsidR="00763AB3" w:rsidRDefault="00763AB3" w:rsidP="009726E8">
            <w:pPr>
              <w:pStyle w:val="Footer"/>
            </w:pPr>
          </w:p>
        </w:tc>
        <w:tc>
          <w:tcPr>
            <w:tcW w:w="2714" w:type="dxa"/>
            <w:shd w:val="clear" w:color="auto" w:fill="FFFFFF" w:themeFill="background1"/>
          </w:tcPr>
          <w:p w14:paraId="479FE02E" w14:textId="77777777" w:rsidR="00763AB3" w:rsidRDefault="00763AB3" w:rsidP="009726E8">
            <w:pPr>
              <w:pStyle w:val="FooterDate"/>
              <w:framePr w:hSpace="0" w:wrap="auto" w:vAnchor="margin" w:hAnchor="text" w:yAlign="inline"/>
              <w:suppressOverlap w:val="0"/>
            </w:pPr>
          </w:p>
        </w:tc>
        <w:tc>
          <w:tcPr>
            <w:tcW w:w="2712" w:type="dxa"/>
            <w:shd w:val="clear" w:color="auto" w:fill="FFFFFF" w:themeFill="background1"/>
          </w:tcPr>
          <w:p w14:paraId="5B68273E" w14:textId="48E90566" w:rsidR="00763AB3" w:rsidRDefault="00763AB3" w:rsidP="009726E8">
            <w:pPr>
              <w:pStyle w:val="Footer"/>
            </w:pPr>
            <w:r>
              <w:t xml:space="preserve">© ELEXON </w:t>
            </w:r>
            <w:r>
              <w:fldChar w:fldCharType="begin"/>
            </w:r>
            <w:r>
              <w:instrText xml:space="preserve"> DATE  \@ "yyyy" </w:instrText>
            </w:r>
            <w:r>
              <w:fldChar w:fldCharType="separate"/>
            </w:r>
            <w:r w:rsidR="00C210F2">
              <w:rPr>
                <w:noProof/>
              </w:rPr>
              <w:t>2019</w:t>
            </w:r>
            <w:r>
              <w:fldChar w:fldCharType="end"/>
            </w:r>
          </w:p>
        </w:tc>
        <w:tc>
          <w:tcPr>
            <w:tcW w:w="2301" w:type="dxa"/>
            <w:vMerge/>
            <w:shd w:val="clear" w:color="auto" w:fill="FFFFFF" w:themeFill="background1"/>
          </w:tcPr>
          <w:p w14:paraId="45B649E5" w14:textId="77777777" w:rsidR="00763AB3" w:rsidRDefault="00763AB3" w:rsidP="009726E8">
            <w:pPr>
              <w:pStyle w:val="Footer"/>
            </w:pPr>
          </w:p>
        </w:tc>
      </w:tr>
    </w:tbl>
    <w:p w14:paraId="3FDF53E0" w14:textId="77777777" w:rsidR="00763AB3" w:rsidRDefault="00763AB3" w:rsidP="00763AB3">
      <w:pPr>
        <w:pStyle w:val="1pt"/>
        <w:sectPr w:rsidR="00763AB3" w:rsidSect="004833E5">
          <w:headerReference w:type="default" r:id="rId9"/>
          <w:footerReference w:type="default" r:id="rId10"/>
          <w:pgSz w:w="11906" w:h="16838" w:code="9"/>
          <w:pgMar w:top="1162" w:right="794" w:bottom="284" w:left="794" w:header="879" w:footer="539" w:gutter="0"/>
          <w:cols w:space="708"/>
          <w:titlePg/>
          <w:docGrid w:linePitch="360"/>
        </w:sectPr>
      </w:pPr>
    </w:p>
    <w:p w14:paraId="75A1919D" w14:textId="77777777" w:rsidR="00040A23" w:rsidRDefault="00040A23" w:rsidP="00040A23">
      <w:pPr>
        <w:pStyle w:val="Heading"/>
        <w:rPr>
          <w:lang w:eastAsia="en-GB"/>
        </w:rPr>
      </w:pPr>
      <w:r>
        <w:rPr>
          <w:lang w:eastAsia="en-GB"/>
        </w:rPr>
        <w:t>Discussion Summary</w:t>
      </w:r>
    </w:p>
    <w:p w14:paraId="525C1AB0" w14:textId="77777777" w:rsidR="00040A23" w:rsidRDefault="00040A23" w:rsidP="00E115D9">
      <w:pPr>
        <w:pStyle w:val="Boldheading"/>
        <w:rPr>
          <w:lang w:eastAsia="en-GB"/>
        </w:rPr>
      </w:pPr>
      <w:r w:rsidRPr="001D0876">
        <w:rPr>
          <w:lang w:eastAsia="en-GB"/>
        </w:rPr>
        <w:t>How PN feeds into settlement</w:t>
      </w:r>
      <w:r>
        <w:rPr>
          <w:lang w:eastAsia="en-GB"/>
        </w:rPr>
        <w:t xml:space="preserve"> (Item 3. P376 Baselining)</w:t>
      </w:r>
    </w:p>
    <w:p w14:paraId="3278A615" w14:textId="7E04D7DF" w:rsidR="00040A23" w:rsidRDefault="00040A23" w:rsidP="00040A23">
      <w:pPr>
        <w:pStyle w:val="BodyText"/>
        <w:rPr>
          <w:lang w:eastAsia="en-GB"/>
        </w:rPr>
      </w:pPr>
      <w:r>
        <w:rPr>
          <w:lang w:eastAsia="en-GB"/>
        </w:rPr>
        <w:t>The Workgroup started with a discussion on how Physical Notification</w:t>
      </w:r>
      <w:r w:rsidR="00046BF8">
        <w:rPr>
          <w:lang w:eastAsia="en-GB"/>
        </w:rPr>
        <w:t>s</w:t>
      </w:r>
      <w:r>
        <w:rPr>
          <w:lang w:eastAsia="en-GB"/>
        </w:rPr>
        <w:t xml:space="preserve"> (PN) feed into </w:t>
      </w:r>
      <w:r w:rsidR="00046BF8">
        <w:rPr>
          <w:lang w:eastAsia="en-GB"/>
        </w:rPr>
        <w:t>S</w:t>
      </w:r>
      <w:r>
        <w:rPr>
          <w:lang w:eastAsia="en-GB"/>
        </w:rPr>
        <w:t xml:space="preserve">ettlement. </w:t>
      </w:r>
      <w:r>
        <w:rPr>
          <w:noProof/>
        </w:rPr>
        <w:t xml:space="preserve">If Settlement data were to be used to construct a baseline, the most up to date </w:t>
      </w:r>
      <w:r w:rsidR="00046BF8">
        <w:rPr>
          <w:noProof/>
        </w:rPr>
        <w:t>S</w:t>
      </w:r>
      <w:r>
        <w:rPr>
          <w:noProof/>
        </w:rPr>
        <w:t xml:space="preserve">ettlement data avialable for that the Boundary </w:t>
      </w:r>
      <w:r w:rsidR="00046BF8">
        <w:rPr>
          <w:noProof/>
        </w:rPr>
        <w:t>M</w:t>
      </w:r>
      <w:r>
        <w:rPr>
          <w:noProof/>
        </w:rPr>
        <w:t>eter would be 16</w:t>
      </w:r>
      <w:r w:rsidR="00046BF8">
        <w:rPr>
          <w:noProof/>
        </w:rPr>
        <w:t xml:space="preserve"> Working Days (</w:t>
      </w:r>
      <w:r>
        <w:rPr>
          <w:noProof/>
        </w:rPr>
        <w:t>WD</w:t>
      </w:r>
      <w:r w:rsidR="00046BF8">
        <w:rPr>
          <w:noProof/>
        </w:rPr>
        <w:t>)</w:t>
      </w:r>
      <w:r>
        <w:rPr>
          <w:noProof/>
        </w:rPr>
        <w:t xml:space="preserve"> old as this is when the settlement data is first received relating to </w:t>
      </w:r>
      <w:r w:rsidR="00CE61C9">
        <w:rPr>
          <w:noProof/>
        </w:rPr>
        <w:t xml:space="preserve">a particular </w:t>
      </w:r>
      <w:r w:rsidR="00046BF8">
        <w:rPr>
          <w:noProof/>
        </w:rPr>
        <w:t>S</w:t>
      </w:r>
      <w:r w:rsidR="00CE61C9">
        <w:rPr>
          <w:noProof/>
        </w:rPr>
        <w:t xml:space="preserve">ettlement </w:t>
      </w:r>
      <w:r w:rsidR="00046BF8">
        <w:rPr>
          <w:noProof/>
        </w:rPr>
        <w:t>P</w:t>
      </w:r>
      <w:r w:rsidR="00CE61C9">
        <w:rPr>
          <w:noProof/>
        </w:rPr>
        <w:t>eriod</w:t>
      </w:r>
      <w:r>
        <w:rPr>
          <w:noProof/>
        </w:rPr>
        <w:t xml:space="preserve">. Therefore it may not be possible </w:t>
      </w:r>
      <w:r>
        <w:rPr>
          <w:lang w:eastAsia="en-GB"/>
        </w:rPr>
        <w:t xml:space="preserve">to use an up to date and therefore accurate </w:t>
      </w:r>
      <w:r w:rsidR="004F0137">
        <w:rPr>
          <w:lang w:eastAsia="en-GB"/>
        </w:rPr>
        <w:t>Final Physical Notification (</w:t>
      </w:r>
      <w:r>
        <w:rPr>
          <w:lang w:eastAsia="en-GB"/>
        </w:rPr>
        <w:t>FPN</w:t>
      </w:r>
      <w:r w:rsidR="004F0137">
        <w:rPr>
          <w:lang w:eastAsia="en-GB"/>
        </w:rPr>
        <w:t>)</w:t>
      </w:r>
      <w:r>
        <w:rPr>
          <w:lang w:eastAsia="en-GB"/>
        </w:rPr>
        <w:t xml:space="preserve"> for both dispatch and </w:t>
      </w:r>
      <w:r w:rsidR="00046BF8">
        <w:rPr>
          <w:lang w:eastAsia="en-GB"/>
        </w:rPr>
        <w:t>S</w:t>
      </w:r>
      <w:r>
        <w:rPr>
          <w:lang w:eastAsia="en-GB"/>
        </w:rPr>
        <w:t xml:space="preserve">ettlement purposes. The FPN for Settlement purposes could be set at a prescribed time after the event, when settled metering data relating to the </w:t>
      </w:r>
      <w:r w:rsidR="00046BF8">
        <w:rPr>
          <w:lang w:eastAsia="en-GB"/>
        </w:rPr>
        <w:t>S</w:t>
      </w:r>
      <w:r>
        <w:rPr>
          <w:lang w:eastAsia="en-GB"/>
        </w:rPr>
        <w:t xml:space="preserve">ettlement </w:t>
      </w:r>
      <w:r w:rsidR="00046BF8">
        <w:rPr>
          <w:lang w:eastAsia="en-GB"/>
        </w:rPr>
        <w:t>P</w:t>
      </w:r>
      <w:r>
        <w:rPr>
          <w:lang w:eastAsia="en-GB"/>
        </w:rPr>
        <w:t>eriod immediately preceding is available and therefore will naturally be more accurate.</w:t>
      </w:r>
    </w:p>
    <w:p w14:paraId="59884CCB" w14:textId="3B2F65DA" w:rsidR="00040A23" w:rsidRDefault="00040A23" w:rsidP="00040A23">
      <w:pPr>
        <w:pStyle w:val="BodyText"/>
        <w:rPr>
          <w:lang w:eastAsia="en-GB"/>
        </w:rPr>
      </w:pPr>
      <w:r>
        <w:rPr>
          <w:lang w:eastAsia="en-GB"/>
        </w:rPr>
        <w:t xml:space="preserve">The </w:t>
      </w:r>
      <w:r w:rsidR="004F0137">
        <w:rPr>
          <w:lang w:eastAsia="en-GB"/>
        </w:rPr>
        <w:t>Electricity System Operator (</w:t>
      </w:r>
      <w:r>
        <w:rPr>
          <w:lang w:eastAsia="en-GB"/>
        </w:rPr>
        <w:t>ESO</w:t>
      </w:r>
      <w:r w:rsidR="004F0137">
        <w:rPr>
          <w:lang w:eastAsia="en-GB"/>
        </w:rPr>
        <w:t>)</w:t>
      </w:r>
      <w:r>
        <w:rPr>
          <w:lang w:eastAsia="en-GB"/>
        </w:rPr>
        <w:t xml:space="preserve"> rep</w:t>
      </w:r>
      <w:r w:rsidR="004F0137">
        <w:rPr>
          <w:lang w:eastAsia="en-GB"/>
        </w:rPr>
        <w:t>resentative</w:t>
      </w:r>
      <w:r>
        <w:rPr>
          <w:lang w:eastAsia="en-GB"/>
        </w:rPr>
        <w:t xml:space="preserve"> confirmed that the Grid Code requirement is for the PN to represent flows at the </w:t>
      </w:r>
      <w:r w:rsidR="004F0137">
        <w:rPr>
          <w:lang w:eastAsia="en-GB"/>
        </w:rPr>
        <w:t>Grid Supply Point (</w:t>
      </w:r>
      <w:r>
        <w:rPr>
          <w:lang w:eastAsia="en-GB"/>
        </w:rPr>
        <w:t>GSP</w:t>
      </w:r>
      <w:r w:rsidR="004F0137">
        <w:rPr>
          <w:lang w:eastAsia="en-GB"/>
        </w:rPr>
        <w:t>)</w:t>
      </w:r>
      <w:r>
        <w:rPr>
          <w:lang w:eastAsia="en-GB"/>
        </w:rPr>
        <w:t xml:space="preserve"> Group </w:t>
      </w:r>
      <w:r w:rsidR="004F0137">
        <w:rPr>
          <w:lang w:eastAsia="en-GB"/>
        </w:rPr>
        <w:t>level,</w:t>
      </w:r>
      <w:r>
        <w:rPr>
          <w:lang w:eastAsia="en-GB"/>
        </w:rPr>
        <w:t xml:space="preserve"> with the data captured at the Boundary Point. The PN should be an accurate forecast of actuals flo</w:t>
      </w:r>
      <w:r w:rsidR="004F0137">
        <w:rPr>
          <w:lang w:eastAsia="en-GB"/>
        </w:rPr>
        <w:t>ws for the relevant Settlement P</w:t>
      </w:r>
      <w:r>
        <w:rPr>
          <w:lang w:eastAsia="en-GB"/>
        </w:rPr>
        <w:t xml:space="preserve">eriod for when the Balancing Service is delivered. The PN turns into the FPN at gate closure. Even though it may not accurately reflect flows, they use the FPN </w:t>
      </w:r>
      <w:r w:rsidR="004F0137">
        <w:rPr>
          <w:lang w:eastAsia="en-GB"/>
        </w:rPr>
        <w:t xml:space="preserve">as a baseline to dispatch the asset and </w:t>
      </w:r>
      <w:r>
        <w:rPr>
          <w:lang w:eastAsia="en-GB"/>
        </w:rPr>
        <w:t xml:space="preserve">instruct the asset to move away from the FPN. One </w:t>
      </w:r>
      <w:r w:rsidR="004F0137">
        <w:rPr>
          <w:lang w:eastAsia="en-GB"/>
        </w:rPr>
        <w:t>Workgroup M</w:t>
      </w:r>
      <w:r>
        <w:rPr>
          <w:lang w:eastAsia="en-GB"/>
        </w:rPr>
        <w:t xml:space="preserve">ember </w:t>
      </w:r>
      <w:r w:rsidR="004F0137">
        <w:rPr>
          <w:lang w:eastAsia="en-GB"/>
        </w:rPr>
        <w:t>commented</w:t>
      </w:r>
      <w:r>
        <w:rPr>
          <w:lang w:eastAsia="en-GB"/>
        </w:rPr>
        <w:t xml:space="preserve"> that </w:t>
      </w:r>
      <w:r w:rsidR="004F0137">
        <w:rPr>
          <w:lang w:eastAsia="en-GB"/>
        </w:rPr>
        <w:t>ESO</w:t>
      </w:r>
      <w:r>
        <w:rPr>
          <w:lang w:eastAsia="en-GB"/>
        </w:rPr>
        <w:t xml:space="preserve"> are really more concerned about the delta provided and this is what they will aim to deliver. The FPN therefore is more a procedural process. They will concentrate on delivering the delta requested </w:t>
      </w:r>
      <w:r w:rsidR="004F0137">
        <w:rPr>
          <w:lang w:eastAsia="en-GB"/>
        </w:rPr>
        <w:t>rather than adjusting between defined volumes,</w:t>
      </w:r>
      <w:r>
        <w:rPr>
          <w:lang w:eastAsia="en-GB"/>
        </w:rPr>
        <w:t xml:space="preserve"> as in reality they don’t have access to the real time </w:t>
      </w:r>
      <w:r w:rsidR="00046BF8">
        <w:rPr>
          <w:lang w:eastAsia="en-GB"/>
        </w:rPr>
        <w:t>B</w:t>
      </w:r>
      <w:r>
        <w:rPr>
          <w:lang w:eastAsia="en-GB"/>
        </w:rPr>
        <w:t xml:space="preserve">oundary </w:t>
      </w:r>
      <w:r w:rsidR="00046BF8">
        <w:rPr>
          <w:lang w:eastAsia="en-GB"/>
        </w:rPr>
        <w:t>M</w:t>
      </w:r>
      <w:r>
        <w:rPr>
          <w:lang w:eastAsia="en-GB"/>
        </w:rPr>
        <w:t>etering which would show if this requirement is being achieved.</w:t>
      </w:r>
    </w:p>
    <w:p w14:paraId="5CF6E76E" w14:textId="77777777" w:rsidR="00040A23" w:rsidRDefault="004F0137" w:rsidP="00040A23">
      <w:pPr>
        <w:pStyle w:val="BodyText"/>
        <w:rPr>
          <w:lang w:eastAsia="en-GB"/>
        </w:rPr>
      </w:pPr>
      <w:r>
        <w:rPr>
          <w:lang w:eastAsia="en-GB"/>
        </w:rPr>
        <w:t>ESO</w:t>
      </w:r>
      <w:r w:rsidR="00040A23">
        <w:rPr>
          <w:lang w:eastAsia="en-GB"/>
        </w:rPr>
        <w:t xml:space="preserve"> confirmed that although</w:t>
      </w:r>
      <w:r w:rsidR="006E605C">
        <w:rPr>
          <w:lang w:eastAsia="en-GB"/>
        </w:rPr>
        <w:t xml:space="preserve"> theoretically</w:t>
      </w:r>
      <w:r w:rsidR="00040A23">
        <w:rPr>
          <w:lang w:eastAsia="en-GB"/>
        </w:rPr>
        <w:t xml:space="preserve"> the PN </w:t>
      </w:r>
      <w:r w:rsidR="006E605C">
        <w:rPr>
          <w:lang w:eastAsia="en-GB"/>
        </w:rPr>
        <w:t>could</w:t>
      </w:r>
      <w:r w:rsidR="00040A23">
        <w:rPr>
          <w:lang w:eastAsia="en-GB"/>
        </w:rPr>
        <w:t xml:space="preserve"> be changed after Gate Closure, this did not happen in practice as the </w:t>
      </w:r>
      <w:r w:rsidR="006E605C">
        <w:rPr>
          <w:lang w:eastAsia="en-GB"/>
        </w:rPr>
        <w:t>Maximum Export Limit (</w:t>
      </w:r>
      <w:r w:rsidR="00040A23">
        <w:rPr>
          <w:lang w:eastAsia="en-GB"/>
        </w:rPr>
        <w:t>MEL</w:t>
      </w:r>
      <w:r w:rsidR="006E605C">
        <w:rPr>
          <w:lang w:eastAsia="en-GB"/>
        </w:rPr>
        <w:t>)</w:t>
      </w:r>
      <w:r w:rsidR="00040A23">
        <w:rPr>
          <w:lang w:eastAsia="en-GB"/>
        </w:rPr>
        <w:t xml:space="preserve"> </w:t>
      </w:r>
      <w:r w:rsidR="006E605C">
        <w:rPr>
          <w:lang w:eastAsia="en-GB"/>
        </w:rPr>
        <w:t>was</w:t>
      </w:r>
      <w:r w:rsidR="00040A23">
        <w:rPr>
          <w:lang w:eastAsia="en-GB"/>
        </w:rPr>
        <w:t xml:space="preserve"> used to effectively change the PN if the PN </w:t>
      </w:r>
      <w:r w:rsidR="006E605C">
        <w:rPr>
          <w:lang w:eastAsia="en-GB"/>
        </w:rPr>
        <w:t>was</w:t>
      </w:r>
      <w:r w:rsidR="00040A23">
        <w:rPr>
          <w:lang w:eastAsia="en-GB"/>
        </w:rPr>
        <w:t xml:space="preserve"> not realistic. The </w:t>
      </w:r>
      <w:r w:rsidR="006E605C">
        <w:rPr>
          <w:lang w:eastAsia="en-GB"/>
        </w:rPr>
        <w:t>Workgroup</w:t>
      </w:r>
      <w:r w:rsidR="00040A23">
        <w:rPr>
          <w:lang w:eastAsia="en-GB"/>
        </w:rPr>
        <w:t xml:space="preserve"> noted </w:t>
      </w:r>
      <w:r w:rsidR="006E605C">
        <w:rPr>
          <w:lang w:eastAsia="en-GB"/>
        </w:rPr>
        <w:t>that</w:t>
      </w:r>
      <w:r w:rsidR="00040A23">
        <w:rPr>
          <w:lang w:eastAsia="en-GB"/>
        </w:rPr>
        <w:t xml:space="preserve"> </w:t>
      </w:r>
      <w:r w:rsidR="006E605C">
        <w:rPr>
          <w:lang w:eastAsia="en-GB"/>
        </w:rPr>
        <w:t>ESO</w:t>
      </w:r>
      <w:r w:rsidR="00040A23">
        <w:rPr>
          <w:lang w:eastAsia="en-GB"/>
        </w:rPr>
        <w:t xml:space="preserve"> has </w:t>
      </w:r>
      <w:r w:rsidR="006E605C">
        <w:rPr>
          <w:lang w:eastAsia="en-GB"/>
        </w:rPr>
        <w:t>access t</w:t>
      </w:r>
      <w:r w:rsidR="00040A23">
        <w:rPr>
          <w:lang w:eastAsia="en-GB"/>
        </w:rPr>
        <w:t xml:space="preserve">o </w:t>
      </w:r>
      <w:r w:rsidR="006E605C">
        <w:rPr>
          <w:lang w:eastAsia="en-GB"/>
        </w:rPr>
        <w:t xml:space="preserve">data </w:t>
      </w:r>
      <w:r w:rsidR="00040A23">
        <w:rPr>
          <w:lang w:eastAsia="en-GB"/>
        </w:rPr>
        <w:t xml:space="preserve">to forecast the expected output of </w:t>
      </w:r>
      <w:r w:rsidR="006E605C">
        <w:rPr>
          <w:lang w:eastAsia="en-GB"/>
        </w:rPr>
        <w:t>a</w:t>
      </w:r>
      <w:r w:rsidR="00040A23">
        <w:rPr>
          <w:lang w:eastAsia="en-GB"/>
        </w:rPr>
        <w:t xml:space="preserve"> site, and this could be used to set the FPN for dispatch rather than rely on a potentially inaccurate PN. </w:t>
      </w:r>
    </w:p>
    <w:p w14:paraId="07193F15" w14:textId="77777777" w:rsidR="00040A23" w:rsidRDefault="00040A23" w:rsidP="00040A23">
      <w:pPr>
        <w:pStyle w:val="BodyText"/>
        <w:rPr>
          <w:lang w:eastAsia="en-GB"/>
        </w:rPr>
      </w:pPr>
      <w:r>
        <w:rPr>
          <w:lang w:eastAsia="en-GB"/>
        </w:rPr>
        <w:t>ELEXON confirmed that the initial solution proposed is to separate out the FPN for dispatch from the FPN used for Settlement</w:t>
      </w:r>
      <w:r w:rsidR="006E605C">
        <w:rPr>
          <w:lang w:eastAsia="en-GB"/>
        </w:rPr>
        <w:t xml:space="preserve"> and commented that the issue of i</w:t>
      </w:r>
      <w:r>
        <w:rPr>
          <w:lang w:eastAsia="en-GB"/>
        </w:rPr>
        <w:t xml:space="preserve">naccurate PNs for dispatch </w:t>
      </w:r>
      <w:r w:rsidR="006E605C">
        <w:rPr>
          <w:lang w:eastAsia="en-GB"/>
        </w:rPr>
        <w:t>should be handled under the Grid Code.</w:t>
      </w:r>
    </w:p>
    <w:p w14:paraId="6E95AD1E" w14:textId="77777777" w:rsidR="00040A23" w:rsidRDefault="00040A23" w:rsidP="00040A23">
      <w:pPr>
        <w:pStyle w:val="BodyText"/>
        <w:rPr>
          <w:lang w:eastAsia="en-GB"/>
        </w:rPr>
      </w:pPr>
      <w:r>
        <w:rPr>
          <w:lang w:eastAsia="en-GB"/>
        </w:rPr>
        <w:t xml:space="preserve">The Workgroup discussed whether baselining would apply to all, or just some, sites. It was determined that this </w:t>
      </w:r>
      <w:proofErr w:type="gramStart"/>
      <w:r>
        <w:rPr>
          <w:lang w:eastAsia="en-GB"/>
        </w:rPr>
        <w:t>would</w:t>
      </w:r>
      <w:proofErr w:type="gramEnd"/>
      <w:r>
        <w:rPr>
          <w:lang w:eastAsia="en-GB"/>
        </w:rPr>
        <w:t xml:space="preserve"> be a commercial decision made by the VLPs. They would determine which sites were more applicable for baselining where it may be difficult to install </w:t>
      </w:r>
      <w:r w:rsidR="006E605C">
        <w:rPr>
          <w:lang w:eastAsia="en-GB"/>
        </w:rPr>
        <w:t>o</w:t>
      </w:r>
      <w:r>
        <w:rPr>
          <w:lang w:eastAsia="en-GB"/>
        </w:rPr>
        <w:t>perational metering,</w:t>
      </w:r>
      <w:r w:rsidR="006E605C">
        <w:rPr>
          <w:lang w:eastAsia="en-GB"/>
        </w:rPr>
        <w:t xml:space="preserve"> whereas o</w:t>
      </w:r>
      <w:r>
        <w:rPr>
          <w:lang w:eastAsia="en-GB"/>
        </w:rPr>
        <w:t xml:space="preserve">perational metering may be better suited for sites which had variable demand </w:t>
      </w:r>
      <w:r w:rsidR="006E605C">
        <w:rPr>
          <w:lang w:eastAsia="en-GB"/>
        </w:rPr>
        <w:t xml:space="preserve">that couldn’t be predicted by a </w:t>
      </w:r>
      <w:r>
        <w:rPr>
          <w:lang w:eastAsia="en-GB"/>
        </w:rPr>
        <w:t>baseline. A</w:t>
      </w:r>
      <w:r w:rsidR="006E605C">
        <w:rPr>
          <w:lang w:eastAsia="en-GB"/>
        </w:rPr>
        <w:t xml:space="preserve"> Balancing Mechanism</w:t>
      </w:r>
      <w:r>
        <w:rPr>
          <w:lang w:eastAsia="en-GB"/>
        </w:rPr>
        <w:t xml:space="preserve"> </w:t>
      </w:r>
      <w:r w:rsidR="006E605C">
        <w:rPr>
          <w:lang w:eastAsia="en-GB"/>
        </w:rPr>
        <w:t>(</w:t>
      </w:r>
      <w:r>
        <w:rPr>
          <w:lang w:eastAsia="en-GB"/>
        </w:rPr>
        <w:t>BM</w:t>
      </w:r>
      <w:r w:rsidR="006E605C">
        <w:rPr>
          <w:lang w:eastAsia="en-GB"/>
        </w:rPr>
        <w:t xml:space="preserve">) </w:t>
      </w:r>
      <w:r>
        <w:rPr>
          <w:lang w:eastAsia="en-GB"/>
        </w:rPr>
        <w:t>U</w:t>
      </w:r>
      <w:r w:rsidR="006E605C">
        <w:rPr>
          <w:lang w:eastAsia="en-GB"/>
        </w:rPr>
        <w:t>nit</w:t>
      </w:r>
      <w:r>
        <w:rPr>
          <w:lang w:eastAsia="en-GB"/>
        </w:rPr>
        <w:t xml:space="preserve"> could be made up of a combination of the both baselined sites and sites with </w:t>
      </w:r>
      <w:r w:rsidR="006E605C">
        <w:rPr>
          <w:lang w:eastAsia="en-GB"/>
        </w:rPr>
        <w:t>o</w:t>
      </w:r>
      <w:r>
        <w:rPr>
          <w:lang w:eastAsia="en-GB"/>
        </w:rPr>
        <w:t xml:space="preserve">perational Metering. The Workgroup discussed a possible need for a baseline solution to also be created to forecast flows at Boundary Meters associated </w:t>
      </w:r>
      <w:r w:rsidR="00046BF8">
        <w:rPr>
          <w:lang w:eastAsia="en-GB"/>
        </w:rPr>
        <w:t xml:space="preserve">with </w:t>
      </w:r>
      <w:r w:rsidR="00E115D9">
        <w:rPr>
          <w:lang w:eastAsia="en-GB"/>
        </w:rPr>
        <w:t>operational m</w:t>
      </w:r>
      <w:r>
        <w:rPr>
          <w:lang w:eastAsia="en-GB"/>
        </w:rPr>
        <w:t>etering</w:t>
      </w:r>
      <w:r w:rsidR="00E115D9">
        <w:rPr>
          <w:lang w:eastAsia="en-GB"/>
        </w:rPr>
        <w:t>,</w:t>
      </w:r>
      <w:r>
        <w:rPr>
          <w:lang w:eastAsia="en-GB"/>
        </w:rPr>
        <w:t xml:space="preserve"> providing a way of testing Independence and monitoring</w:t>
      </w:r>
      <w:r w:rsidR="00635800">
        <w:rPr>
          <w:lang w:eastAsia="en-GB"/>
        </w:rPr>
        <w:t>/validating</w:t>
      </w:r>
      <w:r w:rsidR="00E115D9">
        <w:rPr>
          <w:lang w:eastAsia="en-GB"/>
        </w:rPr>
        <w:t xml:space="preserve"> the</w:t>
      </w:r>
      <w:r>
        <w:rPr>
          <w:lang w:eastAsia="en-GB"/>
        </w:rPr>
        <w:t xml:space="preserve"> P375 </w:t>
      </w:r>
      <w:r w:rsidR="00E115D9">
        <w:rPr>
          <w:lang w:eastAsia="en-GB"/>
        </w:rPr>
        <w:t>solution</w:t>
      </w:r>
      <w:r>
        <w:rPr>
          <w:lang w:eastAsia="en-GB"/>
        </w:rPr>
        <w:t xml:space="preserve">. </w:t>
      </w:r>
    </w:p>
    <w:p w14:paraId="7F1F4358" w14:textId="77777777" w:rsidR="00040A23" w:rsidRDefault="00E115D9" w:rsidP="00040A23">
      <w:pPr>
        <w:pStyle w:val="BodyText"/>
        <w:rPr>
          <w:lang w:eastAsia="en-GB"/>
        </w:rPr>
      </w:pPr>
      <w:r>
        <w:rPr>
          <w:lang w:eastAsia="en-GB"/>
        </w:rPr>
        <w:t>Baselining and operational m</w:t>
      </w:r>
      <w:r w:rsidR="00040A23">
        <w:rPr>
          <w:lang w:eastAsia="en-GB"/>
        </w:rPr>
        <w:t xml:space="preserve">etering could be used as a way of </w:t>
      </w:r>
      <w:r>
        <w:rPr>
          <w:lang w:eastAsia="en-GB"/>
        </w:rPr>
        <w:t>ESO</w:t>
      </w:r>
      <w:r w:rsidR="00040A23">
        <w:rPr>
          <w:lang w:eastAsia="en-GB"/>
        </w:rPr>
        <w:t xml:space="preserve"> gaining assurance that the delivery of the Balancing Service benefitted the system. </w:t>
      </w:r>
      <w:r>
        <w:rPr>
          <w:lang w:eastAsia="en-GB"/>
        </w:rPr>
        <w:t>ESO</w:t>
      </w:r>
      <w:r w:rsidR="00040A23">
        <w:rPr>
          <w:lang w:eastAsia="en-GB"/>
        </w:rPr>
        <w:t xml:space="preserve"> </w:t>
      </w:r>
      <w:r>
        <w:rPr>
          <w:lang w:eastAsia="en-GB"/>
        </w:rPr>
        <w:t>commented</w:t>
      </w:r>
      <w:r w:rsidR="00040A23">
        <w:rPr>
          <w:lang w:eastAsia="en-GB"/>
        </w:rPr>
        <w:t xml:space="preserve"> that the current processes reward based on delivered volumes not received volumes.</w:t>
      </w:r>
    </w:p>
    <w:p w14:paraId="6D677316" w14:textId="246335E3" w:rsidR="00040A23" w:rsidRDefault="00040A23" w:rsidP="00040A23">
      <w:pPr>
        <w:pStyle w:val="BodyText"/>
        <w:rPr>
          <w:lang w:eastAsia="en-GB"/>
        </w:rPr>
      </w:pPr>
      <w:r>
        <w:rPr>
          <w:lang w:eastAsia="en-GB"/>
        </w:rPr>
        <w:t xml:space="preserve">A Workgroup </w:t>
      </w:r>
      <w:r w:rsidR="00E115D9">
        <w:rPr>
          <w:lang w:eastAsia="en-GB"/>
        </w:rPr>
        <w:t>M</w:t>
      </w:r>
      <w:r>
        <w:rPr>
          <w:lang w:eastAsia="en-GB"/>
        </w:rPr>
        <w:t xml:space="preserve">ember was concerned that using baselines would result in volumes being included in the cash out stack that weren’t known until much later after the event and that this would distort market signals. </w:t>
      </w:r>
      <w:r w:rsidR="00E115D9">
        <w:rPr>
          <w:lang w:eastAsia="en-GB"/>
        </w:rPr>
        <w:t>ELEXON</w:t>
      </w:r>
      <w:r>
        <w:rPr>
          <w:lang w:eastAsia="en-GB"/>
        </w:rPr>
        <w:t xml:space="preserve"> confirmed that the volumes which were used in the stack were contracted volumes and these would not change under this </w:t>
      </w:r>
      <w:r w:rsidR="00635800">
        <w:rPr>
          <w:lang w:eastAsia="en-GB"/>
        </w:rPr>
        <w:t>M</w:t>
      </w:r>
      <w:r>
        <w:rPr>
          <w:lang w:eastAsia="en-GB"/>
        </w:rPr>
        <w:t>odification</w:t>
      </w:r>
      <w:r w:rsidR="00635800">
        <w:rPr>
          <w:lang w:eastAsia="en-GB"/>
        </w:rPr>
        <w:t xml:space="preserve"> (and are therefore available in a timely manner for cash-out calculations)</w:t>
      </w:r>
      <w:r>
        <w:rPr>
          <w:lang w:eastAsia="en-GB"/>
        </w:rPr>
        <w:t xml:space="preserve">. The purpose of creating a baselined FPN for Settlement purposes is to calculate Imbalance and Non Delivery Charges for individual parties. </w:t>
      </w:r>
    </w:p>
    <w:p w14:paraId="34B71764" w14:textId="77777777" w:rsidR="00040A23" w:rsidRDefault="00040A23" w:rsidP="00040A23">
      <w:pPr>
        <w:pStyle w:val="BodyText"/>
        <w:rPr>
          <w:lang w:eastAsia="en-GB"/>
        </w:rPr>
      </w:pPr>
    </w:p>
    <w:p w14:paraId="6F092FAB" w14:textId="0D170934" w:rsidR="00040A23" w:rsidRPr="00272582" w:rsidRDefault="00040A23" w:rsidP="00E115D9">
      <w:pPr>
        <w:pStyle w:val="Boldheading"/>
        <w:rPr>
          <w:lang w:eastAsia="en-GB"/>
        </w:rPr>
      </w:pPr>
      <w:r>
        <w:rPr>
          <w:lang w:eastAsia="en-GB"/>
        </w:rPr>
        <w:t xml:space="preserve">Registration of Metering </w:t>
      </w:r>
      <w:r w:rsidR="00635800">
        <w:rPr>
          <w:lang w:eastAsia="en-GB"/>
        </w:rPr>
        <w:t>S</w:t>
      </w:r>
      <w:r>
        <w:rPr>
          <w:lang w:eastAsia="en-GB"/>
        </w:rPr>
        <w:t>ystems (Item 4. P375)</w:t>
      </w:r>
    </w:p>
    <w:p w14:paraId="4E7692E1" w14:textId="77777777" w:rsidR="00635800" w:rsidRDefault="00040A23" w:rsidP="00E115D9">
      <w:pPr>
        <w:pStyle w:val="BodyText"/>
        <w:rPr>
          <w:lang w:eastAsia="en-GB"/>
        </w:rPr>
      </w:pPr>
      <w:r>
        <w:rPr>
          <w:lang w:eastAsia="en-GB"/>
        </w:rPr>
        <w:t xml:space="preserve">ELEXON outlined the current process for the creation and registration of MPANs. Currently </w:t>
      </w:r>
      <w:r w:rsidR="004E5EB7">
        <w:rPr>
          <w:lang w:eastAsia="en-GB"/>
        </w:rPr>
        <w:t>Distribution Network Operators (</w:t>
      </w:r>
      <w:r>
        <w:rPr>
          <w:lang w:eastAsia="en-GB"/>
        </w:rPr>
        <w:t>DNOs</w:t>
      </w:r>
      <w:r w:rsidR="004E5EB7">
        <w:rPr>
          <w:lang w:eastAsia="en-GB"/>
        </w:rPr>
        <w:t>)</w:t>
      </w:r>
      <w:r>
        <w:rPr>
          <w:lang w:eastAsia="en-GB"/>
        </w:rPr>
        <w:t xml:space="preserve"> create the</w:t>
      </w:r>
      <w:r w:rsidR="00E115D9">
        <w:rPr>
          <w:lang w:eastAsia="en-GB"/>
        </w:rPr>
        <w:t xml:space="preserve"> 13 digit MPAN, and</w:t>
      </w:r>
      <w:r>
        <w:rPr>
          <w:lang w:eastAsia="en-GB"/>
        </w:rPr>
        <w:t xml:space="preserve"> only licenced suppliers can register MPANs</w:t>
      </w:r>
      <w:r w:rsidR="00921087">
        <w:rPr>
          <w:lang w:eastAsia="en-GB"/>
        </w:rPr>
        <w:t>.</w:t>
      </w:r>
      <w:r w:rsidR="004E5EB7">
        <w:rPr>
          <w:lang w:eastAsia="en-GB"/>
        </w:rPr>
        <w:t xml:space="preserve"> The Workgroup noted that if new 13 digit MPANs were created under P375, there would need to be coordination with the Master </w:t>
      </w:r>
      <w:r w:rsidR="004E5EB7">
        <w:rPr>
          <w:lang w:eastAsia="en-GB"/>
        </w:rPr>
        <w:lastRenderedPageBreak/>
        <w:t>Registration Agreement (MRA).</w:t>
      </w:r>
      <w:r>
        <w:rPr>
          <w:lang w:eastAsia="en-GB"/>
        </w:rPr>
        <w:t xml:space="preserve"> Registering secondary pseudo-MPANs with 13 digit numbers would </w:t>
      </w:r>
      <w:r w:rsidRPr="00E115D9">
        <w:t>therefore</w:t>
      </w:r>
      <w:r>
        <w:rPr>
          <w:lang w:eastAsia="en-GB"/>
        </w:rPr>
        <w:t xml:space="preserve"> be preferable so that future data flows are future proofed (for example to avoid longer digits and/or strings being truncated) as many current systems are de</w:t>
      </w:r>
      <w:r w:rsidR="004E135A">
        <w:rPr>
          <w:lang w:eastAsia="en-GB"/>
        </w:rPr>
        <w:t>signed to accommodate 13 digits</w:t>
      </w:r>
      <w:r w:rsidR="00635800">
        <w:rPr>
          <w:lang w:eastAsia="en-GB"/>
        </w:rPr>
        <w:t xml:space="preserve"> and already do so for non-Settlement Meters</w:t>
      </w:r>
      <w:r w:rsidR="004E135A">
        <w:rPr>
          <w:lang w:eastAsia="en-GB"/>
        </w:rPr>
        <w:t>.</w:t>
      </w:r>
      <w:r>
        <w:rPr>
          <w:lang w:eastAsia="en-GB"/>
        </w:rPr>
        <w:t xml:space="preserve"> </w:t>
      </w:r>
    </w:p>
    <w:p w14:paraId="35EDA0F9" w14:textId="506F5C4F" w:rsidR="00040A23" w:rsidRDefault="00040A23" w:rsidP="00E115D9">
      <w:pPr>
        <w:pStyle w:val="BodyText"/>
        <w:rPr>
          <w:lang w:eastAsia="en-GB"/>
        </w:rPr>
      </w:pPr>
      <w:r>
        <w:rPr>
          <w:lang w:eastAsia="en-GB"/>
        </w:rPr>
        <w:t xml:space="preserve">This </w:t>
      </w:r>
      <w:r w:rsidR="00635800">
        <w:rPr>
          <w:lang w:eastAsia="en-GB"/>
        </w:rPr>
        <w:t xml:space="preserve">already </w:t>
      </w:r>
      <w:r>
        <w:rPr>
          <w:lang w:eastAsia="en-GB"/>
        </w:rPr>
        <w:t xml:space="preserve">seems to be common practice for operational non-BM or asset metering on sites. Once a Supplier is </w:t>
      </w:r>
      <w:r w:rsidR="004E5EB7">
        <w:rPr>
          <w:lang w:eastAsia="en-GB"/>
        </w:rPr>
        <w:t>the Registrant of</w:t>
      </w:r>
      <w:r>
        <w:rPr>
          <w:lang w:eastAsia="en-GB"/>
        </w:rPr>
        <w:t xml:space="preserve"> a </w:t>
      </w:r>
      <w:r w:rsidR="004E5EB7">
        <w:rPr>
          <w:lang w:eastAsia="en-GB"/>
        </w:rPr>
        <w:t>M</w:t>
      </w:r>
      <w:r>
        <w:rPr>
          <w:lang w:eastAsia="en-GB"/>
        </w:rPr>
        <w:t>eter</w:t>
      </w:r>
      <w:r w:rsidR="004E5EB7">
        <w:rPr>
          <w:lang w:eastAsia="en-GB"/>
        </w:rPr>
        <w:t>, it is the S</w:t>
      </w:r>
      <w:r>
        <w:rPr>
          <w:lang w:eastAsia="en-GB"/>
        </w:rPr>
        <w:t xml:space="preserve">upplier that then appoints a </w:t>
      </w:r>
      <w:r w:rsidR="004E5EB7">
        <w:rPr>
          <w:lang w:eastAsia="en-GB"/>
        </w:rPr>
        <w:t>Meter Operator Agent (</w:t>
      </w:r>
      <w:r>
        <w:rPr>
          <w:lang w:eastAsia="en-GB"/>
        </w:rPr>
        <w:t>MOA</w:t>
      </w:r>
      <w:r w:rsidR="004E5EB7">
        <w:rPr>
          <w:lang w:eastAsia="en-GB"/>
        </w:rPr>
        <w:t>)</w:t>
      </w:r>
      <w:r>
        <w:rPr>
          <w:lang w:eastAsia="en-GB"/>
        </w:rPr>
        <w:t xml:space="preserve"> and </w:t>
      </w:r>
      <w:r w:rsidR="004E5EB7">
        <w:rPr>
          <w:lang w:eastAsia="en-GB"/>
        </w:rPr>
        <w:t>Data Collector (</w:t>
      </w:r>
      <w:r>
        <w:rPr>
          <w:lang w:eastAsia="en-GB"/>
        </w:rPr>
        <w:t>DC</w:t>
      </w:r>
      <w:r w:rsidR="004E5EB7">
        <w:rPr>
          <w:lang w:eastAsia="en-GB"/>
        </w:rPr>
        <w:t>)</w:t>
      </w:r>
      <w:r>
        <w:rPr>
          <w:lang w:eastAsia="en-GB"/>
        </w:rPr>
        <w:t>. This is a requirement under the current process but the Workgroup noted that this may</w:t>
      </w:r>
      <w:r w:rsidR="00635800">
        <w:rPr>
          <w:lang w:eastAsia="en-GB"/>
        </w:rPr>
        <w:t xml:space="preserve"> be</w:t>
      </w:r>
      <w:r>
        <w:rPr>
          <w:lang w:eastAsia="en-GB"/>
        </w:rPr>
        <w:t xml:space="preserve"> </w:t>
      </w:r>
      <w:r w:rsidR="00C60851">
        <w:rPr>
          <w:lang w:eastAsia="en-GB"/>
        </w:rPr>
        <w:t>too onerous</w:t>
      </w:r>
      <w:r>
        <w:rPr>
          <w:lang w:eastAsia="en-GB"/>
        </w:rPr>
        <w:t xml:space="preserve"> for </w:t>
      </w:r>
      <w:r w:rsidR="00C60851">
        <w:rPr>
          <w:lang w:eastAsia="en-GB"/>
        </w:rPr>
        <w:t>o</w:t>
      </w:r>
      <w:r>
        <w:rPr>
          <w:lang w:eastAsia="en-GB"/>
        </w:rPr>
        <w:t xml:space="preserve">perational </w:t>
      </w:r>
      <w:r w:rsidR="00C60851">
        <w:rPr>
          <w:lang w:eastAsia="en-GB"/>
        </w:rPr>
        <w:t>m</w:t>
      </w:r>
      <w:r>
        <w:rPr>
          <w:lang w:eastAsia="en-GB"/>
        </w:rPr>
        <w:t xml:space="preserve">etering. There is already a complex process to ensure seamless data transfer and switching on the </w:t>
      </w:r>
      <w:r w:rsidR="00C60851">
        <w:rPr>
          <w:lang w:eastAsia="en-GB"/>
        </w:rPr>
        <w:t>Data Transfer Network (</w:t>
      </w:r>
      <w:r>
        <w:rPr>
          <w:lang w:eastAsia="en-GB"/>
        </w:rPr>
        <w:t>DTN</w:t>
      </w:r>
      <w:r w:rsidR="00C60851">
        <w:rPr>
          <w:lang w:eastAsia="en-GB"/>
        </w:rPr>
        <w:t>)</w:t>
      </w:r>
      <w:r>
        <w:rPr>
          <w:lang w:eastAsia="en-GB"/>
        </w:rPr>
        <w:t>. It was noted that some features of the DTN are a good match for</w:t>
      </w:r>
      <w:r w:rsidR="00C60851">
        <w:rPr>
          <w:lang w:eastAsia="en-GB"/>
        </w:rPr>
        <w:t xml:space="preserve"> possible new pseudo-MPAN flows</w:t>
      </w:r>
      <w:r>
        <w:rPr>
          <w:lang w:eastAsia="en-GB"/>
        </w:rPr>
        <w:t>.</w:t>
      </w:r>
    </w:p>
    <w:p w14:paraId="7845451F" w14:textId="73B14D7C" w:rsidR="00C60851" w:rsidRDefault="00C60851" w:rsidP="00C60851">
      <w:pPr>
        <w:pStyle w:val="BodyText"/>
        <w:rPr>
          <w:lang w:eastAsia="en-GB"/>
        </w:rPr>
      </w:pPr>
      <w:r>
        <w:rPr>
          <w:lang w:eastAsia="en-GB"/>
        </w:rPr>
        <w:t xml:space="preserve">The Workgroup agreed that although the DNO was responsible for identifying </w:t>
      </w:r>
      <w:r w:rsidR="00635800">
        <w:rPr>
          <w:lang w:eastAsia="en-GB"/>
        </w:rPr>
        <w:t>B</w:t>
      </w:r>
      <w:r>
        <w:rPr>
          <w:lang w:eastAsia="en-GB"/>
        </w:rPr>
        <w:t xml:space="preserve">oundary </w:t>
      </w:r>
      <w:r w:rsidR="00635800">
        <w:rPr>
          <w:lang w:eastAsia="en-GB"/>
        </w:rPr>
        <w:t>M</w:t>
      </w:r>
      <w:r>
        <w:rPr>
          <w:lang w:eastAsia="en-GB"/>
        </w:rPr>
        <w:t xml:space="preserve">etering, this is not a good match for the P375 solution, as they would have no involvement behind the </w:t>
      </w:r>
      <w:r w:rsidR="00635800">
        <w:rPr>
          <w:lang w:eastAsia="en-GB"/>
        </w:rPr>
        <w:t>B</w:t>
      </w:r>
      <w:r>
        <w:rPr>
          <w:lang w:eastAsia="en-GB"/>
        </w:rPr>
        <w:t xml:space="preserve">oundary </w:t>
      </w:r>
      <w:r w:rsidR="00635800">
        <w:rPr>
          <w:lang w:eastAsia="en-GB"/>
        </w:rPr>
        <w:t>M</w:t>
      </w:r>
      <w:r>
        <w:rPr>
          <w:lang w:eastAsia="en-GB"/>
        </w:rPr>
        <w:t>eter, as this would be between</w:t>
      </w:r>
      <w:r w:rsidR="00635800">
        <w:rPr>
          <w:lang w:eastAsia="en-GB"/>
        </w:rPr>
        <w:t xml:space="preserve"> the</w:t>
      </w:r>
      <w:r>
        <w:rPr>
          <w:lang w:eastAsia="en-GB"/>
        </w:rPr>
        <w:t xml:space="preserve"> customer and </w:t>
      </w:r>
      <w:r w:rsidR="00635800">
        <w:rPr>
          <w:lang w:eastAsia="en-GB"/>
        </w:rPr>
        <w:t xml:space="preserve">the </w:t>
      </w:r>
      <w:r>
        <w:rPr>
          <w:lang w:eastAsia="en-GB"/>
        </w:rPr>
        <w:t>VLP. A question arose around the anticipated split between DSO and DNO</w:t>
      </w:r>
      <w:r w:rsidR="00635800">
        <w:rPr>
          <w:lang w:eastAsia="en-GB"/>
        </w:rPr>
        <w:t xml:space="preserve">. </w:t>
      </w:r>
      <w:r>
        <w:rPr>
          <w:lang w:eastAsia="en-GB"/>
        </w:rPr>
        <w:t xml:space="preserve"> DNOs do not currently actively manage their networks, and the P375 solution shouldn’t limit the potential for DSOs to actively manage</w:t>
      </w:r>
      <w:r w:rsidR="00635800">
        <w:rPr>
          <w:lang w:eastAsia="en-GB"/>
        </w:rPr>
        <w:t xml:space="preserve"> their</w:t>
      </w:r>
      <w:r>
        <w:rPr>
          <w:lang w:eastAsia="en-GB"/>
        </w:rPr>
        <w:t xml:space="preserve"> network.</w:t>
      </w:r>
    </w:p>
    <w:p w14:paraId="1479C035" w14:textId="550F5B2C" w:rsidR="00040A23" w:rsidRDefault="00040A23" w:rsidP="00040A23">
      <w:pPr>
        <w:pStyle w:val="BodyText"/>
        <w:rPr>
          <w:lang w:eastAsia="en-GB"/>
        </w:rPr>
      </w:pPr>
      <w:r>
        <w:rPr>
          <w:lang w:eastAsia="en-GB"/>
        </w:rPr>
        <w:t xml:space="preserve">The Workgroup discussed the need to link the </w:t>
      </w:r>
      <w:r w:rsidR="00C60851">
        <w:rPr>
          <w:lang w:eastAsia="en-GB"/>
        </w:rPr>
        <w:t>operational</w:t>
      </w:r>
      <w:r>
        <w:rPr>
          <w:lang w:eastAsia="en-GB"/>
        </w:rPr>
        <w:t xml:space="preserve"> metering to the </w:t>
      </w:r>
      <w:r w:rsidR="00C60851">
        <w:rPr>
          <w:lang w:eastAsia="en-GB"/>
        </w:rPr>
        <w:t>b</w:t>
      </w:r>
      <w:r>
        <w:rPr>
          <w:lang w:eastAsia="en-GB"/>
        </w:rPr>
        <w:t>oundary metering for the purposes</w:t>
      </w:r>
      <w:r w:rsidR="00C60851">
        <w:rPr>
          <w:lang w:eastAsia="en-GB"/>
        </w:rPr>
        <w:t xml:space="preserve"> of being able to adjust metered volumes</w:t>
      </w:r>
      <w:r>
        <w:rPr>
          <w:lang w:eastAsia="en-GB"/>
        </w:rPr>
        <w:t xml:space="preserve">. It noted that there </w:t>
      </w:r>
      <w:r w:rsidR="003A6BD3">
        <w:rPr>
          <w:lang w:eastAsia="en-GB"/>
        </w:rPr>
        <w:t>were other</w:t>
      </w:r>
      <w:r>
        <w:rPr>
          <w:lang w:eastAsia="en-GB"/>
        </w:rPr>
        <w:t xml:space="preserve"> </w:t>
      </w:r>
      <w:r w:rsidR="003A6BD3">
        <w:rPr>
          <w:lang w:eastAsia="en-GB"/>
        </w:rPr>
        <w:t>i</w:t>
      </w:r>
      <w:r>
        <w:rPr>
          <w:lang w:eastAsia="en-GB"/>
        </w:rPr>
        <w:t xml:space="preserve">ndustry </w:t>
      </w:r>
      <w:r w:rsidR="003A6BD3">
        <w:rPr>
          <w:lang w:eastAsia="en-GB"/>
        </w:rPr>
        <w:t>projects that may require th</w:t>
      </w:r>
      <w:r>
        <w:rPr>
          <w:lang w:eastAsia="en-GB"/>
        </w:rPr>
        <w:t xml:space="preserve">e installation of </w:t>
      </w:r>
      <w:r w:rsidR="00023814">
        <w:rPr>
          <w:lang w:eastAsia="en-GB"/>
        </w:rPr>
        <w:t>o</w:t>
      </w:r>
      <w:r>
        <w:rPr>
          <w:lang w:eastAsia="en-GB"/>
        </w:rPr>
        <w:t xml:space="preserve">perational </w:t>
      </w:r>
      <w:r w:rsidR="00023814">
        <w:rPr>
          <w:lang w:eastAsia="en-GB"/>
        </w:rPr>
        <w:t>m</w:t>
      </w:r>
      <w:r>
        <w:rPr>
          <w:lang w:eastAsia="en-GB"/>
        </w:rPr>
        <w:t>etering</w:t>
      </w:r>
      <w:r w:rsidR="00183C5E">
        <w:rPr>
          <w:lang w:eastAsia="en-GB"/>
        </w:rPr>
        <w:t xml:space="preserve">. The Workgroup particularly noted the </w:t>
      </w:r>
      <w:r>
        <w:rPr>
          <w:lang w:eastAsia="en-GB"/>
        </w:rPr>
        <w:t>Targeted Charging Review (TCR), CUSC Mod</w:t>
      </w:r>
      <w:r w:rsidR="00183C5E">
        <w:rPr>
          <w:lang w:eastAsia="en-GB"/>
        </w:rPr>
        <w:t>ifications</w:t>
      </w:r>
      <w:r>
        <w:rPr>
          <w:lang w:eastAsia="en-GB"/>
        </w:rPr>
        <w:t xml:space="preserve"> CMP280/281, Final Consumption Levy, Multiple Suppliers P379, Electric Vehicles and domestic battery solutions. Although it was deemed outside the scope of this Modification by this Workgroup</w:t>
      </w:r>
      <w:r w:rsidR="00183C5E">
        <w:rPr>
          <w:lang w:eastAsia="en-GB"/>
        </w:rPr>
        <w:t xml:space="preserve">, </w:t>
      </w:r>
      <w:r>
        <w:rPr>
          <w:lang w:eastAsia="en-GB"/>
        </w:rPr>
        <w:t xml:space="preserve">they should be taken into account to avoid creating unintentional blockers and to ensure everything was heading in the same direction. For example when registering a </w:t>
      </w:r>
      <w:r w:rsidR="00183C5E">
        <w:rPr>
          <w:lang w:eastAsia="en-GB"/>
        </w:rPr>
        <w:t>M</w:t>
      </w:r>
      <w:r>
        <w:rPr>
          <w:lang w:eastAsia="en-GB"/>
        </w:rPr>
        <w:t>eter, information could also be voluntary provided in relation to the asset such as EV, Storage.</w:t>
      </w:r>
    </w:p>
    <w:p w14:paraId="1DCF742B" w14:textId="71F9165F" w:rsidR="00040A23" w:rsidRDefault="00183C5E" w:rsidP="00040A23">
      <w:pPr>
        <w:pStyle w:val="BodyText"/>
        <w:rPr>
          <w:lang w:eastAsia="en-GB"/>
        </w:rPr>
      </w:pPr>
      <w:r>
        <w:rPr>
          <w:lang w:eastAsia="en-GB"/>
        </w:rPr>
        <w:t>The Workgroup considered who could</w:t>
      </w:r>
      <w:r w:rsidR="00040A23">
        <w:rPr>
          <w:lang w:eastAsia="en-GB"/>
        </w:rPr>
        <w:t xml:space="preserve"> create and maintain this new </w:t>
      </w:r>
      <w:r>
        <w:rPr>
          <w:lang w:eastAsia="en-GB"/>
        </w:rPr>
        <w:t xml:space="preserve">register of operational </w:t>
      </w:r>
      <w:r w:rsidR="00023814">
        <w:rPr>
          <w:lang w:eastAsia="en-GB"/>
        </w:rPr>
        <w:t>m</w:t>
      </w:r>
      <w:r>
        <w:rPr>
          <w:lang w:eastAsia="en-GB"/>
        </w:rPr>
        <w:t>eters</w:t>
      </w:r>
      <w:r w:rsidR="00040A23">
        <w:rPr>
          <w:lang w:eastAsia="en-GB"/>
        </w:rPr>
        <w:t>. It could be the VLPs</w:t>
      </w:r>
      <w:r>
        <w:rPr>
          <w:lang w:eastAsia="en-GB"/>
        </w:rPr>
        <w:t>,</w:t>
      </w:r>
      <w:r w:rsidR="00040A23">
        <w:rPr>
          <w:lang w:eastAsia="en-GB"/>
        </w:rPr>
        <w:t xml:space="preserve"> DCs, or </w:t>
      </w:r>
      <w:r>
        <w:rPr>
          <w:lang w:eastAsia="en-GB"/>
        </w:rPr>
        <w:t>the Supplier Volume Allocation Agent (</w:t>
      </w:r>
      <w:r w:rsidR="00040A23">
        <w:rPr>
          <w:lang w:eastAsia="en-GB"/>
        </w:rPr>
        <w:t>SVAA</w:t>
      </w:r>
      <w:r>
        <w:rPr>
          <w:lang w:eastAsia="en-GB"/>
        </w:rPr>
        <w:t>)</w:t>
      </w:r>
      <w:r w:rsidR="00040A23">
        <w:rPr>
          <w:lang w:eastAsia="en-GB"/>
        </w:rPr>
        <w:t xml:space="preserve"> or </w:t>
      </w:r>
      <w:r>
        <w:rPr>
          <w:lang w:eastAsia="en-GB"/>
        </w:rPr>
        <w:t>ESO</w:t>
      </w:r>
      <w:r w:rsidR="00040A23">
        <w:rPr>
          <w:lang w:eastAsia="en-GB"/>
        </w:rPr>
        <w:t xml:space="preserve">. </w:t>
      </w:r>
      <w:r>
        <w:rPr>
          <w:lang w:eastAsia="en-GB"/>
        </w:rPr>
        <w:t>The Workgroup agreed that</w:t>
      </w:r>
      <w:r w:rsidR="00040A23">
        <w:rPr>
          <w:lang w:eastAsia="en-GB"/>
        </w:rPr>
        <w:t xml:space="preserve"> SVAA </w:t>
      </w:r>
      <w:r>
        <w:rPr>
          <w:lang w:eastAsia="en-GB"/>
        </w:rPr>
        <w:t>was best placed to do this</w:t>
      </w:r>
      <w:r w:rsidR="00B75DC1">
        <w:rPr>
          <w:lang w:eastAsia="en-GB"/>
        </w:rPr>
        <w:t xml:space="preserve"> as there was already a well-established registration system in place</w:t>
      </w:r>
      <w:r w:rsidR="00040A23">
        <w:rPr>
          <w:lang w:eastAsia="en-GB"/>
        </w:rPr>
        <w:t xml:space="preserve">. It was agreed that a qualified MOA should install and maintain the </w:t>
      </w:r>
      <w:r w:rsidR="00023814">
        <w:rPr>
          <w:lang w:eastAsia="en-GB"/>
        </w:rPr>
        <w:t>m</w:t>
      </w:r>
      <w:r w:rsidR="00040A23">
        <w:rPr>
          <w:lang w:eastAsia="en-GB"/>
        </w:rPr>
        <w:t xml:space="preserve">eters, but that this could be a different MOA to the one appointed to the </w:t>
      </w:r>
      <w:r w:rsidR="00023814">
        <w:rPr>
          <w:lang w:eastAsia="en-GB"/>
        </w:rPr>
        <w:t>B</w:t>
      </w:r>
      <w:r w:rsidR="00040A23">
        <w:rPr>
          <w:lang w:eastAsia="en-GB"/>
        </w:rPr>
        <w:t>oundary Meter.</w:t>
      </w:r>
    </w:p>
    <w:p w14:paraId="3AA850F7" w14:textId="5038328D" w:rsidR="00040A23" w:rsidRDefault="00040A23" w:rsidP="00040A23">
      <w:pPr>
        <w:pStyle w:val="BodyText"/>
        <w:rPr>
          <w:lang w:eastAsia="en-GB"/>
        </w:rPr>
      </w:pPr>
      <w:r>
        <w:rPr>
          <w:lang w:eastAsia="en-GB"/>
        </w:rPr>
        <w:t xml:space="preserve">It was discussed </w:t>
      </w:r>
      <w:r w:rsidR="00023814">
        <w:rPr>
          <w:lang w:eastAsia="en-GB"/>
        </w:rPr>
        <w:t>what data should be proved and how, between the</w:t>
      </w:r>
      <w:r>
        <w:rPr>
          <w:lang w:eastAsia="en-GB"/>
        </w:rPr>
        <w:t xml:space="preserve"> VLPs </w:t>
      </w:r>
      <w:r w:rsidR="00023814">
        <w:rPr>
          <w:lang w:eastAsia="en-GB"/>
        </w:rPr>
        <w:t>and</w:t>
      </w:r>
      <w:r>
        <w:rPr>
          <w:lang w:eastAsia="en-GB"/>
        </w:rPr>
        <w:t xml:space="preserve"> the SVAA </w:t>
      </w:r>
      <w:r w:rsidR="00023814">
        <w:rPr>
          <w:lang w:eastAsia="en-GB"/>
        </w:rPr>
        <w:t>for</w:t>
      </w:r>
      <w:r>
        <w:rPr>
          <w:lang w:eastAsia="en-GB"/>
        </w:rPr>
        <w:t xml:space="preserve"> both the site and asset</w:t>
      </w:r>
      <w:r w:rsidR="00183C5E">
        <w:rPr>
          <w:lang w:eastAsia="en-GB"/>
        </w:rPr>
        <w:t xml:space="preserve">. </w:t>
      </w:r>
      <w:r w:rsidR="00743479">
        <w:rPr>
          <w:lang w:eastAsia="en-GB"/>
        </w:rPr>
        <w:t>It should</w:t>
      </w:r>
      <w:r w:rsidR="00183C5E">
        <w:rPr>
          <w:lang w:eastAsia="en-GB"/>
        </w:rPr>
        <w:t xml:space="preserve"> include</w:t>
      </w:r>
      <w:r>
        <w:rPr>
          <w:lang w:eastAsia="en-GB"/>
        </w:rPr>
        <w:t xml:space="preserve"> what voltage the operational meter </w:t>
      </w:r>
      <w:r w:rsidR="00183C5E">
        <w:rPr>
          <w:lang w:eastAsia="en-GB"/>
        </w:rPr>
        <w:t>was</w:t>
      </w:r>
      <w:r>
        <w:rPr>
          <w:lang w:eastAsia="en-GB"/>
        </w:rPr>
        <w:t xml:space="preserve"> connected at (to be able to apply a line loss </w:t>
      </w:r>
      <w:r w:rsidR="00743479">
        <w:rPr>
          <w:lang w:eastAsia="en-GB"/>
        </w:rPr>
        <w:t>factor</w:t>
      </w:r>
      <w:r>
        <w:rPr>
          <w:lang w:eastAsia="en-GB"/>
        </w:rPr>
        <w:t>)</w:t>
      </w:r>
      <w:r w:rsidR="00743479">
        <w:rPr>
          <w:lang w:eastAsia="en-GB"/>
        </w:rPr>
        <w:t>, as well as the Boundary Meter MSID and the asset MSID</w:t>
      </w:r>
      <w:r>
        <w:rPr>
          <w:lang w:eastAsia="en-GB"/>
        </w:rPr>
        <w:t>.</w:t>
      </w:r>
      <w:r w:rsidRPr="005F0D41">
        <w:rPr>
          <w:lang w:eastAsia="en-GB"/>
        </w:rPr>
        <w:t xml:space="preserve"> </w:t>
      </w:r>
      <w:r>
        <w:rPr>
          <w:lang w:eastAsia="en-GB"/>
        </w:rPr>
        <w:t xml:space="preserve">The </w:t>
      </w:r>
      <w:r w:rsidR="00A9729A">
        <w:rPr>
          <w:lang w:eastAsia="en-GB"/>
        </w:rPr>
        <w:t>VLP</w:t>
      </w:r>
      <w:r>
        <w:rPr>
          <w:lang w:eastAsia="en-GB"/>
        </w:rPr>
        <w:t xml:space="preserve"> would need to provide information and data about the site for assurance for example site schematics/line diagrams. Questions arose whether this was a one off process or</w:t>
      </w:r>
      <w:r w:rsidR="00A9729A">
        <w:rPr>
          <w:lang w:eastAsia="en-GB"/>
        </w:rPr>
        <w:t xml:space="preserve"> whether this should be periodically confirmed to provide continued assurance.</w:t>
      </w:r>
      <w:r>
        <w:rPr>
          <w:lang w:eastAsia="en-GB"/>
        </w:rPr>
        <w:t xml:space="preserve"> It was noted that </w:t>
      </w:r>
      <w:r w:rsidR="003F6936">
        <w:rPr>
          <w:lang w:eastAsia="en-GB"/>
        </w:rPr>
        <w:t xml:space="preserve">ELEXON had developed a </w:t>
      </w:r>
      <w:r w:rsidR="00A9729A">
        <w:rPr>
          <w:lang w:eastAsia="en-GB"/>
        </w:rPr>
        <w:t>Self-S</w:t>
      </w:r>
      <w:r>
        <w:rPr>
          <w:lang w:eastAsia="en-GB"/>
        </w:rPr>
        <w:t xml:space="preserve">ervice </w:t>
      </w:r>
      <w:r w:rsidR="00A9729A">
        <w:rPr>
          <w:lang w:eastAsia="en-GB"/>
        </w:rPr>
        <w:t>Gateway</w:t>
      </w:r>
      <w:r>
        <w:rPr>
          <w:lang w:eastAsia="en-GB"/>
        </w:rPr>
        <w:t xml:space="preserve"> </w:t>
      </w:r>
      <w:r w:rsidR="003F6936">
        <w:rPr>
          <w:lang w:eastAsia="en-GB"/>
        </w:rPr>
        <w:t>under its Foundation Programme, and that</w:t>
      </w:r>
      <w:r>
        <w:rPr>
          <w:lang w:eastAsia="en-GB"/>
        </w:rPr>
        <w:t xml:space="preserve"> the creation of new pseudo MPANs </w:t>
      </w:r>
      <w:r w:rsidR="00743479">
        <w:rPr>
          <w:lang w:eastAsia="en-GB"/>
        </w:rPr>
        <w:t xml:space="preserve">could </w:t>
      </w:r>
      <w:r w:rsidR="00A9729A">
        <w:rPr>
          <w:lang w:eastAsia="en-GB"/>
        </w:rPr>
        <w:t>be managed through this</w:t>
      </w:r>
      <w:r>
        <w:rPr>
          <w:lang w:eastAsia="en-GB"/>
        </w:rPr>
        <w:t>.</w:t>
      </w:r>
      <w:r w:rsidRPr="00F96077">
        <w:rPr>
          <w:lang w:eastAsia="en-GB"/>
        </w:rPr>
        <w:t xml:space="preserve"> </w:t>
      </w:r>
    </w:p>
    <w:p w14:paraId="6636E82C" w14:textId="4C673DCE" w:rsidR="00040A23" w:rsidRDefault="00040A23" w:rsidP="00040A23">
      <w:pPr>
        <w:pStyle w:val="BodyText"/>
        <w:rPr>
          <w:lang w:eastAsia="en-GB"/>
        </w:rPr>
      </w:pPr>
      <w:r>
        <w:rPr>
          <w:lang w:eastAsia="en-GB"/>
        </w:rPr>
        <w:t xml:space="preserve">The </w:t>
      </w:r>
      <w:r w:rsidR="003F6936">
        <w:rPr>
          <w:lang w:eastAsia="en-GB"/>
        </w:rPr>
        <w:t>W</w:t>
      </w:r>
      <w:r>
        <w:rPr>
          <w:lang w:eastAsia="en-GB"/>
        </w:rPr>
        <w:t>orkgroup identified that P375 relate</w:t>
      </w:r>
      <w:r w:rsidR="003F6936">
        <w:rPr>
          <w:lang w:eastAsia="en-GB"/>
        </w:rPr>
        <w:t>d</w:t>
      </w:r>
      <w:r>
        <w:rPr>
          <w:lang w:eastAsia="en-GB"/>
        </w:rPr>
        <w:t xml:space="preserve"> to secondary BM</w:t>
      </w:r>
      <w:r w:rsidR="003F6936">
        <w:rPr>
          <w:lang w:eastAsia="en-GB"/>
        </w:rPr>
        <w:t xml:space="preserve"> </w:t>
      </w:r>
      <w:r>
        <w:rPr>
          <w:lang w:eastAsia="en-GB"/>
        </w:rPr>
        <w:t>U</w:t>
      </w:r>
      <w:r w:rsidR="003F6936">
        <w:rPr>
          <w:lang w:eastAsia="en-GB"/>
        </w:rPr>
        <w:t>nits which</w:t>
      </w:r>
      <w:r>
        <w:rPr>
          <w:lang w:eastAsia="en-GB"/>
        </w:rPr>
        <w:t xml:space="preserve"> </w:t>
      </w:r>
      <w:r w:rsidR="003F6936">
        <w:rPr>
          <w:lang w:eastAsia="en-GB"/>
        </w:rPr>
        <w:t>were</w:t>
      </w:r>
      <w:r>
        <w:rPr>
          <w:lang w:eastAsia="en-GB"/>
        </w:rPr>
        <w:t xml:space="preserve"> not liable for credited energy. For example </w:t>
      </w:r>
      <w:r w:rsidR="003F6936">
        <w:rPr>
          <w:lang w:eastAsia="en-GB"/>
        </w:rPr>
        <w:t>o</w:t>
      </w:r>
      <w:r>
        <w:rPr>
          <w:lang w:eastAsia="en-GB"/>
        </w:rPr>
        <w:t xml:space="preserve">perational </w:t>
      </w:r>
      <w:r w:rsidR="00743479">
        <w:rPr>
          <w:lang w:eastAsia="en-GB"/>
        </w:rPr>
        <w:t>m</w:t>
      </w:r>
      <w:r>
        <w:rPr>
          <w:lang w:eastAsia="en-GB"/>
        </w:rPr>
        <w:t>etering could not be used within a Supplier BM</w:t>
      </w:r>
      <w:r w:rsidR="003F6936">
        <w:rPr>
          <w:lang w:eastAsia="en-GB"/>
        </w:rPr>
        <w:t xml:space="preserve"> </w:t>
      </w:r>
      <w:r>
        <w:rPr>
          <w:lang w:eastAsia="en-GB"/>
        </w:rPr>
        <w:t>U</w:t>
      </w:r>
      <w:r w:rsidR="003F6936">
        <w:rPr>
          <w:lang w:eastAsia="en-GB"/>
        </w:rPr>
        <w:t>nit</w:t>
      </w:r>
      <w:r>
        <w:rPr>
          <w:lang w:eastAsia="en-GB"/>
        </w:rPr>
        <w:t xml:space="preserve">. Checks would need to be put in place to avoid a situation where two VLPs try to </w:t>
      </w:r>
      <w:r w:rsidR="003F6936">
        <w:rPr>
          <w:lang w:eastAsia="en-GB"/>
        </w:rPr>
        <w:t>register</w:t>
      </w:r>
      <w:r>
        <w:rPr>
          <w:lang w:eastAsia="en-GB"/>
        </w:rPr>
        <w:t xml:space="preserve"> the same </w:t>
      </w:r>
      <w:r w:rsidR="003F6936">
        <w:rPr>
          <w:lang w:eastAsia="en-GB"/>
        </w:rPr>
        <w:t>o</w:t>
      </w:r>
      <w:r>
        <w:rPr>
          <w:lang w:eastAsia="en-GB"/>
        </w:rPr>
        <w:t xml:space="preserve">perational </w:t>
      </w:r>
      <w:r w:rsidR="00743479">
        <w:rPr>
          <w:lang w:eastAsia="en-GB"/>
        </w:rPr>
        <w:t>m</w:t>
      </w:r>
      <w:r>
        <w:rPr>
          <w:lang w:eastAsia="en-GB"/>
        </w:rPr>
        <w:t>eter into their own Secondary BM</w:t>
      </w:r>
      <w:r w:rsidR="003F6936">
        <w:rPr>
          <w:lang w:eastAsia="en-GB"/>
        </w:rPr>
        <w:t xml:space="preserve"> </w:t>
      </w:r>
      <w:r>
        <w:rPr>
          <w:lang w:eastAsia="en-GB"/>
        </w:rPr>
        <w:t>U</w:t>
      </w:r>
      <w:r w:rsidR="003F6936">
        <w:rPr>
          <w:lang w:eastAsia="en-GB"/>
        </w:rPr>
        <w:t>nit</w:t>
      </w:r>
      <w:r>
        <w:rPr>
          <w:lang w:eastAsia="en-GB"/>
        </w:rPr>
        <w:t>.</w:t>
      </w:r>
    </w:p>
    <w:p w14:paraId="6375D505" w14:textId="77777777" w:rsidR="003A6BD3" w:rsidRDefault="003F6936" w:rsidP="003A6BD3">
      <w:pPr>
        <w:pStyle w:val="BodyText"/>
        <w:rPr>
          <w:lang w:eastAsia="en-GB"/>
        </w:rPr>
      </w:pPr>
      <w:r>
        <w:rPr>
          <w:lang w:eastAsia="en-GB"/>
        </w:rPr>
        <w:t>The Proposer asked the commercial relationship between VLPs and Suppliers and noted that sometimes there can be commercial tension or commercial opportunity between supplier and VLP, but that the site owner/operator/manager is best placed to give/have authority on metering appointing MOAs and balancing decisions, and whether the VLP needs to let supplier know.</w:t>
      </w:r>
    </w:p>
    <w:p w14:paraId="3A7A1661" w14:textId="77777777" w:rsidR="003F6936" w:rsidRDefault="003F6936" w:rsidP="003F6936">
      <w:pPr>
        <w:pStyle w:val="BodyText"/>
        <w:rPr>
          <w:lang w:eastAsia="en-GB"/>
        </w:rPr>
      </w:pPr>
      <w:r>
        <w:rPr>
          <w:lang w:eastAsia="en-GB"/>
        </w:rPr>
        <w:t xml:space="preserve">The Workgroup agreed that domestic sites were out of scope for now but that any solution should not hinder or block operational metering on domestic sites through the implementation of P375. It was agreed that they can have separate standards, but that would need to be justified. </w:t>
      </w:r>
    </w:p>
    <w:p w14:paraId="78B960D9" w14:textId="77777777" w:rsidR="00743479" w:rsidRDefault="003F6936" w:rsidP="003F6936">
      <w:pPr>
        <w:pStyle w:val="BodyText"/>
        <w:rPr>
          <w:lang w:eastAsia="en-GB"/>
        </w:rPr>
      </w:pPr>
      <w:r>
        <w:rPr>
          <w:lang w:eastAsia="en-GB"/>
        </w:rPr>
        <w:lastRenderedPageBreak/>
        <w:t>The Workgroup discussed whether the VLP would create the new pseudo-MPAN, and whether the pseudo MPAN should remain linked to the asset if a new VLP took responsibility</w:t>
      </w:r>
      <w:r w:rsidR="00743479">
        <w:rPr>
          <w:lang w:eastAsia="en-GB"/>
        </w:rPr>
        <w:t>.</w:t>
      </w:r>
      <w:r>
        <w:rPr>
          <w:lang w:eastAsia="en-GB"/>
        </w:rPr>
        <w:t xml:space="preserve"> A Workgroup Member noted VLPs don’t have MPIDs, and would need one to access DTN.</w:t>
      </w:r>
      <w:r w:rsidRPr="002915B9">
        <w:rPr>
          <w:lang w:eastAsia="en-GB"/>
        </w:rPr>
        <w:t xml:space="preserve"> </w:t>
      </w:r>
    </w:p>
    <w:p w14:paraId="7AC56E52" w14:textId="2FBAF65B" w:rsidR="003F6936" w:rsidRDefault="00743479" w:rsidP="003F6936">
      <w:pPr>
        <w:pStyle w:val="BodyText"/>
        <w:rPr>
          <w:lang w:eastAsia="en-GB"/>
        </w:rPr>
      </w:pPr>
      <w:r>
        <w:rPr>
          <w:lang w:eastAsia="en-GB"/>
        </w:rPr>
        <w:t>Further, it</w:t>
      </w:r>
      <w:r w:rsidR="003F6936">
        <w:rPr>
          <w:lang w:eastAsia="en-GB"/>
        </w:rPr>
        <w:t xml:space="preserve"> was identified that the key difference between pseudo and normal MPAN is that the normal MPAN needs to be continually ‘involved’, recording energy use for each half hour all the time. </w:t>
      </w:r>
    </w:p>
    <w:p w14:paraId="03264BFC" w14:textId="77777777" w:rsidR="00B852BF" w:rsidRDefault="00040A23" w:rsidP="00040A23">
      <w:pPr>
        <w:pStyle w:val="BodyText"/>
        <w:rPr>
          <w:lang w:eastAsia="en-GB"/>
        </w:rPr>
      </w:pPr>
      <w:r>
        <w:rPr>
          <w:lang w:eastAsia="en-GB"/>
        </w:rPr>
        <w:t>The Workgroup discussed whether pseudo-MPANs need to be 13 digit codes, can anything be done to link to them to the MPAN permanently. This is so the pseudo-</w:t>
      </w:r>
      <w:r w:rsidR="00466CAF">
        <w:rPr>
          <w:lang w:eastAsia="en-GB"/>
        </w:rPr>
        <w:t>MPANs do migrate across with a C</w:t>
      </w:r>
      <w:r>
        <w:rPr>
          <w:lang w:eastAsia="en-GB"/>
        </w:rPr>
        <w:t xml:space="preserve">hange of </w:t>
      </w:r>
      <w:r w:rsidR="00466CAF">
        <w:rPr>
          <w:lang w:eastAsia="en-GB"/>
        </w:rPr>
        <w:t>S</w:t>
      </w:r>
      <w:r>
        <w:rPr>
          <w:lang w:eastAsia="en-GB"/>
        </w:rPr>
        <w:t xml:space="preserve">upplier at the boundary point and change of VLP control of the asset. It is possible that a repurpose of the </w:t>
      </w:r>
      <w:r w:rsidR="00466CAF">
        <w:rPr>
          <w:lang w:eastAsia="en-GB"/>
        </w:rPr>
        <w:t>C</w:t>
      </w:r>
      <w:r>
        <w:rPr>
          <w:lang w:eastAsia="en-GB"/>
        </w:rPr>
        <w:t xml:space="preserve">hange of </w:t>
      </w:r>
      <w:r w:rsidR="00466CAF">
        <w:rPr>
          <w:lang w:eastAsia="en-GB"/>
        </w:rPr>
        <w:t>S</w:t>
      </w:r>
      <w:r>
        <w:rPr>
          <w:lang w:eastAsia="en-GB"/>
        </w:rPr>
        <w:t xml:space="preserve">upplier flow using the DTN could be used. There is a possibility of the DTN getting snarled up due to </w:t>
      </w:r>
      <w:proofErr w:type="gramStart"/>
      <w:r>
        <w:rPr>
          <w:lang w:eastAsia="en-GB"/>
        </w:rPr>
        <w:t>a dis</w:t>
      </w:r>
      <w:r w:rsidR="00466CAF">
        <w:rPr>
          <w:lang w:eastAsia="en-GB"/>
        </w:rPr>
        <w:t>connect</w:t>
      </w:r>
      <w:proofErr w:type="gramEnd"/>
      <w:r w:rsidR="00466CAF">
        <w:rPr>
          <w:lang w:eastAsia="en-GB"/>
        </w:rPr>
        <w:t xml:space="preserve"> between the pseudo and S</w:t>
      </w:r>
      <w:r>
        <w:rPr>
          <w:lang w:eastAsia="en-GB"/>
        </w:rPr>
        <w:t xml:space="preserve">upplier MPAN. </w:t>
      </w:r>
    </w:p>
    <w:p w14:paraId="6F3DB053" w14:textId="77777777" w:rsidR="00040A23" w:rsidRDefault="00040A23" w:rsidP="00040A23">
      <w:pPr>
        <w:pStyle w:val="BodyText"/>
        <w:rPr>
          <w:lang w:eastAsia="en-GB"/>
        </w:rPr>
      </w:pPr>
      <w:r>
        <w:rPr>
          <w:lang w:eastAsia="en-GB"/>
        </w:rPr>
        <w:t>The Workgroup discussed whether the registration system is visible to the DNOs.</w:t>
      </w:r>
      <w:r w:rsidRPr="00AF4660">
        <w:rPr>
          <w:lang w:eastAsia="en-GB"/>
        </w:rPr>
        <w:t xml:space="preserve"> </w:t>
      </w:r>
      <w:r w:rsidR="00466CAF">
        <w:rPr>
          <w:lang w:eastAsia="en-GB"/>
        </w:rPr>
        <w:t>This could be done under a separate M</w:t>
      </w:r>
      <w:r>
        <w:rPr>
          <w:lang w:eastAsia="en-GB"/>
        </w:rPr>
        <w:t xml:space="preserve">odification so </w:t>
      </w:r>
      <w:r w:rsidR="00466CAF">
        <w:rPr>
          <w:lang w:eastAsia="en-GB"/>
        </w:rPr>
        <w:t xml:space="preserve">as </w:t>
      </w:r>
      <w:r>
        <w:rPr>
          <w:lang w:eastAsia="en-GB"/>
        </w:rPr>
        <w:t>not to create blockers</w:t>
      </w:r>
      <w:r w:rsidR="00466CAF">
        <w:rPr>
          <w:lang w:eastAsia="en-GB"/>
        </w:rPr>
        <w:t xml:space="preserve">, and so </w:t>
      </w:r>
      <w:r>
        <w:rPr>
          <w:lang w:eastAsia="en-GB"/>
        </w:rPr>
        <w:t xml:space="preserve">it was agreed to </w:t>
      </w:r>
      <w:r w:rsidR="00466CAF">
        <w:rPr>
          <w:lang w:eastAsia="en-GB"/>
        </w:rPr>
        <w:t>keep it out of scope</w:t>
      </w:r>
      <w:r>
        <w:rPr>
          <w:lang w:eastAsia="en-GB"/>
        </w:rPr>
        <w:t xml:space="preserve">. </w:t>
      </w:r>
      <w:r w:rsidR="00466CAF">
        <w:rPr>
          <w:lang w:eastAsia="en-GB"/>
        </w:rPr>
        <w:t>The Workgroup commented that there would need to be a process</w:t>
      </w:r>
      <w:r>
        <w:rPr>
          <w:lang w:eastAsia="en-GB"/>
        </w:rPr>
        <w:t xml:space="preserve"> to transfer </w:t>
      </w:r>
      <w:r w:rsidR="00466CAF">
        <w:rPr>
          <w:lang w:eastAsia="en-GB"/>
        </w:rPr>
        <w:t>M</w:t>
      </w:r>
      <w:r>
        <w:rPr>
          <w:lang w:eastAsia="en-GB"/>
        </w:rPr>
        <w:t>eter</w:t>
      </w:r>
      <w:r w:rsidR="00466CAF">
        <w:rPr>
          <w:lang w:eastAsia="en-GB"/>
        </w:rPr>
        <w:t xml:space="preserve"> Technical</w:t>
      </w:r>
      <w:r>
        <w:rPr>
          <w:lang w:eastAsia="en-GB"/>
        </w:rPr>
        <w:t xml:space="preserve"> </w:t>
      </w:r>
      <w:r w:rsidR="00466CAF">
        <w:rPr>
          <w:lang w:eastAsia="en-GB"/>
        </w:rPr>
        <w:t>D</w:t>
      </w:r>
      <w:r>
        <w:rPr>
          <w:lang w:eastAsia="en-GB"/>
        </w:rPr>
        <w:t>etails</w:t>
      </w:r>
      <w:r w:rsidR="00466CAF">
        <w:rPr>
          <w:lang w:eastAsia="en-GB"/>
        </w:rPr>
        <w:t xml:space="preserve"> (MTDs)</w:t>
      </w:r>
      <w:r>
        <w:rPr>
          <w:lang w:eastAsia="en-GB"/>
        </w:rPr>
        <w:t xml:space="preserve"> between VLPs and a </w:t>
      </w:r>
      <w:r w:rsidR="00466CAF">
        <w:rPr>
          <w:lang w:eastAsia="en-GB"/>
        </w:rPr>
        <w:t>process to deregister operational metering</w:t>
      </w:r>
      <w:r>
        <w:rPr>
          <w:lang w:eastAsia="en-GB"/>
        </w:rPr>
        <w:t>. It requested that a consultation question should ask views on transferring pseudo MPAN</w:t>
      </w:r>
      <w:r w:rsidR="00466CAF">
        <w:rPr>
          <w:lang w:eastAsia="en-GB"/>
        </w:rPr>
        <w:t>’</w:t>
      </w:r>
      <w:r>
        <w:rPr>
          <w:lang w:eastAsia="en-GB"/>
        </w:rPr>
        <w:t xml:space="preserve">s </w:t>
      </w:r>
      <w:r w:rsidR="00466CAF">
        <w:rPr>
          <w:lang w:eastAsia="en-GB"/>
        </w:rPr>
        <w:t>MTDs</w:t>
      </w:r>
      <w:r>
        <w:rPr>
          <w:lang w:eastAsia="en-GB"/>
        </w:rPr>
        <w:t xml:space="preserve">, in addition transferring </w:t>
      </w:r>
      <w:r w:rsidR="00466CAF">
        <w:rPr>
          <w:lang w:eastAsia="en-GB"/>
        </w:rPr>
        <w:t>between</w:t>
      </w:r>
      <w:r>
        <w:rPr>
          <w:lang w:eastAsia="en-GB"/>
        </w:rPr>
        <w:t xml:space="preserve"> S</w:t>
      </w:r>
      <w:r w:rsidR="00466CAF">
        <w:rPr>
          <w:lang w:eastAsia="en-GB"/>
        </w:rPr>
        <w:t xml:space="preserve">econdary </w:t>
      </w:r>
      <w:r>
        <w:rPr>
          <w:lang w:eastAsia="en-GB"/>
        </w:rPr>
        <w:t>BM</w:t>
      </w:r>
      <w:r w:rsidR="00466CAF">
        <w:rPr>
          <w:lang w:eastAsia="en-GB"/>
        </w:rPr>
        <w:t xml:space="preserve"> </w:t>
      </w:r>
      <w:r>
        <w:rPr>
          <w:lang w:eastAsia="en-GB"/>
        </w:rPr>
        <w:t>U</w:t>
      </w:r>
      <w:r w:rsidR="00466CAF">
        <w:rPr>
          <w:lang w:eastAsia="en-GB"/>
        </w:rPr>
        <w:t>nits</w:t>
      </w:r>
      <w:r>
        <w:rPr>
          <w:lang w:eastAsia="en-GB"/>
        </w:rPr>
        <w:t>.</w:t>
      </w:r>
    </w:p>
    <w:p w14:paraId="2CA25FAF" w14:textId="77777777" w:rsidR="00466CAF" w:rsidRDefault="00466CAF" w:rsidP="00040A23">
      <w:pPr>
        <w:pStyle w:val="BodyText"/>
        <w:rPr>
          <w:lang w:eastAsia="en-GB"/>
        </w:rPr>
      </w:pPr>
      <w:r>
        <w:rPr>
          <w:lang w:eastAsia="en-GB"/>
        </w:rPr>
        <w:t>A Workgroup Member commented on DNO charging which relates to things like final demand and residual charging, believing that the issues faced by storage providers using a generation licence would also be applicable to this Modification. They believed that a consultation question should be included to gain further information on this. They commented that as the solution focused on S</w:t>
      </w:r>
      <w:r w:rsidR="00B64856">
        <w:rPr>
          <w:lang w:eastAsia="en-GB"/>
        </w:rPr>
        <w:t xml:space="preserve">econdary </w:t>
      </w:r>
      <w:r>
        <w:rPr>
          <w:lang w:eastAsia="en-GB"/>
        </w:rPr>
        <w:t>BM</w:t>
      </w:r>
      <w:r w:rsidR="00B64856">
        <w:rPr>
          <w:lang w:eastAsia="en-GB"/>
        </w:rPr>
        <w:t xml:space="preserve"> </w:t>
      </w:r>
      <w:r>
        <w:rPr>
          <w:lang w:eastAsia="en-GB"/>
        </w:rPr>
        <w:t>U</w:t>
      </w:r>
      <w:r w:rsidR="00B64856">
        <w:rPr>
          <w:lang w:eastAsia="en-GB"/>
        </w:rPr>
        <w:t>nit</w:t>
      </w:r>
      <w:r>
        <w:rPr>
          <w:lang w:eastAsia="en-GB"/>
        </w:rPr>
        <w:t xml:space="preserve">s, it was inherently relating to balancing services. </w:t>
      </w:r>
      <w:r w:rsidR="00B64856">
        <w:rPr>
          <w:lang w:eastAsia="en-GB"/>
        </w:rPr>
        <w:t xml:space="preserve">Another Workgroup Member </w:t>
      </w:r>
      <w:r>
        <w:rPr>
          <w:lang w:eastAsia="en-GB"/>
        </w:rPr>
        <w:t xml:space="preserve">commented that DNOs recover their costs based on boundary meter volumes, so they didn’t think this was an issue for </w:t>
      </w:r>
      <w:r w:rsidR="00B64856">
        <w:rPr>
          <w:lang w:eastAsia="en-GB"/>
        </w:rPr>
        <w:t>the Workgroup</w:t>
      </w:r>
      <w:r>
        <w:rPr>
          <w:lang w:eastAsia="en-GB"/>
        </w:rPr>
        <w:t xml:space="preserve"> to consider</w:t>
      </w:r>
    </w:p>
    <w:p w14:paraId="6C3D8CF8" w14:textId="77777777" w:rsidR="00040A23" w:rsidRDefault="00040A23" w:rsidP="00040A23">
      <w:pPr>
        <w:pStyle w:val="BodyText"/>
        <w:rPr>
          <w:lang w:eastAsia="en-GB"/>
        </w:rPr>
      </w:pPr>
    </w:p>
    <w:p w14:paraId="1056027A" w14:textId="77777777" w:rsidR="00040A23" w:rsidRPr="005C2037" w:rsidRDefault="00040A23" w:rsidP="00E115D9">
      <w:pPr>
        <w:pStyle w:val="Boldheading"/>
        <w:rPr>
          <w:lang w:eastAsia="en-GB"/>
        </w:rPr>
      </w:pPr>
      <w:r w:rsidRPr="005C2037">
        <w:rPr>
          <w:lang w:eastAsia="en-GB"/>
        </w:rPr>
        <w:t>What met</w:t>
      </w:r>
      <w:r>
        <w:rPr>
          <w:lang w:eastAsia="en-GB"/>
        </w:rPr>
        <w:t xml:space="preserve">ering standards are appropriate (Item </w:t>
      </w:r>
      <w:proofErr w:type="gramStart"/>
      <w:r>
        <w:rPr>
          <w:lang w:eastAsia="en-GB"/>
        </w:rPr>
        <w:t>5.</w:t>
      </w:r>
      <w:proofErr w:type="gramEnd"/>
      <w:r>
        <w:rPr>
          <w:lang w:eastAsia="en-GB"/>
        </w:rPr>
        <w:t xml:space="preserve"> P375)</w:t>
      </w:r>
    </w:p>
    <w:p w14:paraId="4EA9C9E0" w14:textId="1E87B41D" w:rsidR="00040A23" w:rsidRDefault="00040A23" w:rsidP="00040A23">
      <w:pPr>
        <w:pStyle w:val="BodyText"/>
        <w:rPr>
          <w:lang w:eastAsia="en-GB"/>
        </w:rPr>
      </w:pPr>
      <w:r>
        <w:rPr>
          <w:lang w:eastAsia="en-GB"/>
        </w:rPr>
        <w:t xml:space="preserve">The Workgroup considered whether there would need to be a dispensation process for operational metering and noted that many dispensations are due to not being able to put meter in </w:t>
      </w:r>
      <w:r w:rsidR="00B22F75">
        <w:rPr>
          <w:lang w:eastAsia="en-GB"/>
        </w:rPr>
        <w:t xml:space="preserve">the </w:t>
      </w:r>
      <w:r>
        <w:rPr>
          <w:lang w:eastAsia="en-GB"/>
        </w:rPr>
        <w:t>correct location currently judged on a case by case basis by the Imbalance Settlement Group (ISG) and / or Supplier Volume Allocation Group (SVG</w:t>
      </w:r>
      <w:r w:rsidR="004E135A">
        <w:rPr>
          <w:lang w:eastAsia="en-GB"/>
        </w:rPr>
        <w:t>)</w:t>
      </w:r>
      <w:r>
        <w:rPr>
          <w:lang w:eastAsia="en-GB"/>
        </w:rPr>
        <w:t>.</w:t>
      </w:r>
    </w:p>
    <w:p w14:paraId="62B2821F" w14:textId="3289D7D4" w:rsidR="00040A23" w:rsidRDefault="00040A23" w:rsidP="00040A23">
      <w:pPr>
        <w:pStyle w:val="BodyText"/>
        <w:rPr>
          <w:lang w:eastAsia="en-GB"/>
        </w:rPr>
      </w:pPr>
      <w:r>
        <w:rPr>
          <w:lang w:eastAsia="en-GB"/>
        </w:rPr>
        <w:t xml:space="preserve">A Workgroup </w:t>
      </w:r>
      <w:r w:rsidR="004E135A">
        <w:rPr>
          <w:lang w:eastAsia="en-GB"/>
        </w:rPr>
        <w:t>M</w:t>
      </w:r>
      <w:r>
        <w:rPr>
          <w:lang w:eastAsia="en-GB"/>
        </w:rPr>
        <w:t>ember commented that balancing services are done with active power and so questioned the need to keep reactive standards mentioned in the C</w:t>
      </w:r>
      <w:r w:rsidR="009631B2">
        <w:rPr>
          <w:lang w:eastAsia="en-GB"/>
        </w:rPr>
        <w:t>odes of Practice (</w:t>
      </w:r>
      <w:proofErr w:type="spellStart"/>
      <w:r w:rsidR="009631B2">
        <w:rPr>
          <w:lang w:eastAsia="en-GB"/>
        </w:rPr>
        <w:t>C</w:t>
      </w:r>
      <w:r>
        <w:rPr>
          <w:lang w:eastAsia="en-GB"/>
        </w:rPr>
        <w:t>oPs</w:t>
      </w:r>
      <w:proofErr w:type="spellEnd"/>
      <w:r w:rsidR="009631B2">
        <w:rPr>
          <w:lang w:eastAsia="en-GB"/>
        </w:rPr>
        <w:t>)</w:t>
      </w:r>
      <w:r>
        <w:rPr>
          <w:lang w:eastAsia="en-GB"/>
        </w:rPr>
        <w:t xml:space="preserve">. ELEXON noted that there </w:t>
      </w:r>
      <w:r w:rsidR="009631B2">
        <w:rPr>
          <w:lang w:eastAsia="en-GB"/>
        </w:rPr>
        <w:t>were</w:t>
      </w:r>
      <w:r>
        <w:rPr>
          <w:lang w:eastAsia="en-GB"/>
        </w:rPr>
        <w:t xml:space="preserve"> reactive power markets in other countries and these shouldn’t be excluded when deciding the standards for </w:t>
      </w:r>
      <w:r w:rsidR="009631B2">
        <w:rPr>
          <w:lang w:eastAsia="en-GB"/>
        </w:rPr>
        <w:t xml:space="preserve">the </w:t>
      </w:r>
      <w:r>
        <w:rPr>
          <w:lang w:eastAsia="en-GB"/>
        </w:rPr>
        <w:t>P375 solution to ensure the solution is futureproofed</w:t>
      </w:r>
      <w:r w:rsidR="009631B2">
        <w:rPr>
          <w:lang w:eastAsia="en-GB"/>
        </w:rPr>
        <w:t xml:space="preserve">. </w:t>
      </w:r>
      <w:r>
        <w:rPr>
          <w:lang w:eastAsia="en-GB"/>
        </w:rPr>
        <w:t xml:space="preserve">The Proposer </w:t>
      </w:r>
      <w:r w:rsidR="009631B2">
        <w:rPr>
          <w:lang w:eastAsia="en-GB"/>
        </w:rPr>
        <w:t xml:space="preserve">noted </w:t>
      </w:r>
      <w:r>
        <w:rPr>
          <w:lang w:eastAsia="en-GB"/>
        </w:rPr>
        <w:t>Measurement Transformers</w:t>
      </w:r>
      <w:r w:rsidR="009631B2">
        <w:rPr>
          <w:lang w:eastAsia="en-GB"/>
        </w:rPr>
        <w:t xml:space="preserve"> can be commissioned using a range of techniques, including injection and prevailing load.</w:t>
      </w:r>
      <w:r>
        <w:rPr>
          <w:lang w:eastAsia="en-GB"/>
        </w:rPr>
        <w:t xml:space="preserve"> </w:t>
      </w:r>
      <w:r w:rsidR="00D874AA">
        <w:rPr>
          <w:lang w:eastAsia="en-GB"/>
        </w:rPr>
        <w:t>A Member was concerned that using primary injection on existing sites would be problematic, as it would require a site shut down. ELEXON confirmed that p</w:t>
      </w:r>
      <w:r>
        <w:rPr>
          <w:lang w:eastAsia="en-GB"/>
        </w:rPr>
        <w:t xml:space="preserve">rimary injection is typically used on new high voltage sites prior to energisation. </w:t>
      </w:r>
    </w:p>
    <w:p w14:paraId="7536C0BE" w14:textId="77777777" w:rsidR="00040A23" w:rsidRDefault="00040A23" w:rsidP="009631B2">
      <w:pPr>
        <w:pStyle w:val="BodyText"/>
        <w:rPr>
          <w:lang w:eastAsia="en-GB"/>
        </w:rPr>
      </w:pPr>
      <w:r>
        <w:rPr>
          <w:lang w:eastAsia="en-GB"/>
        </w:rPr>
        <w:t xml:space="preserve">ELEXON commented that because of the legal definition of a supply Meter, some </w:t>
      </w:r>
      <w:r w:rsidR="009631B2">
        <w:rPr>
          <w:lang w:eastAsia="en-GB"/>
        </w:rPr>
        <w:t>Electric Vehicle (</w:t>
      </w:r>
      <w:r>
        <w:rPr>
          <w:lang w:eastAsia="en-GB"/>
        </w:rPr>
        <w:t>EV</w:t>
      </w:r>
      <w:r w:rsidR="009631B2">
        <w:rPr>
          <w:lang w:eastAsia="en-GB"/>
        </w:rPr>
        <w:t>)</w:t>
      </w:r>
      <w:r>
        <w:rPr>
          <w:lang w:eastAsia="en-GB"/>
        </w:rPr>
        <w:t xml:space="preserve"> charging sites were registered as </w:t>
      </w:r>
      <w:r w:rsidR="009631B2">
        <w:rPr>
          <w:lang w:eastAsia="en-GB"/>
        </w:rPr>
        <w:t>U</w:t>
      </w:r>
      <w:r>
        <w:rPr>
          <w:lang w:eastAsia="en-GB"/>
        </w:rPr>
        <w:t>nmetered Supplies</w:t>
      </w:r>
      <w:r w:rsidR="009631B2">
        <w:rPr>
          <w:lang w:eastAsia="en-GB"/>
        </w:rPr>
        <w:t xml:space="preserve"> (UMS)</w:t>
      </w:r>
      <w:r>
        <w:rPr>
          <w:lang w:eastAsia="en-GB"/>
        </w:rPr>
        <w:t>, but considered that if the data</w:t>
      </w:r>
      <w:r w:rsidR="009631B2">
        <w:rPr>
          <w:lang w:eastAsia="en-GB"/>
        </w:rPr>
        <w:t xml:space="preserve"> was accurate it should be used. </w:t>
      </w:r>
      <w:r>
        <w:rPr>
          <w:lang w:eastAsia="en-GB"/>
        </w:rPr>
        <w:t xml:space="preserve">The Workgroup agreed that the solution should accommodate and future proof governance around EV </w:t>
      </w:r>
      <w:r w:rsidR="009631B2">
        <w:rPr>
          <w:lang w:eastAsia="en-GB"/>
        </w:rPr>
        <w:t>M</w:t>
      </w:r>
      <w:r>
        <w:rPr>
          <w:lang w:eastAsia="en-GB"/>
        </w:rPr>
        <w:t>eters and assets, and this should be considered in the redlining.</w:t>
      </w:r>
      <w:r w:rsidR="009631B2" w:rsidRPr="009631B2">
        <w:rPr>
          <w:lang w:eastAsia="en-GB"/>
        </w:rPr>
        <w:t xml:space="preserve"> </w:t>
      </w:r>
      <w:r w:rsidR="009631B2">
        <w:rPr>
          <w:lang w:eastAsia="en-GB"/>
        </w:rPr>
        <w:t>It was noted that schedule 7 of the electricity act wouldn’t apply as the Meters used for the P375 solution would not be for supply.</w:t>
      </w:r>
    </w:p>
    <w:p w14:paraId="508D1EED" w14:textId="77777777" w:rsidR="00040A23" w:rsidRDefault="00040A23" w:rsidP="00040A23">
      <w:pPr>
        <w:pStyle w:val="BodyText"/>
        <w:rPr>
          <w:lang w:eastAsia="en-GB"/>
        </w:rPr>
      </w:pPr>
      <w:r>
        <w:rPr>
          <w:lang w:eastAsia="en-GB"/>
        </w:rPr>
        <w:t xml:space="preserve">A Workgroup </w:t>
      </w:r>
      <w:r w:rsidR="009631B2">
        <w:rPr>
          <w:lang w:eastAsia="en-GB"/>
        </w:rPr>
        <w:t>M</w:t>
      </w:r>
      <w:r>
        <w:rPr>
          <w:lang w:eastAsia="en-GB"/>
        </w:rPr>
        <w:t>ember thought the same accuracy standards</w:t>
      </w:r>
      <w:r w:rsidR="009631B2">
        <w:rPr>
          <w:lang w:eastAsia="en-GB"/>
        </w:rPr>
        <w:t xml:space="preserve"> should be maintained</w:t>
      </w:r>
      <w:r>
        <w:rPr>
          <w:lang w:eastAsia="en-GB"/>
        </w:rPr>
        <w:t xml:space="preserve"> for operational metering, but </w:t>
      </w:r>
      <w:r w:rsidR="009631B2">
        <w:rPr>
          <w:lang w:eastAsia="en-GB"/>
        </w:rPr>
        <w:t xml:space="preserve">that removing the </w:t>
      </w:r>
      <w:r>
        <w:rPr>
          <w:lang w:eastAsia="en-GB"/>
        </w:rPr>
        <w:t>requirements for storage, communications, and display would reduce the cost</w:t>
      </w:r>
      <w:r w:rsidR="009631B2">
        <w:rPr>
          <w:lang w:eastAsia="en-GB"/>
        </w:rPr>
        <w:t>, commenting</w:t>
      </w:r>
      <w:r>
        <w:rPr>
          <w:lang w:eastAsia="en-GB"/>
        </w:rPr>
        <w:t xml:space="preserve"> that storage requirements can increase the cost of Meters. A </w:t>
      </w:r>
      <w:r w:rsidR="009631B2">
        <w:rPr>
          <w:lang w:eastAsia="en-GB"/>
        </w:rPr>
        <w:t>M</w:t>
      </w:r>
      <w:r>
        <w:rPr>
          <w:lang w:eastAsia="en-GB"/>
        </w:rPr>
        <w:t xml:space="preserve">ember commented that there would be incentive for VLPs to ensure metering was functional as they would not be paid for any services if the relevant Meters were broken or communications were down. The Workgroup decided to investigate standards for metering available and used, through impact assessment or consultation. The Workgroup agreed that standards for Metering under P375 should </w:t>
      </w:r>
      <w:r>
        <w:rPr>
          <w:lang w:eastAsia="en-GB"/>
        </w:rPr>
        <w:lastRenderedPageBreak/>
        <w:t>sit in a new document, and ELEXON agreed to create a straw man document to consult on.</w:t>
      </w:r>
      <w:r w:rsidRPr="008A163E">
        <w:rPr>
          <w:lang w:eastAsia="en-GB"/>
        </w:rPr>
        <w:t xml:space="preserve"> </w:t>
      </w:r>
      <w:r>
        <w:rPr>
          <w:lang w:eastAsia="en-GB"/>
        </w:rPr>
        <w:t>The Workgroup noted the desire to do this sooner rather than later so that industry could be aware of what standards would likely be required under P375.</w:t>
      </w:r>
    </w:p>
    <w:p w14:paraId="50E84523" w14:textId="6D29A087" w:rsidR="00040A23" w:rsidRDefault="00040A23" w:rsidP="00040A23">
      <w:pPr>
        <w:pStyle w:val="BodyText"/>
        <w:rPr>
          <w:lang w:eastAsia="en-GB"/>
        </w:rPr>
      </w:pPr>
      <w:r>
        <w:rPr>
          <w:lang w:eastAsia="en-GB"/>
        </w:rPr>
        <w:t xml:space="preserve">A </w:t>
      </w:r>
      <w:r w:rsidR="00D874AA">
        <w:rPr>
          <w:lang w:eastAsia="en-GB"/>
        </w:rPr>
        <w:t>M</w:t>
      </w:r>
      <w:r>
        <w:rPr>
          <w:lang w:eastAsia="en-GB"/>
        </w:rPr>
        <w:t xml:space="preserve">ember questioned whether it would be possible to revert back to </w:t>
      </w:r>
      <w:r w:rsidR="00D874AA">
        <w:rPr>
          <w:lang w:eastAsia="en-GB"/>
        </w:rPr>
        <w:t xml:space="preserve">the </w:t>
      </w:r>
      <w:r>
        <w:rPr>
          <w:lang w:eastAsia="en-GB"/>
        </w:rPr>
        <w:t>boundary if the P375 meter became broken or problems with the communications.</w:t>
      </w:r>
      <w:r w:rsidR="00D874AA">
        <w:rPr>
          <w:lang w:eastAsia="en-GB"/>
        </w:rPr>
        <w:t xml:space="preserve"> ELEXON commented that it would be unlikely to be able to use the Boundary Meter to determine delivery, as the P375 issue is that you can’t use the Boundary Meter due to uncontrolled assets behind the Boundary Meter. However, if the operational meter was down, the VLP would be treated as not having delivered, and so would be strongly incentivised to rectify an issue or fault as soon as possible.</w:t>
      </w:r>
    </w:p>
    <w:p w14:paraId="79B11DC9" w14:textId="77777777" w:rsidR="00040A23" w:rsidRDefault="00040A23" w:rsidP="00040A23">
      <w:pPr>
        <w:spacing w:after="0" w:line="240" w:lineRule="auto"/>
        <w:rPr>
          <w:lang w:eastAsia="en-GB"/>
        </w:rPr>
      </w:pPr>
    </w:p>
    <w:p w14:paraId="1AD0B291" w14:textId="77777777" w:rsidR="00040A23" w:rsidRPr="0079721F" w:rsidRDefault="00040A23" w:rsidP="00E115D9">
      <w:pPr>
        <w:pStyle w:val="Boldheading"/>
        <w:keepNext/>
        <w:rPr>
          <w:lang w:eastAsia="en-GB"/>
        </w:rPr>
      </w:pPr>
      <w:r w:rsidRPr="0079721F">
        <w:rPr>
          <w:lang w:eastAsia="en-GB"/>
        </w:rPr>
        <w:t>Item 7. Losses</w:t>
      </w:r>
    </w:p>
    <w:p w14:paraId="535F129B" w14:textId="5095BAB4" w:rsidR="00040A23" w:rsidRDefault="00040A23" w:rsidP="00040A23">
      <w:pPr>
        <w:pStyle w:val="BodyText"/>
        <w:rPr>
          <w:lang w:eastAsia="en-GB"/>
        </w:rPr>
      </w:pPr>
      <w:r>
        <w:rPr>
          <w:lang w:eastAsia="en-GB"/>
        </w:rPr>
        <w:t xml:space="preserve">The Workgroup agreed that it would be appropriate to use </w:t>
      </w:r>
      <w:r w:rsidR="00D874AA">
        <w:rPr>
          <w:lang w:eastAsia="en-GB"/>
        </w:rPr>
        <w:t>the DNO calculated Line Loss Factors for BSC Settlement</w:t>
      </w:r>
      <w:r w:rsidR="00317950">
        <w:rPr>
          <w:lang w:eastAsia="en-GB"/>
        </w:rPr>
        <w:t xml:space="preserve"> Meters for operational meters. The relevant LLF would be applied </w:t>
      </w:r>
      <w:r>
        <w:rPr>
          <w:lang w:eastAsia="en-GB"/>
        </w:rPr>
        <w:t xml:space="preserve">based on the voltage difference. This would keep the solution simple by using the existing values, and </w:t>
      </w:r>
      <w:r w:rsidR="004E5EB7">
        <w:rPr>
          <w:lang w:eastAsia="en-GB"/>
        </w:rPr>
        <w:t xml:space="preserve">the Workgroup </w:t>
      </w:r>
      <w:r>
        <w:rPr>
          <w:lang w:eastAsia="en-GB"/>
        </w:rPr>
        <w:t>did not believe that the distance from the operational meter to the boundary would need to be considered. The Workgroup decided that the VLP would need to declare LLF for each pseudo MPAN, but questioned how unusual voltage configurations could be handled.</w:t>
      </w:r>
      <w:r w:rsidR="00317950">
        <w:rPr>
          <w:lang w:eastAsia="en-GB"/>
        </w:rPr>
        <w:t xml:space="preserve"> ELEXON confirmed it would use the LLF that was the best fit and also noted this approach is used for private wire arrangements in the Contracts for Difference scheme.</w:t>
      </w:r>
    </w:p>
    <w:p w14:paraId="0159AB6A" w14:textId="77777777" w:rsidR="00040A23" w:rsidRDefault="00040A23" w:rsidP="00040A23">
      <w:pPr>
        <w:pStyle w:val="BodyText"/>
        <w:rPr>
          <w:lang w:eastAsia="en-GB"/>
        </w:rPr>
      </w:pPr>
    </w:p>
    <w:p w14:paraId="6811B295" w14:textId="77777777" w:rsidR="00040A23" w:rsidRDefault="00040A23" w:rsidP="00E115D9">
      <w:pPr>
        <w:pStyle w:val="Boldheading"/>
        <w:rPr>
          <w:lang w:eastAsia="en-GB"/>
        </w:rPr>
      </w:pPr>
      <w:r>
        <w:rPr>
          <w:lang w:eastAsia="en-GB"/>
        </w:rPr>
        <w:t>Item 8. Performance Assurance Techniques</w:t>
      </w:r>
    </w:p>
    <w:p w14:paraId="09FCFD5D" w14:textId="77777777" w:rsidR="00040A23" w:rsidRDefault="00040A23" w:rsidP="00040A23">
      <w:pPr>
        <w:pStyle w:val="BodyText"/>
        <w:rPr>
          <w:lang w:eastAsia="en-GB"/>
        </w:rPr>
      </w:pPr>
      <w:r>
        <w:rPr>
          <w:lang w:eastAsia="en-GB"/>
        </w:rPr>
        <w:t xml:space="preserve">The Workgroup noted ELEXON’s suggestions and commented that there should be an automated technique using statistical methods to identify gaming. </w:t>
      </w:r>
    </w:p>
    <w:p w14:paraId="25C3071B" w14:textId="343001AE" w:rsidR="001246C7" w:rsidRDefault="00040A23" w:rsidP="00040A23">
      <w:pPr>
        <w:pStyle w:val="BodyText"/>
        <w:rPr>
          <w:lang w:eastAsia="en-GB"/>
        </w:rPr>
      </w:pPr>
      <w:r>
        <w:rPr>
          <w:lang w:eastAsia="en-GB"/>
        </w:rPr>
        <w:t xml:space="preserve">The Workgroup considered who would be best placed to provide assurance for any solution. One </w:t>
      </w:r>
      <w:r w:rsidR="004E5EB7">
        <w:rPr>
          <w:lang w:eastAsia="en-GB"/>
        </w:rPr>
        <w:t>M</w:t>
      </w:r>
      <w:r>
        <w:rPr>
          <w:lang w:eastAsia="en-GB"/>
        </w:rPr>
        <w:t>ember commented that this could be best achieved under the Grid Code rather than BSC</w:t>
      </w:r>
      <w:r w:rsidR="00317950">
        <w:rPr>
          <w:lang w:eastAsia="en-GB"/>
        </w:rPr>
        <w:t xml:space="preserve"> as ESO need to be confident that the delivered volumes are accurate</w:t>
      </w:r>
      <w:r>
        <w:rPr>
          <w:lang w:eastAsia="en-GB"/>
        </w:rPr>
        <w:t>. ESO commented that it believed assurance should be a BSC process</w:t>
      </w:r>
      <w:r w:rsidR="00317950">
        <w:rPr>
          <w:lang w:eastAsia="en-GB"/>
        </w:rPr>
        <w:t>.</w:t>
      </w:r>
      <w:r>
        <w:rPr>
          <w:lang w:eastAsia="en-GB"/>
        </w:rPr>
        <w:t xml:space="preserve"> The Workgroup questioned what</w:t>
      </w:r>
      <w:r w:rsidR="004E5EB7">
        <w:rPr>
          <w:lang w:eastAsia="en-GB"/>
        </w:rPr>
        <w:t xml:space="preserve"> sanctions could be applied to </w:t>
      </w:r>
      <w:r>
        <w:rPr>
          <w:lang w:eastAsia="en-GB"/>
        </w:rPr>
        <w:t>non-compliance. It also commented that there would need to be a robust definition for independence of control and site configuration, so that sanctions could be appropriately applied.</w:t>
      </w:r>
    </w:p>
    <w:p w14:paraId="30BD30F3" w14:textId="44D5710B" w:rsidR="001246C7" w:rsidRDefault="001246C7" w:rsidP="00040A23">
      <w:pPr>
        <w:pStyle w:val="BodyText"/>
        <w:rPr>
          <w:lang w:eastAsia="en-GB"/>
        </w:rPr>
      </w:pPr>
    </w:p>
    <w:p w14:paraId="4B5E99F2" w14:textId="2D143E2B" w:rsidR="001246C7" w:rsidRDefault="001246C7" w:rsidP="00040A23">
      <w:pPr>
        <w:pStyle w:val="BodyText"/>
        <w:rPr>
          <w:lang w:eastAsia="en-GB"/>
        </w:rPr>
      </w:pPr>
    </w:p>
    <w:p w14:paraId="7CA1AFD0" w14:textId="44CCE93C" w:rsidR="001246C7" w:rsidRDefault="001246C7" w:rsidP="00040A23">
      <w:pPr>
        <w:pStyle w:val="BodyText"/>
        <w:rPr>
          <w:lang w:eastAsia="en-GB"/>
        </w:rPr>
      </w:pPr>
    </w:p>
    <w:p w14:paraId="041C6D6E" w14:textId="111CADE3" w:rsidR="001246C7" w:rsidRDefault="001246C7" w:rsidP="00040A23">
      <w:pPr>
        <w:pStyle w:val="BodyText"/>
        <w:rPr>
          <w:lang w:eastAsia="en-GB"/>
        </w:rPr>
      </w:pPr>
    </w:p>
    <w:p w14:paraId="14479896" w14:textId="483089CB" w:rsidR="001246C7" w:rsidRDefault="001246C7" w:rsidP="00040A23">
      <w:pPr>
        <w:pStyle w:val="BodyText"/>
        <w:rPr>
          <w:lang w:eastAsia="en-GB"/>
        </w:rPr>
      </w:pPr>
    </w:p>
    <w:p w14:paraId="09231887" w14:textId="4E624B44" w:rsidR="001246C7" w:rsidRDefault="001246C7" w:rsidP="00040A23">
      <w:pPr>
        <w:pStyle w:val="BodyText"/>
        <w:rPr>
          <w:lang w:eastAsia="en-GB"/>
        </w:rPr>
      </w:pPr>
    </w:p>
    <w:p w14:paraId="2BEE3BFB" w14:textId="327F972A" w:rsidR="001246C7" w:rsidRDefault="001246C7" w:rsidP="00040A23">
      <w:pPr>
        <w:pStyle w:val="BodyText"/>
        <w:rPr>
          <w:lang w:eastAsia="en-GB"/>
        </w:rPr>
      </w:pPr>
    </w:p>
    <w:p w14:paraId="63D6F408" w14:textId="5E8D4EC1" w:rsidR="001246C7" w:rsidRDefault="001246C7" w:rsidP="00040A23">
      <w:pPr>
        <w:pStyle w:val="BodyText"/>
        <w:rPr>
          <w:lang w:eastAsia="en-GB"/>
        </w:rPr>
      </w:pPr>
    </w:p>
    <w:p w14:paraId="6E133367" w14:textId="1EF553BA" w:rsidR="001246C7" w:rsidRDefault="001246C7" w:rsidP="00040A23">
      <w:pPr>
        <w:pStyle w:val="BodyText"/>
        <w:rPr>
          <w:lang w:eastAsia="en-GB"/>
        </w:rPr>
      </w:pPr>
    </w:p>
    <w:p w14:paraId="4499D6AB" w14:textId="77777777" w:rsidR="001246C7" w:rsidRDefault="001246C7" w:rsidP="00040A23">
      <w:pPr>
        <w:pStyle w:val="BodyText"/>
        <w:rPr>
          <w:lang w:eastAsia="en-GB"/>
        </w:rPr>
      </w:pPr>
    </w:p>
    <w:p w14:paraId="0814D1E6" w14:textId="77777777" w:rsidR="00040A23" w:rsidRDefault="00040A23" w:rsidP="00040A23">
      <w:pPr>
        <w:pStyle w:val="Heading"/>
        <w:keepNext/>
      </w:pPr>
      <w:r>
        <w:lastRenderedPageBreak/>
        <w:t>Actions</w:t>
      </w:r>
    </w:p>
    <w:tbl>
      <w:tblPr>
        <w:tblStyle w:val="ElexonTable"/>
        <w:tblW w:w="5000" w:type="pct"/>
        <w:tblLook w:val="04A0" w:firstRow="1" w:lastRow="0" w:firstColumn="1" w:lastColumn="0" w:noHBand="0" w:noVBand="1"/>
      </w:tblPr>
      <w:tblGrid>
        <w:gridCol w:w="833"/>
        <w:gridCol w:w="6665"/>
        <w:gridCol w:w="2804"/>
      </w:tblGrid>
      <w:tr w:rsidR="00040A23" w:rsidRPr="00AB71AD" w14:paraId="45485503" w14:textId="77777777" w:rsidTr="00B64856">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04" w:type="pct"/>
          </w:tcPr>
          <w:p w14:paraId="21C52452" w14:textId="77777777" w:rsidR="00040A23" w:rsidRPr="00AB71AD" w:rsidRDefault="00040A23" w:rsidP="00F924B3">
            <w:pPr>
              <w:pStyle w:val="Tableheading"/>
              <w:keepNext/>
            </w:pPr>
            <w:r w:rsidRPr="00AB71AD">
              <w:t>No</w:t>
            </w:r>
          </w:p>
        </w:tc>
        <w:tc>
          <w:tcPr>
            <w:tcW w:w="3235" w:type="pct"/>
          </w:tcPr>
          <w:p w14:paraId="230F275F" w14:textId="77777777" w:rsidR="00040A23" w:rsidRPr="00AB71AD" w:rsidRDefault="00040A23" w:rsidP="00F924B3">
            <w:pPr>
              <w:pStyle w:val="Tableheading"/>
              <w:keepNext/>
              <w:cnfStyle w:val="100000000000" w:firstRow="1" w:lastRow="0" w:firstColumn="0" w:lastColumn="0" w:oddVBand="0" w:evenVBand="0" w:oddHBand="0" w:evenHBand="0" w:firstRowFirstColumn="0" w:firstRowLastColumn="0" w:lastRowFirstColumn="0" w:lastRowLastColumn="0"/>
            </w:pPr>
            <w:r>
              <w:t>Action</w:t>
            </w:r>
          </w:p>
        </w:tc>
        <w:tc>
          <w:tcPr>
            <w:tcW w:w="1361" w:type="pct"/>
          </w:tcPr>
          <w:p w14:paraId="1766293A" w14:textId="77777777" w:rsidR="00040A23" w:rsidRPr="00AB71AD" w:rsidRDefault="00040A23" w:rsidP="00F924B3">
            <w:pPr>
              <w:pStyle w:val="Tableheading"/>
              <w:keepNext/>
              <w:cnfStyle w:val="100000000000" w:firstRow="1" w:lastRow="0" w:firstColumn="0" w:lastColumn="0" w:oddVBand="0" w:evenVBand="0" w:oddHBand="0" w:evenHBand="0" w:firstRowFirstColumn="0" w:firstRowLastColumn="0" w:lastRowFirstColumn="0" w:lastRowLastColumn="0"/>
            </w:pPr>
            <w:r>
              <w:t>Action on</w:t>
            </w:r>
          </w:p>
        </w:tc>
      </w:tr>
      <w:tr w:rsidR="00040A23" w:rsidRPr="00563391" w14:paraId="53907C74" w14:textId="77777777" w:rsidTr="00B64856">
        <w:tc>
          <w:tcPr>
            <w:cnfStyle w:val="001000000000" w:firstRow="0" w:lastRow="0" w:firstColumn="1" w:lastColumn="0" w:oddVBand="0" w:evenVBand="0" w:oddHBand="0" w:evenHBand="0" w:firstRowFirstColumn="0" w:firstRowLastColumn="0" w:lastRowFirstColumn="0" w:lastRowLastColumn="0"/>
            <w:tcW w:w="404" w:type="pct"/>
          </w:tcPr>
          <w:p w14:paraId="02F21DC0" w14:textId="77777777" w:rsidR="00040A23" w:rsidRPr="00C74CB7" w:rsidRDefault="00040A23" w:rsidP="00F924B3">
            <w:pPr>
              <w:pStyle w:val="Tablenumbered"/>
            </w:pPr>
          </w:p>
        </w:tc>
        <w:tc>
          <w:tcPr>
            <w:tcW w:w="3235" w:type="pct"/>
          </w:tcPr>
          <w:p w14:paraId="1D6BF112" w14:textId="77777777" w:rsidR="00040A23" w:rsidRPr="00E43870" w:rsidRDefault="00040A23" w:rsidP="00F924B3">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Send baseline scenario examples out to the workgroup</w:t>
            </w:r>
          </w:p>
        </w:tc>
        <w:tc>
          <w:tcPr>
            <w:tcW w:w="1361" w:type="pct"/>
          </w:tcPr>
          <w:p w14:paraId="510BFA5C" w14:textId="77777777" w:rsidR="00040A23" w:rsidRPr="00AB71AD" w:rsidRDefault="00040A23" w:rsidP="00F924B3">
            <w:pPr>
              <w:pStyle w:val="Tabletext"/>
              <w:cnfStyle w:val="000000000000" w:firstRow="0" w:lastRow="0" w:firstColumn="0" w:lastColumn="0" w:oddVBand="0" w:evenVBand="0" w:oddHBand="0" w:evenHBand="0" w:firstRowFirstColumn="0" w:firstRowLastColumn="0" w:lastRowFirstColumn="0" w:lastRowLastColumn="0"/>
            </w:pPr>
            <w:r>
              <w:t>ELEXON</w:t>
            </w:r>
          </w:p>
        </w:tc>
      </w:tr>
      <w:tr w:rsidR="00040A23" w:rsidRPr="00563391" w14:paraId="06A2C2D3" w14:textId="77777777" w:rsidTr="00B64856">
        <w:tc>
          <w:tcPr>
            <w:cnfStyle w:val="001000000000" w:firstRow="0" w:lastRow="0" w:firstColumn="1" w:lastColumn="0" w:oddVBand="0" w:evenVBand="0" w:oddHBand="0" w:evenHBand="0" w:firstRowFirstColumn="0" w:firstRowLastColumn="0" w:lastRowFirstColumn="0" w:lastRowLastColumn="0"/>
            <w:tcW w:w="404" w:type="pct"/>
          </w:tcPr>
          <w:p w14:paraId="69035098" w14:textId="77777777" w:rsidR="00040A23" w:rsidRPr="00C74CB7" w:rsidRDefault="00040A23" w:rsidP="00F924B3">
            <w:pPr>
              <w:pStyle w:val="Tablenumbered"/>
            </w:pPr>
          </w:p>
        </w:tc>
        <w:tc>
          <w:tcPr>
            <w:tcW w:w="3235" w:type="pct"/>
          </w:tcPr>
          <w:p w14:paraId="3F37CAFC" w14:textId="77777777" w:rsidR="00040A23" w:rsidRDefault="00040A23" w:rsidP="00F924B3">
            <w:pPr>
              <w:pStyle w:val="Tabletext"/>
              <w:cnfStyle w:val="000000000000" w:firstRow="0" w:lastRow="0" w:firstColumn="0" w:lastColumn="0" w:oddVBand="0" w:evenVBand="0" w:oddHBand="0" w:evenHBand="0" w:firstRowFirstColumn="0" w:firstRowLastColumn="0" w:lastRowFirstColumn="0" w:lastRowLastColumn="0"/>
            </w:pPr>
            <w:r>
              <w:rPr>
                <w:lang w:eastAsia="en-GB"/>
              </w:rPr>
              <w:t>Find out what agreement SVAA can get with the MRA on pseudo MPAN format</w:t>
            </w:r>
          </w:p>
        </w:tc>
        <w:tc>
          <w:tcPr>
            <w:tcW w:w="1361" w:type="pct"/>
          </w:tcPr>
          <w:p w14:paraId="5A72F15F" w14:textId="77777777" w:rsidR="00040A23" w:rsidRDefault="00040A23" w:rsidP="00F924B3">
            <w:pPr>
              <w:pStyle w:val="Tabletext"/>
              <w:cnfStyle w:val="000000000000" w:firstRow="0" w:lastRow="0" w:firstColumn="0" w:lastColumn="0" w:oddVBand="0" w:evenVBand="0" w:oddHBand="0" w:evenHBand="0" w:firstRowFirstColumn="0" w:firstRowLastColumn="0" w:lastRowFirstColumn="0" w:lastRowLastColumn="0"/>
            </w:pPr>
            <w:r>
              <w:t>ELEXON</w:t>
            </w:r>
          </w:p>
        </w:tc>
      </w:tr>
      <w:tr w:rsidR="00040A23" w:rsidRPr="00563391" w14:paraId="62F63827" w14:textId="77777777" w:rsidTr="00B64856">
        <w:tc>
          <w:tcPr>
            <w:cnfStyle w:val="001000000000" w:firstRow="0" w:lastRow="0" w:firstColumn="1" w:lastColumn="0" w:oddVBand="0" w:evenVBand="0" w:oddHBand="0" w:evenHBand="0" w:firstRowFirstColumn="0" w:firstRowLastColumn="0" w:lastRowFirstColumn="0" w:lastRowLastColumn="0"/>
            <w:tcW w:w="404" w:type="pct"/>
          </w:tcPr>
          <w:p w14:paraId="2D18CF0D" w14:textId="77777777" w:rsidR="00040A23" w:rsidRPr="00C74CB7" w:rsidRDefault="00040A23" w:rsidP="00F924B3">
            <w:pPr>
              <w:pStyle w:val="Tablenumbered"/>
            </w:pPr>
          </w:p>
        </w:tc>
        <w:tc>
          <w:tcPr>
            <w:tcW w:w="3235" w:type="pct"/>
          </w:tcPr>
          <w:p w14:paraId="2BCBFA9E" w14:textId="6FB59EDD" w:rsidR="00040A23" w:rsidRDefault="00040A23" w:rsidP="001246C7">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 xml:space="preserve">Investigate Business Requirements for registration of pseudo MPANs </w:t>
            </w:r>
          </w:p>
        </w:tc>
        <w:tc>
          <w:tcPr>
            <w:tcW w:w="1361" w:type="pct"/>
          </w:tcPr>
          <w:p w14:paraId="4B5A5185" w14:textId="77777777" w:rsidR="00040A23" w:rsidRDefault="00040A23" w:rsidP="00F924B3">
            <w:pPr>
              <w:pStyle w:val="Tabletext"/>
              <w:cnfStyle w:val="000000000000" w:firstRow="0" w:lastRow="0" w:firstColumn="0" w:lastColumn="0" w:oddVBand="0" w:evenVBand="0" w:oddHBand="0" w:evenHBand="0" w:firstRowFirstColumn="0" w:firstRowLastColumn="0" w:lastRowFirstColumn="0" w:lastRowLastColumn="0"/>
            </w:pPr>
            <w:r>
              <w:t>ELEXON</w:t>
            </w:r>
          </w:p>
        </w:tc>
      </w:tr>
      <w:tr w:rsidR="00040A23" w:rsidRPr="00563391" w14:paraId="7CDA731C" w14:textId="77777777" w:rsidTr="00B64856">
        <w:tc>
          <w:tcPr>
            <w:cnfStyle w:val="001000000000" w:firstRow="0" w:lastRow="0" w:firstColumn="1" w:lastColumn="0" w:oddVBand="0" w:evenVBand="0" w:oddHBand="0" w:evenHBand="0" w:firstRowFirstColumn="0" w:firstRowLastColumn="0" w:lastRowFirstColumn="0" w:lastRowLastColumn="0"/>
            <w:tcW w:w="404" w:type="pct"/>
          </w:tcPr>
          <w:p w14:paraId="1AD50C08" w14:textId="77777777" w:rsidR="00040A23" w:rsidRPr="00C74CB7" w:rsidRDefault="00040A23" w:rsidP="00F924B3">
            <w:pPr>
              <w:pStyle w:val="Tablenumbered"/>
            </w:pPr>
          </w:p>
        </w:tc>
        <w:tc>
          <w:tcPr>
            <w:tcW w:w="3235" w:type="pct"/>
          </w:tcPr>
          <w:p w14:paraId="7A3B5CE7" w14:textId="77777777" w:rsidR="00040A23" w:rsidRDefault="00040A23" w:rsidP="00F924B3">
            <w:pPr>
              <w:pStyle w:val="Tabletext"/>
              <w:cnfStyle w:val="000000000000" w:firstRow="0" w:lastRow="0" w:firstColumn="0" w:lastColumn="0" w:oddVBand="0" w:evenVBand="0" w:oddHBand="0" w:evenHBand="0" w:firstRowFirstColumn="0" w:firstRowLastColumn="0" w:lastRowFirstColumn="0" w:lastRowLastColumn="0"/>
            </w:pPr>
            <w:r>
              <w:rPr>
                <w:lang w:eastAsia="en-GB"/>
              </w:rPr>
              <w:t>Investigate standards needed for operational metering and how to assess impact and consult industry</w:t>
            </w:r>
          </w:p>
        </w:tc>
        <w:tc>
          <w:tcPr>
            <w:tcW w:w="1361" w:type="pct"/>
          </w:tcPr>
          <w:p w14:paraId="52680D7E" w14:textId="77777777" w:rsidR="00040A23" w:rsidRDefault="00040A23" w:rsidP="00F924B3">
            <w:pPr>
              <w:pStyle w:val="Tabletext"/>
              <w:cnfStyle w:val="000000000000" w:firstRow="0" w:lastRow="0" w:firstColumn="0" w:lastColumn="0" w:oddVBand="0" w:evenVBand="0" w:oddHBand="0" w:evenHBand="0" w:firstRowFirstColumn="0" w:firstRowLastColumn="0" w:lastRowFirstColumn="0" w:lastRowLastColumn="0"/>
            </w:pPr>
            <w:r>
              <w:t>Proposer/ELEXON</w:t>
            </w:r>
          </w:p>
        </w:tc>
      </w:tr>
      <w:tr w:rsidR="00040A23" w:rsidRPr="00563391" w14:paraId="65B4AE46" w14:textId="77777777" w:rsidTr="00B64856">
        <w:tc>
          <w:tcPr>
            <w:cnfStyle w:val="001000000000" w:firstRow="0" w:lastRow="0" w:firstColumn="1" w:lastColumn="0" w:oddVBand="0" w:evenVBand="0" w:oddHBand="0" w:evenHBand="0" w:firstRowFirstColumn="0" w:firstRowLastColumn="0" w:lastRowFirstColumn="0" w:lastRowLastColumn="0"/>
            <w:tcW w:w="404" w:type="pct"/>
          </w:tcPr>
          <w:p w14:paraId="637EFF4B" w14:textId="77777777" w:rsidR="00040A23" w:rsidRPr="00C74CB7" w:rsidRDefault="00040A23" w:rsidP="00F924B3">
            <w:pPr>
              <w:pStyle w:val="Tablenumbered"/>
            </w:pPr>
          </w:p>
        </w:tc>
        <w:tc>
          <w:tcPr>
            <w:tcW w:w="3235" w:type="pct"/>
          </w:tcPr>
          <w:p w14:paraId="1A14BF7C" w14:textId="77777777" w:rsidR="00040A23" w:rsidRDefault="00441950" w:rsidP="00441950">
            <w:pPr>
              <w:pStyle w:val="Tabletext"/>
              <w:cnfStyle w:val="000000000000" w:firstRow="0" w:lastRow="0" w:firstColumn="0" w:lastColumn="0" w:oddVBand="0" w:evenVBand="0" w:oddHBand="0" w:evenHBand="0" w:firstRowFirstColumn="0" w:firstRowLastColumn="0" w:lastRowFirstColumn="0" w:lastRowLastColumn="0"/>
            </w:pPr>
            <w:r>
              <w:rPr>
                <w:lang w:eastAsia="en-GB"/>
              </w:rPr>
              <w:t xml:space="preserve">Investigate Independence for site load and asset configurations </w:t>
            </w:r>
          </w:p>
        </w:tc>
        <w:tc>
          <w:tcPr>
            <w:tcW w:w="1361" w:type="pct"/>
          </w:tcPr>
          <w:p w14:paraId="2902A65B" w14:textId="77777777" w:rsidR="00040A23" w:rsidRDefault="00441950" w:rsidP="00F924B3">
            <w:pPr>
              <w:pStyle w:val="Tabletext"/>
              <w:cnfStyle w:val="000000000000" w:firstRow="0" w:lastRow="0" w:firstColumn="0" w:lastColumn="0" w:oddVBand="0" w:evenVBand="0" w:oddHBand="0" w:evenHBand="0" w:firstRowFirstColumn="0" w:firstRowLastColumn="0" w:lastRowFirstColumn="0" w:lastRowLastColumn="0"/>
            </w:pPr>
            <w:r>
              <w:t>Proposer/</w:t>
            </w:r>
            <w:r w:rsidR="00040A23">
              <w:t>ELEXON</w:t>
            </w:r>
          </w:p>
        </w:tc>
      </w:tr>
      <w:tr w:rsidR="00441950" w:rsidRPr="00563391" w14:paraId="624F1FAA" w14:textId="77777777" w:rsidTr="00B64856">
        <w:tc>
          <w:tcPr>
            <w:cnfStyle w:val="001000000000" w:firstRow="0" w:lastRow="0" w:firstColumn="1" w:lastColumn="0" w:oddVBand="0" w:evenVBand="0" w:oddHBand="0" w:evenHBand="0" w:firstRowFirstColumn="0" w:firstRowLastColumn="0" w:lastRowFirstColumn="0" w:lastRowLastColumn="0"/>
            <w:tcW w:w="404" w:type="pct"/>
          </w:tcPr>
          <w:p w14:paraId="5F8E9CA1" w14:textId="77777777" w:rsidR="00441950" w:rsidRPr="00C74CB7" w:rsidRDefault="00441950" w:rsidP="00F924B3">
            <w:pPr>
              <w:pStyle w:val="Tablenumbered"/>
            </w:pPr>
          </w:p>
        </w:tc>
        <w:tc>
          <w:tcPr>
            <w:tcW w:w="3235" w:type="pct"/>
          </w:tcPr>
          <w:p w14:paraId="7D1BA739" w14:textId="77777777" w:rsidR="00441950" w:rsidRDefault="00441950" w:rsidP="00F924B3">
            <w:pPr>
              <w:pStyle w:val="Tabletext"/>
              <w:cnfStyle w:val="000000000000" w:firstRow="0" w:lastRow="0" w:firstColumn="0" w:lastColumn="0" w:oddVBand="0" w:evenVBand="0" w:oddHBand="0" w:evenHBand="0" w:firstRowFirstColumn="0" w:firstRowLastColumn="0" w:lastRowFirstColumn="0" w:lastRowLastColumn="0"/>
              <w:rPr>
                <w:lang w:eastAsia="en-GB"/>
              </w:rPr>
            </w:pPr>
            <w:r>
              <w:rPr>
                <w:lang w:eastAsia="en-GB"/>
              </w:rPr>
              <w:t>Pick up the COP standards that are applicable and amendable in a straw man document to bring to the next meeting</w:t>
            </w:r>
          </w:p>
        </w:tc>
        <w:tc>
          <w:tcPr>
            <w:tcW w:w="1361" w:type="pct"/>
          </w:tcPr>
          <w:p w14:paraId="28EB34A3" w14:textId="77777777" w:rsidR="00441950" w:rsidRDefault="00441950" w:rsidP="00F924B3">
            <w:pPr>
              <w:pStyle w:val="Tabletext"/>
              <w:cnfStyle w:val="000000000000" w:firstRow="0" w:lastRow="0" w:firstColumn="0" w:lastColumn="0" w:oddVBand="0" w:evenVBand="0" w:oddHBand="0" w:evenHBand="0" w:firstRowFirstColumn="0" w:firstRowLastColumn="0" w:lastRowFirstColumn="0" w:lastRowLastColumn="0"/>
            </w:pPr>
            <w:r>
              <w:t>ELEXON</w:t>
            </w:r>
          </w:p>
        </w:tc>
      </w:tr>
      <w:tr w:rsidR="00040A23" w:rsidRPr="00563391" w14:paraId="0689370B" w14:textId="77777777" w:rsidTr="00B64856">
        <w:tc>
          <w:tcPr>
            <w:cnfStyle w:val="001000000000" w:firstRow="0" w:lastRow="0" w:firstColumn="1" w:lastColumn="0" w:oddVBand="0" w:evenVBand="0" w:oddHBand="0" w:evenHBand="0" w:firstRowFirstColumn="0" w:firstRowLastColumn="0" w:lastRowFirstColumn="0" w:lastRowLastColumn="0"/>
            <w:tcW w:w="404" w:type="pct"/>
          </w:tcPr>
          <w:p w14:paraId="107E9D6B" w14:textId="77777777" w:rsidR="00040A23" w:rsidRPr="00C74CB7" w:rsidRDefault="00040A23" w:rsidP="00F924B3">
            <w:pPr>
              <w:pStyle w:val="Tablenumbered"/>
            </w:pPr>
          </w:p>
        </w:tc>
        <w:tc>
          <w:tcPr>
            <w:tcW w:w="3235" w:type="pct"/>
          </w:tcPr>
          <w:p w14:paraId="6469D17C" w14:textId="77777777" w:rsidR="00040A23" w:rsidRPr="00E43870" w:rsidRDefault="00921087" w:rsidP="00F924B3">
            <w:pPr>
              <w:pStyle w:val="Tabletext"/>
              <w:cnfStyle w:val="000000000000" w:firstRow="0" w:lastRow="0" w:firstColumn="0" w:lastColumn="0" w:oddVBand="0" w:evenVBand="0" w:oddHBand="0" w:evenHBand="0" w:firstRowFirstColumn="0" w:firstRowLastColumn="0" w:lastRowFirstColumn="0" w:lastRowLastColumn="0"/>
            </w:pPr>
            <w:r>
              <w:rPr>
                <w:lang w:eastAsia="en-GB"/>
              </w:rPr>
              <w:t>Present a line loss methodology that can be used for site line losses</w:t>
            </w:r>
          </w:p>
        </w:tc>
        <w:tc>
          <w:tcPr>
            <w:tcW w:w="1361" w:type="pct"/>
          </w:tcPr>
          <w:p w14:paraId="4A96640E" w14:textId="77777777" w:rsidR="00040A23" w:rsidRDefault="00040A23" w:rsidP="00F924B3">
            <w:pPr>
              <w:pStyle w:val="Tabletext"/>
              <w:cnfStyle w:val="000000000000" w:firstRow="0" w:lastRow="0" w:firstColumn="0" w:lastColumn="0" w:oddVBand="0" w:evenVBand="0" w:oddHBand="0" w:evenHBand="0" w:firstRowFirstColumn="0" w:firstRowLastColumn="0" w:lastRowFirstColumn="0" w:lastRowLastColumn="0"/>
            </w:pPr>
            <w:r>
              <w:t>ELEXON</w:t>
            </w:r>
          </w:p>
        </w:tc>
      </w:tr>
    </w:tbl>
    <w:p w14:paraId="59115F2F" w14:textId="60D91876" w:rsidR="0020255E" w:rsidRDefault="0020255E" w:rsidP="00040A23"/>
    <w:sectPr w:rsidR="0020255E" w:rsidSect="00FA38A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62" w:right="794" w:bottom="1928" w:left="794" w:header="87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B89BE" w14:textId="77777777" w:rsidR="00040A23" w:rsidRDefault="00040A23" w:rsidP="00D00160">
      <w:pPr>
        <w:spacing w:after="0"/>
      </w:pPr>
      <w:r>
        <w:separator/>
      </w:r>
    </w:p>
    <w:p w14:paraId="4C9FE356" w14:textId="77777777" w:rsidR="00040A23" w:rsidRDefault="00040A23"/>
  </w:endnote>
  <w:endnote w:type="continuationSeparator" w:id="0">
    <w:p w14:paraId="59387D0A" w14:textId="77777777" w:rsidR="00040A23" w:rsidRDefault="00040A23" w:rsidP="00D00160">
      <w:pPr>
        <w:spacing w:after="0"/>
      </w:pPr>
      <w:r>
        <w:continuationSeparator/>
      </w:r>
    </w:p>
    <w:p w14:paraId="6721BCC6" w14:textId="77777777" w:rsidR="00040A23" w:rsidRDefault="00040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14:paraId="4B3A27BA" w14:textId="77777777" w:rsidTr="008632A3">
      <w:trPr>
        <w:trHeight w:val="159"/>
      </w:trPr>
      <w:tc>
        <w:tcPr>
          <w:tcW w:w="2296" w:type="dxa"/>
          <w:tcBorders>
            <w:top w:val="single" w:sz="36" w:space="0" w:color="0090AB" w:themeColor="text2"/>
          </w:tcBorders>
        </w:tcPr>
        <w:p w14:paraId="08AE7D01" w14:textId="77777777" w:rsidR="00763AB3" w:rsidRDefault="00763AB3" w:rsidP="008632A3">
          <w:pPr>
            <w:pStyle w:val="1pt"/>
          </w:pPr>
        </w:p>
      </w:tc>
      <w:tc>
        <w:tcPr>
          <w:tcW w:w="284" w:type="dxa"/>
        </w:tcPr>
        <w:p w14:paraId="28FE35BA" w14:textId="77777777" w:rsidR="00763AB3" w:rsidRDefault="00763AB3" w:rsidP="008632A3">
          <w:pPr>
            <w:pStyle w:val="1pt"/>
          </w:pPr>
        </w:p>
      </w:tc>
      <w:tc>
        <w:tcPr>
          <w:tcW w:w="2714" w:type="dxa"/>
          <w:tcBorders>
            <w:top w:val="single" w:sz="36" w:space="0" w:color="0090AB" w:themeColor="text2"/>
          </w:tcBorders>
        </w:tcPr>
        <w:p w14:paraId="3B5FFA69" w14:textId="77777777" w:rsidR="00763AB3" w:rsidRDefault="00763AB3" w:rsidP="008632A3">
          <w:pPr>
            <w:pStyle w:val="1pt"/>
          </w:pPr>
        </w:p>
      </w:tc>
      <w:tc>
        <w:tcPr>
          <w:tcW w:w="2712" w:type="dxa"/>
          <w:tcBorders>
            <w:top w:val="single" w:sz="36" w:space="0" w:color="0090AB" w:themeColor="text2"/>
          </w:tcBorders>
        </w:tcPr>
        <w:p w14:paraId="6C165FD0" w14:textId="77777777" w:rsidR="00763AB3" w:rsidRDefault="00763AB3" w:rsidP="008632A3">
          <w:pPr>
            <w:pStyle w:val="1pt"/>
          </w:pPr>
        </w:p>
      </w:tc>
      <w:tc>
        <w:tcPr>
          <w:tcW w:w="2301" w:type="dxa"/>
          <w:tcBorders>
            <w:top w:val="single" w:sz="36" w:space="0" w:color="0090AB" w:themeColor="text2"/>
          </w:tcBorders>
        </w:tcPr>
        <w:p w14:paraId="3166AE51" w14:textId="77777777" w:rsidR="00763AB3" w:rsidRPr="009845EB" w:rsidRDefault="00763AB3" w:rsidP="008632A3">
          <w:pPr>
            <w:pStyle w:val="1pt"/>
          </w:pPr>
        </w:p>
      </w:tc>
    </w:tr>
    <w:tr w:rsidR="00763AB3" w14:paraId="4E971B5E" w14:textId="77777777" w:rsidTr="008632A3">
      <w:trPr>
        <w:trHeight w:val="357"/>
      </w:trPr>
      <w:tc>
        <w:tcPr>
          <w:tcW w:w="2296" w:type="dxa"/>
        </w:tcPr>
        <w:p w14:paraId="1112DD4B" w14:textId="77777777" w:rsidR="00763AB3" w:rsidRPr="00BF573B" w:rsidRDefault="00763AB3" w:rsidP="008632A3">
          <w:pPr>
            <w:pStyle w:val="Footer"/>
          </w:pPr>
          <w:r>
            <w:fldChar w:fldCharType="begin"/>
          </w:r>
          <w:r>
            <w:instrText xml:space="preserve"> STYLEREF  "Footer Ref 1"  \* MERGEFORMAT </w:instrText>
          </w:r>
          <w:r>
            <w:rPr>
              <w:noProof/>
            </w:rPr>
            <w:fldChar w:fldCharType="end"/>
          </w:r>
        </w:p>
      </w:tc>
      <w:tc>
        <w:tcPr>
          <w:tcW w:w="284" w:type="dxa"/>
        </w:tcPr>
        <w:p w14:paraId="1BC04E1B" w14:textId="77777777" w:rsidR="00763AB3" w:rsidRDefault="00763AB3" w:rsidP="008632A3">
          <w:pPr>
            <w:pStyle w:val="Footer"/>
          </w:pPr>
        </w:p>
      </w:tc>
      <w:tc>
        <w:tcPr>
          <w:tcW w:w="5426" w:type="dxa"/>
          <w:gridSpan w:val="2"/>
        </w:tcPr>
        <w:p w14:paraId="3B811CB4" w14:textId="77777777" w:rsidR="00763AB3" w:rsidRDefault="00EC1041" w:rsidP="008632A3">
          <w:pPr>
            <w:pStyle w:val="Footer"/>
          </w:pPr>
          <w:r>
            <w:rPr>
              <w:noProof/>
            </w:rPr>
            <w:fldChar w:fldCharType="begin"/>
          </w:r>
          <w:r>
            <w:rPr>
              <w:noProof/>
            </w:rPr>
            <w:instrText xml:space="preserve"> STYLEREF  "Footer Ref 2"  \* MERGEFORMAT </w:instrText>
          </w:r>
          <w:r>
            <w:rPr>
              <w:noProof/>
            </w:rPr>
            <w:fldChar w:fldCharType="separate"/>
          </w:r>
          <w:r w:rsidR="00040A23">
            <w:rPr>
              <w:noProof/>
            </w:rPr>
            <w:t>[Click to choose a classification]</w:t>
          </w:r>
          <w:r>
            <w:rPr>
              <w:noProof/>
            </w:rPr>
            <w:fldChar w:fldCharType="end"/>
          </w:r>
        </w:p>
      </w:tc>
      <w:tc>
        <w:tcPr>
          <w:tcW w:w="2301" w:type="dxa"/>
          <w:vMerge w:val="restart"/>
          <w:vAlign w:val="bottom"/>
        </w:tcPr>
        <w:p w14:paraId="6336F663" w14:textId="77777777" w:rsidR="00763AB3" w:rsidRDefault="00763AB3" w:rsidP="008632A3">
          <w:pPr>
            <w:pStyle w:val="Footer"/>
          </w:pPr>
          <w:r>
            <w:rPr>
              <w:rFonts w:hint="eastAsia"/>
              <w:noProof/>
              <w:lang w:eastAsia="en-GB"/>
            </w:rPr>
            <w:drawing>
              <wp:inline distT="0" distB="0" distL="0" distR="0" wp14:anchorId="2E4CF3E9" wp14:editId="5935F8AD">
                <wp:extent cx="1461960" cy="36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14:paraId="6D7C9D51" w14:textId="77777777" w:rsidTr="008632A3">
      <w:trPr>
        <w:trHeight w:val="295"/>
      </w:trPr>
      <w:tc>
        <w:tcPr>
          <w:tcW w:w="2296" w:type="dxa"/>
        </w:tcPr>
        <w:p w14:paraId="1601B21A" w14:textId="77777777" w:rsidR="00763AB3" w:rsidRPr="004873F8" w:rsidRDefault="00763AB3" w:rsidP="008632A3">
          <w:pPr>
            <w:pStyle w:val="Footer"/>
          </w:pPr>
          <w:r w:rsidRPr="004873F8">
            <w:t xml:space="preserve">Page </w:t>
          </w:r>
          <w:r>
            <w:fldChar w:fldCharType="begin"/>
          </w:r>
          <w:r>
            <w:instrText xml:space="preserve"> PAGE  \* Arabic  \* MERGEFORMAT </w:instrText>
          </w:r>
          <w:r>
            <w:fldChar w:fldCharType="separate"/>
          </w:r>
          <w:r w:rsidR="00040A23">
            <w:rPr>
              <w:noProof/>
            </w:rPr>
            <w:t>2</w:t>
          </w:r>
          <w:r>
            <w:rPr>
              <w:noProof/>
            </w:rPr>
            <w:fldChar w:fldCharType="end"/>
          </w:r>
          <w:r w:rsidRPr="004873F8">
            <w:t xml:space="preserve"> of </w:t>
          </w:r>
          <w:r w:rsidR="009B34A8">
            <w:rPr>
              <w:noProof/>
            </w:rPr>
            <w:fldChar w:fldCharType="begin"/>
          </w:r>
          <w:r w:rsidR="009B34A8">
            <w:rPr>
              <w:noProof/>
            </w:rPr>
            <w:instrText xml:space="preserve"> NUMPAGES  \* Arabic  \* MERGEFORMAT </w:instrText>
          </w:r>
          <w:r w:rsidR="009B34A8">
            <w:rPr>
              <w:noProof/>
            </w:rPr>
            <w:fldChar w:fldCharType="separate"/>
          </w:r>
          <w:r w:rsidR="00040A23">
            <w:rPr>
              <w:noProof/>
            </w:rPr>
            <w:t>6</w:t>
          </w:r>
          <w:r w:rsidR="009B34A8">
            <w:rPr>
              <w:noProof/>
            </w:rPr>
            <w:fldChar w:fldCharType="end"/>
          </w:r>
        </w:p>
      </w:tc>
      <w:tc>
        <w:tcPr>
          <w:tcW w:w="284" w:type="dxa"/>
        </w:tcPr>
        <w:p w14:paraId="5A1A57D3" w14:textId="77777777" w:rsidR="00763AB3" w:rsidRDefault="00763AB3" w:rsidP="008632A3">
          <w:pPr>
            <w:pStyle w:val="Footer"/>
          </w:pPr>
        </w:p>
      </w:tc>
      <w:tc>
        <w:tcPr>
          <w:tcW w:w="2714" w:type="dxa"/>
        </w:tcPr>
        <w:p w14:paraId="3FA82553" w14:textId="77777777" w:rsidR="00763AB3" w:rsidRDefault="00763AB3" w:rsidP="008632A3">
          <w:pPr>
            <w:pStyle w:val="Footer"/>
          </w:pPr>
          <w:r>
            <w:fldChar w:fldCharType="begin"/>
          </w:r>
          <w:r>
            <w:instrText xml:space="preserve"> STYLEREF  "Footer Date"  \* MERGEFORMAT </w:instrText>
          </w:r>
          <w:r>
            <w:rPr>
              <w:noProof/>
            </w:rPr>
            <w:fldChar w:fldCharType="end"/>
          </w:r>
        </w:p>
      </w:tc>
      <w:tc>
        <w:tcPr>
          <w:tcW w:w="2712" w:type="dxa"/>
        </w:tcPr>
        <w:p w14:paraId="30ACBBAB" w14:textId="11A757EE" w:rsidR="00763AB3" w:rsidRDefault="00763AB3" w:rsidP="008632A3">
          <w:pPr>
            <w:pStyle w:val="Footer"/>
          </w:pPr>
          <w:r>
            <w:t xml:space="preserve">© ELEXON </w:t>
          </w:r>
          <w:r>
            <w:fldChar w:fldCharType="begin"/>
          </w:r>
          <w:r>
            <w:instrText xml:space="preserve"> DATE  \@ "yyyy" </w:instrText>
          </w:r>
          <w:r>
            <w:fldChar w:fldCharType="separate"/>
          </w:r>
          <w:r w:rsidR="00C210F2">
            <w:rPr>
              <w:noProof/>
            </w:rPr>
            <w:t>2019</w:t>
          </w:r>
          <w:r>
            <w:fldChar w:fldCharType="end"/>
          </w:r>
        </w:p>
      </w:tc>
      <w:tc>
        <w:tcPr>
          <w:tcW w:w="2301" w:type="dxa"/>
          <w:vMerge/>
        </w:tcPr>
        <w:p w14:paraId="6DA852C7" w14:textId="77777777" w:rsidR="00763AB3" w:rsidRDefault="00763AB3" w:rsidP="008632A3">
          <w:pPr>
            <w:pStyle w:val="Footer"/>
          </w:pPr>
        </w:p>
      </w:tc>
    </w:tr>
  </w:tbl>
  <w:p w14:paraId="60AC2489" w14:textId="77777777" w:rsidR="00763AB3" w:rsidRDefault="00763AB3" w:rsidP="00025A8A">
    <w:pPr>
      <w:pStyle w:val="1p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520A2" w14:textId="77777777" w:rsidR="00FA38AF" w:rsidRDefault="00FA3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FA38AF" w14:paraId="550BF19E" w14:textId="77777777" w:rsidTr="008632A3">
      <w:trPr>
        <w:trHeight w:val="159"/>
      </w:trPr>
      <w:tc>
        <w:tcPr>
          <w:tcW w:w="2296" w:type="dxa"/>
          <w:tcBorders>
            <w:top w:val="single" w:sz="36" w:space="0" w:color="0090AB" w:themeColor="text2"/>
          </w:tcBorders>
        </w:tcPr>
        <w:p w14:paraId="5D9986C9" w14:textId="77777777" w:rsidR="00FA38AF" w:rsidRDefault="00FA38AF" w:rsidP="008632A3">
          <w:pPr>
            <w:pStyle w:val="1pt"/>
          </w:pPr>
        </w:p>
      </w:tc>
      <w:tc>
        <w:tcPr>
          <w:tcW w:w="284" w:type="dxa"/>
        </w:tcPr>
        <w:p w14:paraId="65D4C86D" w14:textId="77777777" w:rsidR="00FA38AF" w:rsidRDefault="00FA38AF" w:rsidP="008632A3">
          <w:pPr>
            <w:pStyle w:val="1pt"/>
          </w:pPr>
        </w:p>
      </w:tc>
      <w:tc>
        <w:tcPr>
          <w:tcW w:w="2714" w:type="dxa"/>
          <w:tcBorders>
            <w:top w:val="single" w:sz="36" w:space="0" w:color="0090AB" w:themeColor="text2"/>
          </w:tcBorders>
        </w:tcPr>
        <w:p w14:paraId="2F19DDA8" w14:textId="77777777" w:rsidR="00FA38AF" w:rsidRDefault="00FA38AF" w:rsidP="008632A3">
          <w:pPr>
            <w:pStyle w:val="1pt"/>
          </w:pPr>
        </w:p>
      </w:tc>
      <w:tc>
        <w:tcPr>
          <w:tcW w:w="2712" w:type="dxa"/>
          <w:tcBorders>
            <w:top w:val="single" w:sz="36" w:space="0" w:color="0090AB" w:themeColor="text2"/>
          </w:tcBorders>
        </w:tcPr>
        <w:p w14:paraId="0E594AA1" w14:textId="77777777" w:rsidR="00FA38AF" w:rsidRDefault="00FA38AF" w:rsidP="008632A3">
          <w:pPr>
            <w:pStyle w:val="1pt"/>
          </w:pPr>
        </w:p>
      </w:tc>
      <w:tc>
        <w:tcPr>
          <w:tcW w:w="2301" w:type="dxa"/>
          <w:tcBorders>
            <w:top w:val="single" w:sz="36" w:space="0" w:color="0090AB" w:themeColor="text2"/>
          </w:tcBorders>
        </w:tcPr>
        <w:p w14:paraId="1290B8BD" w14:textId="77777777" w:rsidR="00FA38AF" w:rsidRPr="009845EB" w:rsidRDefault="00FA38AF" w:rsidP="008632A3">
          <w:pPr>
            <w:pStyle w:val="1pt"/>
          </w:pPr>
        </w:p>
      </w:tc>
    </w:tr>
    <w:tr w:rsidR="00FA38AF" w14:paraId="37204315" w14:textId="77777777" w:rsidTr="008632A3">
      <w:trPr>
        <w:trHeight w:val="357"/>
      </w:trPr>
      <w:tc>
        <w:tcPr>
          <w:tcW w:w="2296" w:type="dxa"/>
        </w:tcPr>
        <w:p w14:paraId="464114C3" w14:textId="79EC8C6C" w:rsidR="00FA38AF" w:rsidRPr="00BF573B" w:rsidRDefault="00441950" w:rsidP="00040A23">
          <w:pPr>
            <w:pStyle w:val="Footer"/>
            <w:tabs>
              <w:tab w:val="right" w:pos="2183"/>
            </w:tabs>
          </w:pPr>
          <w:r>
            <w:rPr>
              <w:noProof/>
            </w:rPr>
            <w:fldChar w:fldCharType="begin"/>
          </w:r>
          <w:r>
            <w:rPr>
              <w:noProof/>
            </w:rPr>
            <w:instrText xml:space="preserve"> STYLEREF  "Footer Ref 1"  \* MERGEFORMAT </w:instrText>
          </w:r>
          <w:r>
            <w:rPr>
              <w:noProof/>
            </w:rPr>
            <w:fldChar w:fldCharType="separate"/>
          </w:r>
          <w:r w:rsidR="00C210F2">
            <w:rPr>
              <w:noProof/>
            </w:rPr>
            <w:t>P375/6 Workgroup summary</w:t>
          </w:r>
          <w:r>
            <w:rPr>
              <w:noProof/>
            </w:rPr>
            <w:fldChar w:fldCharType="end"/>
          </w:r>
          <w:r w:rsidR="00040A23">
            <w:rPr>
              <w:noProof/>
            </w:rPr>
            <w:tab/>
          </w:r>
        </w:p>
      </w:tc>
      <w:tc>
        <w:tcPr>
          <w:tcW w:w="284" w:type="dxa"/>
        </w:tcPr>
        <w:p w14:paraId="49C658ED" w14:textId="77777777" w:rsidR="00FA38AF" w:rsidRDefault="00FA38AF" w:rsidP="008632A3">
          <w:pPr>
            <w:pStyle w:val="Footer"/>
          </w:pPr>
        </w:p>
      </w:tc>
      <w:tc>
        <w:tcPr>
          <w:tcW w:w="5426" w:type="dxa"/>
          <w:gridSpan w:val="2"/>
        </w:tcPr>
        <w:p w14:paraId="594E5F00" w14:textId="1BADBAAD" w:rsidR="00FA38AF" w:rsidRDefault="007979CF" w:rsidP="008632A3">
          <w:pPr>
            <w:pStyle w:val="Footer"/>
          </w:pPr>
          <w:r>
            <w:rPr>
              <w:noProof/>
            </w:rPr>
            <w:fldChar w:fldCharType="begin"/>
          </w:r>
          <w:r>
            <w:rPr>
              <w:noProof/>
            </w:rPr>
            <w:instrText xml:space="preserve"> STYLEREF  "Footer Ref 2"  \* MERGEFORMAT </w:instrText>
          </w:r>
          <w:r>
            <w:rPr>
              <w:noProof/>
            </w:rPr>
            <w:fldChar w:fldCharType="end"/>
          </w:r>
        </w:p>
      </w:tc>
      <w:tc>
        <w:tcPr>
          <w:tcW w:w="2301" w:type="dxa"/>
          <w:vMerge w:val="restart"/>
          <w:vAlign w:val="bottom"/>
        </w:tcPr>
        <w:p w14:paraId="2E9F7A36" w14:textId="77777777" w:rsidR="00FA38AF" w:rsidRDefault="00FA38AF" w:rsidP="008632A3">
          <w:pPr>
            <w:pStyle w:val="Footer"/>
          </w:pPr>
          <w:r>
            <w:rPr>
              <w:rFonts w:hint="eastAsia"/>
              <w:noProof/>
              <w:lang w:eastAsia="en-GB"/>
            </w:rPr>
            <w:drawing>
              <wp:inline distT="0" distB="0" distL="0" distR="0" wp14:anchorId="0691F1AF" wp14:editId="27F186DD">
                <wp:extent cx="1461960" cy="36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FA38AF" w14:paraId="2529EDE7" w14:textId="77777777" w:rsidTr="008632A3">
      <w:trPr>
        <w:trHeight w:val="295"/>
      </w:trPr>
      <w:tc>
        <w:tcPr>
          <w:tcW w:w="2296" w:type="dxa"/>
        </w:tcPr>
        <w:p w14:paraId="6BBA51D2" w14:textId="06C54C79" w:rsidR="00FA38AF" w:rsidRPr="004873F8" w:rsidRDefault="00FA38AF" w:rsidP="008632A3">
          <w:pPr>
            <w:pStyle w:val="Footer"/>
          </w:pPr>
          <w:r w:rsidRPr="004873F8">
            <w:t xml:space="preserve">Page </w:t>
          </w:r>
          <w:r>
            <w:fldChar w:fldCharType="begin"/>
          </w:r>
          <w:r>
            <w:instrText xml:space="preserve"> PAGE  \* Arabic  \* MERGEFORMAT </w:instrText>
          </w:r>
          <w:r>
            <w:fldChar w:fldCharType="separate"/>
          </w:r>
          <w:r w:rsidR="00C210F2">
            <w:rPr>
              <w:noProof/>
            </w:rPr>
            <w:t>5</w:t>
          </w:r>
          <w:r>
            <w:rPr>
              <w:noProof/>
            </w:rPr>
            <w:fldChar w:fldCharType="end"/>
          </w:r>
          <w:r w:rsidRPr="004873F8">
            <w:t xml:space="preserve"> of </w:t>
          </w:r>
          <w:r w:rsidR="009B34A8">
            <w:rPr>
              <w:noProof/>
            </w:rPr>
            <w:fldChar w:fldCharType="begin"/>
          </w:r>
          <w:r w:rsidR="009B34A8">
            <w:rPr>
              <w:noProof/>
            </w:rPr>
            <w:instrText xml:space="preserve"> NUMPAGES  \* Arabic  \* MERGEFORMAT </w:instrText>
          </w:r>
          <w:r w:rsidR="009B34A8">
            <w:rPr>
              <w:noProof/>
            </w:rPr>
            <w:fldChar w:fldCharType="separate"/>
          </w:r>
          <w:r w:rsidR="00C210F2">
            <w:rPr>
              <w:noProof/>
            </w:rPr>
            <w:t>5</w:t>
          </w:r>
          <w:r w:rsidR="009B34A8">
            <w:rPr>
              <w:noProof/>
            </w:rPr>
            <w:fldChar w:fldCharType="end"/>
          </w:r>
        </w:p>
      </w:tc>
      <w:tc>
        <w:tcPr>
          <w:tcW w:w="284" w:type="dxa"/>
        </w:tcPr>
        <w:p w14:paraId="65E1D348" w14:textId="77777777" w:rsidR="00FA38AF" w:rsidRDefault="00FA38AF" w:rsidP="008632A3">
          <w:pPr>
            <w:pStyle w:val="Footer"/>
          </w:pPr>
        </w:p>
      </w:tc>
      <w:tc>
        <w:tcPr>
          <w:tcW w:w="2714" w:type="dxa"/>
        </w:tcPr>
        <w:p w14:paraId="237363E0" w14:textId="353BB4C9" w:rsidR="00FA38AF" w:rsidRDefault="00FA38AF" w:rsidP="008632A3">
          <w:pPr>
            <w:pStyle w:val="Footer"/>
          </w:pPr>
          <w:r>
            <w:fldChar w:fldCharType="begin"/>
          </w:r>
          <w:r>
            <w:instrText xml:space="preserve"> STYLEREF  "Footer Date"  \* MERGEFORMAT </w:instrText>
          </w:r>
          <w:r>
            <w:rPr>
              <w:noProof/>
            </w:rPr>
            <w:fldChar w:fldCharType="end"/>
          </w:r>
        </w:p>
      </w:tc>
      <w:tc>
        <w:tcPr>
          <w:tcW w:w="2712" w:type="dxa"/>
        </w:tcPr>
        <w:p w14:paraId="1CCB3F60" w14:textId="2A04DA42" w:rsidR="00FA38AF" w:rsidRDefault="00FA38AF" w:rsidP="008632A3">
          <w:pPr>
            <w:pStyle w:val="Footer"/>
          </w:pPr>
          <w:r>
            <w:t xml:space="preserve">© ELEXON </w:t>
          </w:r>
          <w:r>
            <w:fldChar w:fldCharType="begin"/>
          </w:r>
          <w:r>
            <w:instrText xml:space="preserve"> DATE  \@ "yyyy" </w:instrText>
          </w:r>
          <w:r>
            <w:fldChar w:fldCharType="separate"/>
          </w:r>
          <w:r w:rsidR="00C210F2">
            <w:rPr>
              <w:noProof/>
            </w:rPr>
            <w:t>2019</w:t>
          </w:r>
          <w:r>
            <w:fldChar w:fldCharType="end"/>
          </w:r>
        </w:p>
      </w:tc>
      <w:tc>
        <w:tcPr>
          <w:tcW w:w="2301" w:type="dxa"/>
          <w:vMerge/>
        </w:tcPr>
        <w:p w14:paraId="3C4B05CA" w14:textId="77777777" w:rsidR="00FA38AF" w:rsidRDefault="00FA38AF" w:rsidP="008632A3">
          <w:pPr>
            <w:pStyle w:val="Footer"/>
          </w:pPr>
        </w:p>
      </w:tc>
    </w:tr>
  </w:tbl>
  <w:p w14:paraId="54987063" w14:textId="77777777" w:rsidR="00FA38AF" w:rsidRDefault="00FA38AF" w:rsidP="00025A8A">
    <w:pPr>
      <w:pStyle w:val="1p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7FB8C" w14:textId="77777777" w:rsidR="00FA38AF" w:rsidRDefault="00FA3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B8FCD" w14:textId="77777777" w:rsidR="00040A23" w:rsidRDefault="00040A23" w:rsidP="00D00160">
      <w:pPr>
        <w:spacing w:after="0"/>
      </w:pPr>
      <w:r>
        <w:separator/>
      </w:r>
    </w:p>
    <w:p w14:paraId="00E86998" w14:textId="77777777" w:rsidR="00040A23" w:rsidRDefault="00040A23"/>
  </w:footnote>
  <w:footnote w:type="continuationSeparator" w:id="0">
    <w:p w14:paraId="5BBC3D24" w14:textId="77777777" w:rsidR="00040A23" w:rsidRDefault="00040A23" w:rsidP="00D00160">
      <w:pPr>
        <w:spacing w:after="0"/>
      </w:pPr>
      <w:r>
        <w:continuationSeparator/>
      </w:r>
    </w:p>
    <w:p w14:paraId="5F8276C0" w14:textId="77777777" w:rsidR="00040A23" w:rsidRDefault="00040A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763AB3" w:rsidRPr="009D47D6" w14:paraId="34D7C08E" w14:textId="77777777" w:rsidTr="008632A3">
      <w:trPr>
        <w:cantSplit/>
        <w:trHeight w:hRule="exact" w:val="284"/>
      </w:trPr>
      <w:tc>
        <w:tcPr>
          <w:tcW w:w="10318" w:type="dxa"/>
          <w:tcBorders>
            <w:top w:val="nil"/>
            <w:bottom w:val="nil"/>
          </w:tcBorders>
        </w:tcPr>
        <w:p w14:paraId="7449232F" w14:textId="77777777" w:rsidR="00763AB3" w:rsidRDefault="00763AB3" w:rsidP="008632A3">
          <w:pPr>
            <w:pStyle w:val="BodyText"/>
          </w:pPr>
        </w:p>
      </w:tc>
    </w:tr>
    <w:tr w:rsidR="00763AB3" w:rsidRPr="009D47D6" w14:paraId="0B4FFE23" w14:textId="77777777" w:rsidTr="008632A3">
      <w:trPr>
        <w:cantSplit/>
        <w:trHeight w:hRule="exact" w:val="550"/>
      </w:trPr>
      <w:tc>
        <w:tcPr>
          <w:tcW w:w="10318" w:type="dxa"/>
          <w:tcBorders>
            <w:top w:val="nil"/>
          </w:tcBorders>
        </w:tcPr>
        <w:p w14:paraId="5402D270" w14:textId="77777777" w:rsidR="00763AB3" w:rsidRPr="009D47D6" w:rsidRDefault="00441950" w:rsidP="008632A3">
          <w:pPr>
            <w:pStyle w:val="Title"/>
          </w:pPr>
          <w:r>
            <w:rPr>
              <w:noProof/>
            </w:rPr>
            <w:fldChar w:fldCharType="begin"/>
          </w:r>
          <w:r>
            <w:rPr>
              <w:noProof/>
            </w:rPr>
            <w:instrText xml:space="preserve"> STYLEREF  Title  \* MERGEFORMAT </w:instrText>
          </w:r>
          <w:r>
            <w:rPr>
              <w:noProof/>
            </w:rPr>
            <w:fldChar w:fldCharType="separate"/>
          </w:r>
          <w:r w:rsidR="00040A23">
            <w:rPr>
              <w:noProof/>
            </w:rPr>
            <w:t>P375/6 summary and actions</w:t>
          </w:r>
          <w:r>
            <w:rPr>
              <w:noProof/>
            </w:rPr>
            <w:fldChar w:fldCharType="end"/>
          </w:r>
        </w:p>
      </w:tc>
    </w:tr>
    <w:tr w:rsidR="00763AB3" w:rsidRPr="009D47D6" w14:paraId="0F91222E" w14:textId="77777777" w:rsidTr="008632A3">
      <w:trPr>
        <w:cantSplit/>
        <w:trHeight w:hRule="exact" w:val="369"/>
      </w:trPr>
      <w:tc>
        <w:tcPr>
          <w:tcW w:w="10318" w:type="dxa"/>
        </w:tcPr>
        <w:p w14:paraId="16D54A53" w14:textId="77777777" w:rsidR="00763AB3" w:rsidRPr="009D47D6" w:rsidRDefault="00763AB3" w:rsidP="008632A3">
          <w:pPr>
            <w:pStyle w:val="BodyText"/>
          </w:pPr>
        </w:p>
      </w:tc>
    </w:tr>
  </w:tbl>
  <w:p w14:paraId="4DD8F1E3" w14:textId="77777777" w:rsidR="00763AB3" w:rsidRDefault="00763AB3" w:rsidP="00025A8A">
    <w:pPr>
      <w:pStyle w:val="1p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A7F7" w14:textId="77777777" w:rsidR="00FA38AF" w:rsidRDefault="00FA3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FA38AF" w:rsidRPr="009D47D6" w14:paraId="7F721F86" w14:textId="77777777" w:rsidTr="008632A3">
      <w:trPr>
        <w:cantSplit/>
        <w:trHeight w:hRule="exact" w:val="284"/>
      </w:trPr>
      <w:tc>
        <w:tcPr>
          <w:tcW w:w="10318" w:type="dxa"/>
          <w:tcBorders>
            <w:top w:val="nil"/>
            <w:bottom w:val="nil"/>
          </w:tcBorders>
        </w:tcPr>
        <w:p w14:paraId="06EAF97F" w14:textId="77777777" w:rsidR="00FA38AF" w:rsidRDefault="00FA38AF" w:rsidP="008632A3">
          <w:pPr>
            <w:pStyle w:val="BodyText"/>
          </w:pPr>
        </w:p>
      </w:tc>
    </w:tr>
    <w:tr w:rsidR="00FA38AF" w:rsidRPr="009D47D6" w14:paraId="53CD5239" w14:textId="77777777" w:rsidTr="003D0B17">
      <w:trPr>
        <w:cantSplit/>
        <w:trHeight w:val="550"/>
      </w:trPr>
      <w:tc>
        <w:tcPr>
          <w:tcW w:w="10318" w:type="dxa"/>
          <w:tcBorders>
            <w:top w:val="nil"/>
          </w:tcBorders>
        </w:tcPr>
        <w:p w14:paraId="58306631" w14:textId="724789AC" w:rsidR="00FA38AF" w:rsidRPr="009D47D6" w:rsidRDefault="009B34A8" w:rsidP="008632A3">
          <w:pPr>
            <w:pStyle w:val="Title"/>
          </w:pPr>
          <w:r>
            <w:rPr>
              <w:noProof/>
            </w:rPr>
            <w:fldChar w:fldCharType="begin"/>
          </w:r>
          <w:r>
            <w:rPr>
              <w:noProof/>
            </w:rPr>
            <w:instrText xml:space="preserve"> STYLEREF  Title  \* MERGEFORMAT </w:instrText>
          </w:r>
          <w:r>
            <w:rPr>
              <w:noProof/>
            </w:rPr>
            <w:fldChar w:fldCharType="separate"/>
          </w:r>
          <w:r w:rsidR="00C210F2">
            <w:rPr>
              <w:noProof/>
            </w:rPr>
            <w:t>P375/6 summary and actions</w:t>
          </w:r>
          <w:r>
            <w:rPr>
              <w:noProof/>
            </w:rPr>
            <w:fldChar w:fldCharType="end"/>
          </w:r>
        </w:p>
      </w:tc>
    </w:tr>
    <w:tr w:rsidR="00FA38AF" w:rsidRPr="009D47D6" w14:paraId="2D8A2D86" w14:textId="77777777" w:rsidTr="008632A3">
      <w:trPr>
        <w:cantSplit/>
        <w:trHeight w:hRule="exact" w:val="369"/>
      </w:trPr>
      <w:tc>
        <w:tcPr>
          <w:tcW w:w="10318" w:type="dxa"/>
        </w:tcPr>
        <w:p w14:paraId="06D8282E" w14:textId="77777777" w:rsidR="00FA38AF" w:rsidRPr="009D47D6" w:rsidRDefault="00FA38AF" w:rsidP="008632A3">
          <w:pPr>
            <w:pStyle w:val="BodyText"/>
          </w:pPr>
        </w:p>
      </w:tc>
    </w:tr>
  </w:tbl>
  <w:p w14:paraId="29014C17" w14:textId="77777777" w:rsidR="00FA38AF" w:rsidRDefault="00FA38AF" w:rsidP="00025A8A">
    <w:pPr>
      <w:pStyle w:val="1p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BE6E" w14:textId="77777777" w:rsidR="00FA38AF" w:rsidRDefault="00FA3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7674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DE83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DA29E2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C6A65C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DF34DA6"/>
    <w:multiLevelType w:val="multilevel"/>
    <w:tmpl w:val="2E4EC6B8"/>
    <w:numStyleLink w:val="ListBullets"/>
  </w:abstractNum>
  <w:abstractNum w:abstractNumId="5"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6" w15:restartNumberingAfterBreak="0">
    <w:nsid w:val="1498346A"/>
    <w:multiLevelType w:val="hybridMultilevel"/>
    <w:tmpl w:val="C7D6F5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B4FFB"/>
    <w:multiLevelType w:val="multilevel"/>
    <w:tmpl w:val="6DDC093C"/>
    <w:numStyleLink w:val="ListNumbers"/>
  </w:abstractNum>
  <w:abstractNum w:abstractNumId="8"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9" w15:restartNumberingAfterBreak="0">
    <w:nsid w:val="2C0F7816"/>
    <w:multiLevelType w:val="multilevel"/>
    <w:tmpl w:val="A28EC53E"/>
    <w:numStyleLink w:val="ListHeadings"/>
  </w:abstractNum>
  <w:abstractNum w:abstractNumId="10"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1"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2"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E225E17"/>
    <w:multiLevelType w:val="multilevel"/>
    <w:tmpl w:val="A28EC53E"/>
    <w:numStyleLink w:val="ListHeadings"/>
  </w:abstractNum>
  <w:abstractNum w:abstractNumId="14" w15:restartNumberingAfterBreak="0">
    <w:nsid w:val="46A73215"/>
    <w:multiLevelType w:val="multilevel"/>
    <w:tmpl w:val="2E4EC6B8"/>
    <w:numStyleLink w:val="ListBullets"/>
  </w:abstractNum>
  <w:abstractNum w:abstractNumId="15" w15:restartNumberingAfterBreak="0">
    <w:nsid w:val="4E060A0C"/>
    <w:multiLevelType w:val="multilevel"/>
    <w:tmpl w:val="2E4EC6B8"/>
    <w:numStyleLink w:val="ListBullets"/>
  </w:abstractNum>
  <w:abstractNum w:abstractNumId="16" w15:restartNumberingAfterBreak="0">
    <w:nsid w:val="5D596BEA"/>
    <w:multiLevelType w:val="multilevel"/>
    <w:tmpl w:val="A28EC53E"/>
    <w:numStyleLink w:val="ListHeadings"/>
  </w:abstractNum>
  <w:abstractNum w:abstractNumId="17" w15:restartNumberingAfterBreak="0">
    <w:nsid w:val="60E33CAB"/>
    <w:multiLevelType w:val="multilevel"/>
    <w:tmpl w:val="2E4EC6B8"/>
    <w:numStyleLink w:val="ListBullets"/>
  </w:abstractNum>
  <w:abstractNum w:abstractNumId="18" w15:restartNumberingAfterBreak="0">
    <w:nsid w:val="73D63850"/>
    <w:multiLevelType w:val="multilevel"/>
    <w:tmpl w:val="269C7F9C"/>
    <w:numStyleLink w:val="ListTable"/>
  </w:abstractNum>
  <w:abstractNum w:abstractNumId="19" w15:restartNumberingAfterBreak="0">
    <w:nsid w:val="73FF3C1E"/>
    <w:multiLevelType w:val="multilevel"/>
    <w:tmpl w:val="2E4EC6B8"/>
    <w:numStyleLink w:val="ListBullets"/>
  </w:abstractNum>
  <w:abstractNum w:abstractNumId="20" w15:restartNumberingAfterBreak="0">
    <w:nsid w:val="7D004CA6"/>
    <w:multiLevelType w:val="multilevel"/>
    <w:tmpl w:val="2E4EC6B8"/>
    <w:numStyleLink w:val="ListBullets"/>
  </w:abstractNum>
  <w:abstractNum w:abstractNumId="21" w15:restartNumberingAfterBreak="0">
    <w:nsid w:val="7DE21902"/>
    <w:multiLevelType w:val="multilevel"/>
    <w:tmpl w:val="6DDC093C"/>
    <w:numStyleLink w:val="ListNumbers"/>
  </w:abstractNum>
  <w:abstractNum w:abstractNumId="22" w15:restartNumberingAfterBreak="0">
    <w:nsid w:val="7F0825B4"/>
    <w:multiLevelType w:val="multilevel"/>
    <w:tmpl w:val="2E4EC6B8"/>
    <w:numStyleLink w:val="ListBullets"/>
  </w:abstractNum>
  <w:num w:numId="1">
    <w:abstractNumId w:val="11"/>
  </w:num>
  <w:num w:numId="2">
    <w:abstractNumId w:val="5"/>
  </w:num>
  <w:num w:numId="3">
    <w:abstractNumId w:val="8"/>
  </w:num>
  <w:num w:numId="4">
    <w:abstractNumId w:val="16"/>
  </w:num>
  <w:num w:numId="5">
    <w:abstractNumId w:val="12"/>
  </w:num>
  <w:num w:numId="6">
    <w:abstractNumId w:val="15"/>
  </w:num>
  <w:num w:numId="7">
    <w:abstractNumId w:val="7"/>
  </w:num>
  <w:num w:numId="8">
    <w:abstractNumId w:val="3"/>
  </w:num>
  <w:num w:numId="9">
    <w:abstractNumId w:val="2"/>
  </w:num>
  <w:num w:numId="10">
    <w:abstractNumId w:val="1"/>
  </w:num>
  <w:num w:numId="11">
    <w:abstractNumId w:val="0"/>
  </w:num>
  <w:num w:numId="12">
    <w:abstractNumId w:val="14"/>
  </w:num>
  <w:num w:numId="13">
    <w:abstractNumId w:val="17"/>
  </w:num>
  <w:num w:numId="14">
    <w:abstractNumId w:val="4"/>
  </w:num>
  <w:num w:numId="15">
    <w:abstractNumId w:val="22"/>
  </w:num>
  <w:num w:numId="16">
    <w:abstractNumId w:val="19"/>
  </w:num>
  <w:num w:numId="17">
    <w:abstractNumId w:val="9"/>
  </w:num>
  <w:num w:numId="18">
    <w:abstractNumId w:val="20"/>
  </w:num>
  <w:num w:numId="19">
    <w:abstractNumId w:val="21"/>
  </w:num>
  <w:num w:numId="20">
    <w:abstractNumId w:val="11"/>
  </w:num>
  <w:num w:numId="21">
    <w:abstractNumId w:val="5"/>
  </w:num>
  <w:num w:numId="22">
    <w:abstractNumId w:val="8"/>
  </w:num>
  <w:num w:numId="23">
    <w:abstractNumId w:val="10"/>
  </w:num>
  <w:num w:numId="24">
    <w:abstractNumId w:val="13"/>
  </w:num>
  <w:num w:numId="25">
    <w:abstractNumId w:val="13"/>
  </w:num>
  <w:num w:numId="26">
    <w:abstractNumId w:val="13"/>
  </w:num>
  <w:num w:numId="27">
    <w:abstractNumId w:val="18"/>
  </w:num>
  <w:num w:numId="28">
    <w:abstractNumId w:val="20"/>
  </w:num>
  <w:num w:numId="29">
    <w:abstractNumId w:val="20"/>
  </w:num>
  <w:num w:numId="30">
    <w:abstractNumId w:val="20"/>
  </w:num>
  <w:num w:numId="3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1228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23"/>
    <w:rsid w:val="00003DBA"/>
    <w:rsid w:val="000078F3"/>
    <w:rsid w:val="000128C9"/>
    <w:rsid w:val="00015631"/>
    <w:rsid w:val="00015705"/>
    <w:rsid w:val="0001665B"/>
    <w:rsid w:val="00016997"/>
    <w:rsid w:val="00022399"/>
    <w:rsid w:val="0002328B"/>
    <w:rsid w:val="00023814"/>
    <w:rsid w:val="00024FCF"/>
    <w:rsid w:val="00025108"/>
    <w:rsid w:val="00025A8A"/>
    <w:rsid w:val="00026FC0"/>
    <w:rsid w:val="00035FC0"/>
    <w:rsid w:val="00040A23"/>
    <w:rsid w:val="00041EC1"/>
    <w:rsid w:val="00045857"/>
    <w:rsid w:val="00046BF8"/>
    <w:rsid w:val="00047923"/>
    <w:rsid w:val="00050889"/>
    <w:rsid w:val="00051C54"/>
    <w:rsid w:val="000573F4"/>
    <w:rsid w:val="0006412A"/>
    <w:rsid w:val="0006470B"/>
    <w:rsid w:val="00081421"/>
    <w:rsid w:val="00083A4B"/>
    <w:rsid w:val="00084BB0"/>
    <w:rsid w:val="000A03BE"/>
    <w:rsid w:val="000A32E3"/>
    <w:rsid w:val="000B0BF6"/>
    <w:rsid w:val="000B64DB"/>
    <w:rsid w:val="000C0795"/>
    <w:rsid w:val="000C4DC9"/>
    <w:rsid w:val="000C4F41"/>
    <w:rsid w:val="000C543E"/>
    <w:rsid w:val="000C7695"/>
    <w:rsid w:val="000D4049"/>
    <w:rsid w:val="000D559A"/>
    <w:rsid w:val="000E25F9"/>
    <w:rsid w:val="000F670D"/>
    <w:rsid w:val="000F6CC1"/>
    <w:rsid w:val="00105F47"/>
    <w:rsid w:val="001063E6"/>
    <w:rsid w:val="001069B5"/>
    <w:rsid w:val="001120E5"/>
    <w:rsid w:val="00114B30"/>
    <w:rsid w:val="001226F1"/>
    <w:rsid w:val="00123FE3"/>
    <w:rsid w:val="0012434E"/>
    <w:rsid w:val="001246C7"/>
    <w:rsid w:val="00125B2A"/>
    <w:rsid w:val="0012760C"/>
    <w:rsid w:val="00127CD0"/>
    <w:rsid w:val="00130B0E"/>
    <w:rsid w:val="00130CF5"/>
    <w:rsid w:val="0014452C"/>
    <w:rsid w:val="00151EA9"/>
    <w:rsid w:val="00155174"/>
    <w:rsid w:val="0016442A"/>
    <w:rsid w:val="00164C03"/>
    <w:rsid w:val="00166D0F"/>
    <w:rsid w:val="00183C5E"/>
    <w:rsid w:val="00184103"/>
    <w:rsid w:val="0019370E"/>
    <w:rsid w:val="00193B3A"/>
    <w:rsid w:val="001A04A1"/>
    <w:rsid w:val="001A3219"/>
    <w:rsid w:val="001A5418"/>
    <w:rsid w:val="001B01E6"/>
    <w:rsid w:val="001B0740"/>
    <w:rsid w:val="001C7617"/>
    <w:rsid w:val="001D09C2"/>
    <w:rsid w:val="001D222B"/>
    <w:rsid w:val="001D362E"/>
    <w:rsid w:val="001E0DED"/>
    <w:rsid w:val="001E2050"/>
    <w:rsid w:val="001F5FF8"/>
    <w:rsid w:val="00200719"/>
    <w:rsid w:val="0020255E"/>
    <w:rsid w:val="002050E1"/>
    <w:rsid w:val="00224CBF"/>
    <w:rsid w:val="00227464"/>
    <w:rsid w:val="00241ED6"/>
    <w:rsid w:val="00243F75"/>
    <w:rsid w:val="00253B86"/>
    <w:rsid w:val="0025704F"/>
    <w:rsid w:val="00270DC2"/>
    <w:rsid w:val="002720A6"/>
    <w:rsid w:val="00272B0C"/>
    <w:rsid w:val="00275E71"/>
    <w:rsid w:val="00276651"/>
    <w:rsid w:val="002811FE"/>
    <w:rsid w:val="002836E6"/>
    <w:rsid w:val="00283B5E"/>
    <w:rsid w:val="002850A8"/>
    <w:rsid w:val="00287A11"/>
    <w:rsid w:val="00290EEC"/>
    <w:rsid w:val="00293848"/>
    <w:rsid w:val="002A1873"/>
    <w:rsid w:val="002A4FFD"/>
    <w:rsid w:val="002B2467"/>
    <w:rsid w:val="002B60FA"/>
    <w:rsid w:val="002B64C3"/>
    <w:rsid w:val="002C2A71"/>
    <w:rsid w:val="002D4ED7"/>
    <w:rsid w:val="002E1537"/>
    <w:rsid w:val="002E4FC5"/>
    <w:rsid w:val="002E52AF"/>
    <w:rsid w:val="002E7A18"/>
    <w:rsid w:val="002F138B"/>
    <w:rsid w:val="002F2F81"/>
    <w:rsid w:val="002F6971"/>
    <w:rsid w:val="00306E69"/>
    <w:rsid w:val="00312A7C"/>
    <w:rsid w:val="00317950"/>
    <w:rsid w:val="00326268"/>
    <w:rsid w:val="00333E34"/>
    <w:rsid w:val="00350F5E"/>
    <w:rsid w:val="00351A33"/>
    <w:rsid w:val="0035504E"/>
    <w:rsid w:val="00356E74"/>
    <w:rsid w:val="00360453"/>
    <w:rsid w:val="00370AB7"/>
    <w:rsid w:val="00375CC5"/>
    <w:rsid w:val="003812E8"/>
    <w:rsid w:val="00383845"/>
    <w:rsid w:val="003A1CE2"/>
    <w:rsid w:val="003A5A5F"/>
    <w:rsid w:val="003A60F6"/>
    <w:rsid w:val="003A6BD3"/>
    <w:rsid w:val="003B1693"/>
    <w:rsid w:val="003B566A"/>
    <w:rsid w:val="003C2435"/>
    <w:rsid w:val="003C6FA2"/>
    <w:rsid w:val="003D0B17"/>
    <w:rsid w:val="003D154E"/>
    <w:rsid w:val="003D20BC"/>
    <w:rsid w:val="003D2F63"/>
    <w:rsid w:val="003D527A"/>
    <w:rsid w:val="003E3D26"/>
    <w:rsid w:val="003F6936"/>
    <w:rsid w:val="0040030D"/>
    <w:rsid w:val="00401A30"/>
    <w:rsid w:val="004022EE"/>
    <w:rsid w:val="00412CE1"/>
    <w:rsid w:val="004133F4"/>
    <w:rsid w:val="004204F4"/>
    <w:rsid w:val="0043259F"/>
    <w:rsid w:val="0043358D"/>
    <w:rsid w:val="00441950"/>
    <w:rsid w:val="00456823"/>
    <w:rsid w:val="004626FC"/>
    <w:rsid w:val="00464C7E"/>
    <w:rsid w:val="00465A5E"/>
    <w:rsid w:val="00466CAF"/>
    <w:rsid w:val="00467F86"/>
    <w:rsid w:val="00474B80"/>
    <w:rsid w:val="0048235F"/>
    <w:rsid w:val="0048274B"/>
    <w:rsid w:val="00483183"/>
    <w:rsid w:val="004833E5"/>
    <w:rsid w:val="004844C2"/>
    <w:rsid w:val="004849C8"/>
    <w:rsid w:val="00484A2B"/>
    <w:rsid w:val="00486E3A"/>
    <w:rsid w:val="004873F8"/>
    <w:rsid w:val="004904CA"/>
    <w:rsid w:val="00492353"/>
    <w:rsid w:val="00493A65"/>
    <w:rsid w:val="0049503B"/>
    <w:rsid w:val="0049627F"/>
    <w:rsid w:val="004A135F"/>
    <w:rsid w:val="004A5FDA"/>
    <w:rsid w:val="004B4F5D"/>
    <w:rsid w:val="004B51B6"/>
    <w:rsid w:val="004C143F"/>
    <w:rsid w:val="004C753B"/>
    <w:rsid w:val="004D4201"/>
    <w:rsid w:val="004D4C4F"/>
    <w:rsid w:val="004E135A"/>
    <w:rsid w:val="004E3651"/>
    <w:rsid w:val="004E5EB7"/>
    <w:rsid w:val="004F0137"/>
    <w:rsid w:val="00506E22"/>
    <w:rsid w:val="00510487"/>
    <w:rsid w:val="00511557"/>
    <w:rsid w:val="005129DD"/>
    <w:rsid w:val="00517007"/>
    <w:rsid w:val="00526528"/>
    <w:rsid w:val="00526D98"/>
    <w:rsid w:val="00541E77"/>
    <w:rsid w:val="005423DC"/>
    <w:rsid w:val="00555C8C"/>
    <w:rsid w:val="00556B2F"/>
    <w:rsid w:val="005600ED"/>
    <w:rsid w:val="0057310D"/>
    <w:rsid w:val="005745BE"/>
    <w:rsid w:val="00580B4F"/>
    <w:rsid w:val="00583067"/>
    <w:rsid w:val="00593D67"/>
    <w:rsid w:val="00596B83"/>
    <w:rsid w:val="005A3992"/>
    <w:rsid w:val="005A3FBE"/>
    <w:rsid w:val="005A5015"/>
    <w:rsid w:val="005C63AE"/>
    <w:rsid w:val="005D267A"/>
    <w:rsid w:val="005D30F0"/>
    <w:rsid w:val="005D6CAB"/>
    <w:rsid w:val="005E1A46"/>
    <w:rsid w:val="005E2F8F"/>
    <w:rsid w:val="005F4F9F"/>
    <w:rsid w:val="005F6761"/>
    <w:rsid w:val="00603C7D"/>
    <w:rsid w:val="00604929"/>
    <w:rsid w:val="006119C2"/>
    <w:rsid w:val="00617BEE"/>
    <w:rsid w:val="00627B7E"/>
    <w:rsid w:val="00635800"/>
    <w:rsid w:val="00643DB1"/>
    <w:rsid w:val="00660CB1"/>
    <w:rsid w:val="006670AF"/>
    <w:rsid w:val="006713C4"/>
    <w:rsid w:val="00671888"/>
    <w:rsid w:val="006807CF"/>
    <w:rsid w:val="00691A37"/>
    <w:rsid w:val="00693B09"/>
    <w:rsid w:val="0069564B"/>
    <w:rsid w:val="00696C07"/>
    <w:rsid w:val="006A1050"/>
    <w:rsid w:val="006A1AF5"/>
    <w:rsid w:val="006A3242"/>
    <w:rsid w:val="006B2A34"/>
    <w:rsid w:val="006C0DD4"/>
    <w:rsid w:val="006C2D4C"/>
    <w:rsid w:val="006C5231"/>
    <w:rsid w:val="006D188B"/>
    <w:rsid w:val="006D5BC0"/>
    <w:rsid w:val="006E1377"/>
    <w:rsid w:val="006E445E"/>
    <w:rsid w:val="006E605C"/>
    <w:rsid w:val="006F2B4C"/>
    <w:rsid w:val="00700125"/>
    <w:rsid w:val="00701B7D"/>
    <w:rsid w:val="00705107"/>
    <w:rsid w:val="00713AA5"/>
    <w:rsid w:val="00714E30"/>
    <w:rsid w:val="0072343F"/>
    <w:rsid w:val="00724E12"/>
    <w:rsid w:val="0073692C"/>
    <w:rsid w:val="00740CE6"/>
    <w:rsid w:val="00740D57"/>
    <w:rsid w:val="0074339D"/>
    <w:rsid w:val="00743479"/>
    <w:rsid w:val="0074369E"/>
    <w:rsid w:val="007455F6"/>
    <w:rsid w:val="00751685"/>
    <w:rsid w:val="0075650A"/>
    <w:rsid w:val="00763AB3"/>
    <w:rsid w:val="0077420B"/>
    <w:rsid w:val="00776261"/>
    <w:rsid w:val="007845B9"/>
    <w:rsid w:val="00793CE4"/>
    <w:rsid w:val="00794941"/>
    <w:rsid w:val="007979CF"/>
    <w:rsid w:val="007A5271"/>
    <w:rsid w:val="007A750B"/>
    <w:rsid w:val="007B1DAF"/>
    <w:rsid w:val="007C16D2"/>
    <w:rsid w:val="007C5F0B"/>
    <w:rsid w:val="007C73F7"/>
    <w:rsid w:val="007D0E52"/>
    <w:rsid w:val="007D59DF"/>
    <w:rsid w:val="007E0107"/>
    <w:rsid w:val="007F32EE"/>
    <w:rsid w:val="007F3DA5"/>
    <w:rsid w:val="007F7133"/>
    <w:rsid w:val="00807E70"/>
    <w:rsid w:val="0082633E"/>
    <w:rsid w:val="0087420B"/>
    <w:rsid w:val="00874A5B"/>
    <w:rsid w:val="00882677"/>
    <w:rsid w:val="00886BFD"/>
    <w:rsid w:val="008902C0"/>
    <w:rsid w:val="0089353A"/>
    <w:rsid w:val="0089428A"/>
    <w:rsid w:val="008A719F"/>
    <w:rsid w:val="008B4235"/>
    <w:rsid w:val="008B638A"/>
    <w:rsid w:val="008C340B"/>
    <w:rsid w:val="008C3527"/>
    <w:rsid w:val="008C6D28"/>
    <w:rsid w:val="008C73C7"/>
    <w:rsid w:val="008D59F5"/>
    <w:rsid w:val="00901842"/>
    <w:rsid w:val="00917F4B"/>
    <w:rsid w:val="00921087"/>
    <w:rsid w:val="00931FB4"/>
    <w:rsid w:val="009434FC"/>
    <w:rsid w:val="0094690D"/>
    <w:rsid w:val="00951E4D"/>
    <w:rsid w:val="00956807"/>
    <w:rsid w:val="0095774A"/>
    <w:rsid w:val="009607E7"/>
    <w:rsid w:val="009631B2"/>
    <w:rsid w:val="009767A7"/>
    <w:rsid w:val="009845EB"/>
    <w:rsid w:val="009933A5"/>
    <w:rsid w:val="00993CEA"/>
    <w:rsid w:val="009A2B72"/>
    <w:rsid w:val="009B0B9A"/>
    <w:rsid w:val="009B34A8"/>
    <w:rsid w:val="009B55EE"/>
    <w:rsid w:val="009C201C"/>
    <w:rsid w:val="009D47D6"/>
    <w:rsid w:val="009E0473"/>
    <w:rsid w:val="009E60A3"/>
    <w:rsid w:val="009F2EBE"/>
    <w:rsid w:val="009F343D"/>
    <w:rsid w:val="009F5D5B"/>
    <w:rsid w:val="00A02821"/>
    <w:rsid w:val="00A07452"/>
    <w:rsid w:val="00A07A9D"/>
    <w:rsid w:val="00A15967"/>
    <w:rsid w:val="00A22973"/>
    <w:rsid w:val="00A24BDB"/>
    <w:rsid w:val="00A3488D"/>
    <w:rsid w:val="00A34C37"/>
    <w:rsid w:val="00A426A7"/>
    <w:rsid w:val="00A437F9"/>
    <w:rsid w:val="00A44D3F"/>
    <w:rsid w:val="00A54E9C"/>
    <w:rsid w:val="00A611C5"/>
    <w:rsid w:val="00A66BB4"/>
    <w:rsid w:val="00A750A5"/>
    <w:rsid w:val="00A856D3"/>
    <w:rsid w:val="00A85FF7"/>
    <w:rsid w:val="00A87081"/>
    <w:rsid w:val="00A96528"/>
    <w:rsid w:val="00A9729A"/>
    <w:rsid w:val="00AA1AD9"/>
    <w:rsid w:val="00AB167D"/>
    <w:rsid w:val="00AC5D47"/>
    <w:rsid w:val="00AE0441"/>
    <w:rsid w:val="00AE25A0"/>
    <w:rsid w:val="00AE3E83"/>
    <w:rsid w:val="00AF1D0B"/>
    <w:rsid w:val="00B02E85"/>
    <w:rsid w:val="00B108A3"/>
    <w:rsid w:val="00B14FE6"/>
    <w:rsid w:val="00B22F75"/>
    <w:rsid w:val="00B26AD0"/>
    <w:rsid w:val="00B3012A"/>
    <w:rsid w:val="00B31080"/>
    <w:rsid w:val="00B3185B"/>
    <w:rsid w:val="00B31E58"/>
    <w:rsid w:val="00B331F4"/>
    <w:rsid w:val="00B33B99"/>
    <w:rsid w:val="00B35660"/>
    <w:rsid w:val="00B429C6"/>
    <w:rsid w:val="00B439F2"/>
    <w:rsid w:val="00B55CA0"/>
    <w:rsid w:val="00B64856"/>
    <w:rsid w:val="00B67341"/>
    <w:rsid w:val="00B71C2A"/>
    <w:rsid w:val="00B7564F"/>
    <w:rsid w:val="00B75DC1"/>
    <w:rsid w:val="00B77FF5"/>
    <w:rsid w:val="00B81BE7"/>
    <w:rsid w:val="00B852BF"/>
    <w:rsid w:val="00B9589B"/>
    <w:rsid w:val="00BA2E49"/>
    <w:rsid w:val="00BA3308"/>
    <w:rsid w:val="00BA785C"/>
    <w:rsid w:val="00BB4AA3"/>
    <w:rsid w:val="00BD0A71"/>
    <w:rsid w:val="00BD0D82"/>
    <w:rsid w:val="00BD50EA"/>
    <w:rsid w:val="00BD6651"/>
    <w:rsid w:val="00BE4267"/>
    <w:rsid w:val="00BE42C6"/>
    <w:rsid w:val="00BF2952"/>
    <w:rsid w:val="00BF34AF"/>
    <w:rsid w:val="00BF573B"/>
    <w:rsid w:val="00BF77C5"/>
    <w:rsid w:val="00C01DE5"/>
    <w:rsid w:val="00C03F6C"/>
    <w:rsid w:val="00C0552D"/>
    <w:rsid w:val="00C05636"/>
    <w:rsid w:val="00C210F2"/>
    <w:rsid w:val="00C273C7"/>
    <w:rsid w:val="00C3375B"/>
    <w:rsid w:val="00C37641"/>
    <w:rsid w:val="00C460D2"/>
    <w:rsid w:val="00C551D7"/>
    <w:rsid w:val="00C60851"/>
    <w:rsid w:val="00C611AB"/>
    <w:rsid w:val="00C743B0"/>
    <w:rsid w:val="00C74D3E"/>
    <w:rsid w:val="00C75A66"/>
    <w:rsid w:val="00C82766"/>
    <w:rsid w:val="00C93633"/>
    <w:rsid w:val="00C940BA"/>
    <w:rsid w:val="00C95E62"/>
    <w:rsid w:val="00C97DEA"/>
    <w:rsid w:val="00CA3419"/>
    <w:rsid w:val="00CB5F37"/>
    <w:rsid w:val="00CB7A8B"/>
    <w:rsid w:val="00CB7C94"/>
    <w:rsid w:val="00CC46F9"/>
    <w:rsid w:val="00CD2C04"/>
    <w:rsid w:val="00CD3EF7"/>
    <w:rsid w:val="00CE61C9"/>
    <w:rsid w:val="00CF5112"/>
    <w:rsid w:val="00D00160"/>
    <w:rsid w:val="00D00244"/>
    <w:rsid w:val="00D0366B"/>
    <w:rsid w:val="00D0445E"/>
    <w:rsid w:val="00D11E7F"/>
    <w:rsid w:val="00D1615A"/>
    <w:rsid w:val="00D1638A"/>
    <w:rsid w:val="00D213E4"/>
    <w:rsid w:val="00D24333"/>
    <w:rsid w:val="00D24E79"/>
    <w:rsid w:val="00D30752"/>
    <w:rsid w:val="00D3680B"/>
    <w:rsid w:val="00D43CD5"/>
    <w:rsid w:val="00D43DAD"/>
    <w:rsid w:val="00D45918"/>
    <w:rsid w:val="00D536C0"/>
    <w:rsid w:val="00D55D00"/>
    <w:rsid w:val="00D5644A"/>
    <w:rsid w:val="00D565CB"/>
    <w:rsid w:val="00D62697"/>
    <w:rsid w:val="00D65E4C"/>
    <w:rsid w:val="00D874AA"/>
    <w:rsid w:val="00DA1A39"/>
    <w:rsid w:val="00DA2D6E"/>
    <w:rsid w:val="00DB17C4"/>
    <w:rsid w:val="00DC1F44"/>
    <w:rsid w:val="00DC2EFA"/>
    <w:rsid w:val="00DC4705"/>
    <w:rsid w:val="00DD1C68"/>
    <w:rsid w:val="00DD1ECC"/>
    <w:rsid w:val="00DD3BD8"/>
    <w:rsid w:val="00DD52A5"/>
    <w:rsid w:val="00DD5553"/>
    <w:rsid w:val="00DD585B"/>
    <w:rsid w:val="00DD63DB"/>
    <w:rsid w:val="00DE39AB"/>
    <w:rsid w:val="00DE514C"/>
    <w:rsid w:val="00DE6E04"/>
    <w:rsid w:val="00DF5F62"/>
    <w:rsid w:val="00E06062"/>
    <w:rsid w:val="00E070A1"/>
    <w:rsid w:val="00E115D9"/>
    <w:rsid w:val="00E12272"/>
    <w:rsid w:val="00E12298"/>
    <w:rsid w:val="00E24332"/>
    <w:rsid w:val="00E25D80"/>
    <w:rsid w:val="00E27439"/>
    <w:rsid w:val="00E437C6"/>
    <w:rsid w:val="00E53D37"/>
    <w:rsid w:val="00E564AD"/>
    <w:rsid w:val="00E63D63"/>
    <w:rsid w:val="00E66CE7"/>
    <w:rsid w:val="00E6739B"/>
    <w:rsid w:val="00E677BA"/>
    <w:rsid w:val="00E7331F"/>
    <w:rsid w:val="00E80574"/>
    <w:rsid w:val="00E87AB5"/>
    <w:rsid w:val="00E900F9"/>
    <w:rsid w:val="00EA7C4C"/>
    <w:rsid w:val="00EB351A"/>
    <w:rsid w:val="00EB369B"/>
    <w:rsid w:val="00EB4318"/>
    <w:rsid w:val="00EB511E"/>
    <w:rsid w:val="00EB6671"/>
    <w:rsid w:val="00EC0669"/>
    <w:rsid w:val="00EC1041"/>
    <w:rsid w:val="00ED2D03"/>
    <w:rsid w:val="00ED3B54"/>
    <w:rsid w:val="00ED5ACF"/>
    <w:rsid w:val="00ED5B33"/>
    <w:rsid w:val="00EE0A4D"/>
    <w:rsid w:val="00EE1AF2"/>
    <w:rsid w:val="00EE2050"/>
    <w:rsid w:val="00EF2549"/>
    <w:rsid w:val="00F11B7F"/>
    <w:rsid w:val="00F1614F"/>
    <w:rsid w:val="00F16C0B"/>
    <w:rsid w:val="00F16F05"/>
    <w:rsid w:val="00F2113E"/>
    <w:rsid w:val="00F26D0B"/>
    <w:rsid w:val="00F31705"/>
    <w:rsid w:val="00F465BA"/>
    <w:rsid w:val="00F50671"/>
    <w:rsid w:val="00F57A62"/>
    <w:rsid w:val="00F57B58"/>
    <w:rsid w:val="00F7272D"/>
    <w:rsid w:val="00F73B18"/>
    <w:rsid w:val="00F764F7"/>
    <w:rsid w:val="00F8313F"/>
    <w:rsid w:val="00F9053D"/>
    <w:rsid w:val="00F96D9D"/>
    <w:rsid w:val="00FA38AF"/>
    <w:rsid w:val="00FA3BC6"/>
    <w:rsid w:val="00FA790F"/>
    <w:rsid w:val="00FB13C1"/>
    <w:rsid w:val="00FB7E85"/>
    <w:rsid w:val="00FC37B4"/>
    <w:rsid w:val="00FD188E"/>
    <w:rsid w:val="00FD3155"/>
    <w:rsid w:val="00FD70B6"/>
    <w:rsid w:val="00FE11CB"/>
    <w:rsid w:val="00FE28DA"/>
    <w:rsid w:val="00FE3421"/>
    <w:rsid w:val="00FE5A4F"/>
    <w:rsid w:val="00FF06DE"/>
    <w:rsid w:val="00FF08FC"/>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fillcolor="none [3214]" strokecolor="none [3215]">
      <v:fill color="none [3214]"/>
      <v:stroke color="none [3215]" weight="1pt"/>
    </o:shapedefaults>
    <o:shapelayout v:ext="edit">
      <o:idmap v:ext="edit" data="1"/>
    </o:shapelayout>
  </w:shapeDefaults>
  <w:decimalSymbol w:val="."/>
  <w:listSeparator w:val=","/>
  <w14:docId w14:val="7344B562"/>
  <w15:docId w15:val="{4DC71A3E-5DBC-4991-BEEA-3B9B4353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40A2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8"/>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 w:type="character" w:styleId="CommentReference">
    <w:name w:val="annotation reference"/>
    <w:basedOn w:val="DefaultParagraphFont"/>
    <w:uiPriority w:val="99"/>
    <w:semiHidden/>
    <w:unhideWhenUsed/>
    <w:rsid w:val="00040A23"/>
    <w:rPr>
      <w:sz w:val="16"/>
      <w:szCs w:val="16"/>
    </w:rPr>
  </w:style>
  <w:style w:type="paragraph" w:styleId="CommentText">
    <w:name w:val="annotation text"/>
    <w:basedOn w:val="Normal"/>
    <w:link w:val="CommentTextChar"/>
    <w:uiPriority w:val="99"/>
    <w:semiHidden/>
    <w:unhideWhenUsed/>
    <w:rsid w:val="00040A23"/>
    <w:pPr>
      <w:spacing w:line="240" w:lineRule="auto"/>
    </w:pPr>
  </w:style>
  <w:style w:type="character" w:customStyle="1" w:styleId="CommentTextChar">
    <w:name w:val="Comment Text Char"/>
    <w:basedOn w:val="DefaultParagraphFont"/>
    <w:link w:val="CommentText"/>
    <w:uiPriority w:val="99"/>
    <w:semiHidden/>
    <w:rsid w:val="00040A23"/>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46BF8"/>
    <w:rPr>
      <w:b/>
      <w:bCs/>
    </w:rPr>
  </w:style>
  <w:style w:type="character" w:customStyle="1" w:styleId="CommentSubjectChar">
    <w:name w:val="Comment Subject Char"/>
    <w:basedOn w:val="CommentTextChar"/>
    <w:link w:val="CommentSubject"/>
    <w:uiPriority w:val="99"/>
    <w:semiHidden/>
    <w:rsid w:val="00046BF8"/>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Templates%20for%20Elexon\Generic%20portrait.dotm"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99513-6241-4FEF-8D4E-33995212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portrait</Template>
  <TotalTime>0</TotalTime>
  <Pages>5</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Paper</vt:lpstr>
    </vt:vector>
  </TitlesOfParts>
  <Company>Elexon</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Matthew Woolliscroft</dc:creator>
  <cp:lastModifiedBy>Tom Darwen</cp:lastModifiedBy>
  <cp:revision>2</cp:revision>
  <cp:lastPrinted>2014-01-23T08:08:00Z</cp:lastPrinted>
  <dcterms:created xsi:type="dcterms:W3CDTF">2019-04-02T14:04:00Z</dcterms:created>
  <dcterms:modified xsi:type="dcterms:W3CDTF">2019-04-02T14:04:00Z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